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37" w:rsidRPr="001A48D3" w:rsidRDefault="009947EF" w:rsidP="00C4701A">
      <w:pPr>
        <w:pStyle w:val="Heading1"/>
      </w:pPr>
      <w:bookmarkStart w:id="0" w:name="_Toc430182471"/>
      <w:r w:rsidRPr="001A48D3">
        <w:t>Final</w:t>
      </w:r>
      <w:r w:rsidR="00EE2EF6" w:rsidRPr="001A48D3">
        <w:t xml:space="preserve"> </w:t>
      </w:r>
      <w:r w:rsidR="00896A37" w:rsidRPr="001A48D3">
        <w:t>Regulation Impact Statement</w:t>
      </w:r>
      <w:bookmarkEnd w:id="0"/>
    </w:p>
    <w:p w:rsidR="00896A37" w:rsidRPr="001A48D3" w:rsidRDefault="001A48D3" w:rsidP="00C4701A">
      <w:pPr>
        <w:pStyle w:val="Heading1"/>
      </w:pPr>
      <w:bookmarkStart w:id="1" w:name="_Toc430182472"/>
      <w:r>
        <w:t xml:space="preserve">for </w:t>
      </w:r>
      <w:r w:rsidR="00896A37" w:rsidRPr="001A48D3">
        <w:t xml:space="preserve">Review of Euro 5/6 Light </w:t>
      </w:r>
      <w:r w:rsidR="00977006" w:rsidRPr="001A48D3">
        <w:t>Vehicle</w:t>
      </w:r>
      <w:r>
        <w:t xml:space="preserve"> </w:t>
      </w:r>
      <w:r w:rsidR="00896A37" w:rsidRPr="001A48D3">
        <w:t>Emission</w:t>
      </w:r>
      <w:r w:rsidR="00AF01A3" w:rsidRPr="001A48D3">
        <w:t>s</w:t>
      </w:r>
      <w:r w:rsidR="00896A37" w:rsidRPr="001A48D3">
        <w:t xml:space="preserve"> Standards</w:t>
      </w:r>
      <w:bookmarkEnd w:id="1"/>
      <w:r w:rsidR="00896A37" w:rsidRPr="001A48D3">
        <w:t xml:space="preserve"> </w:t>
      </w:r>
    </w:p>
    <w:p w:rsidR="00896A37" w:rsidRPr="001A48D3" w:rsidRDefault="00896A37" w:rsidP="00C4701A">
      <w:pPr>
        <w:pStyle w:val="Heading5"/>
        <w:spacing w:after="120"/>
      </w:pPr>
    </w:p>
    <w:p w:rsidR="00896A37" w:rsidRPr="001A48D3" w:rsidRDefault="00896A37" w:rsidP="00153F3E">
      <w:pPr>
        <w:pStyle w:val="Heading2"/>
      </w:pPr>
      <w:bookmarkStart w:id="2" w:name="_Toc430182473"/>
      <w:r w:rsidRPr="001A48D3">
        <w:t>Prepared by the</w:t>
      </w:r>
      <w:bookmarkEnd w:id="2"/>
      <w:r w:rsidRPr="001A48D3">
        <w:t xml:space="preserve"> </w:t>
      </w:r>
    </w:p>
    <w:p w:rsidR="00896A37" w:rsidRPr="001A48D3" w:rsidRDefault="00896A37" w:rsidP="00153F3E">
      <w:pPr>
        <w:pStyle w:val="Heading2"/>
      </w:pPr>
      <w:bookmarkStart w:id="3" w:name="_Toc430182474"/>
      <w:r w:rsidRPr="001A48D3">
        <w:t>Department of Infrastructure</w:t>
      </w:r>
      <w:r w:rsidR="00142CA0" w:rsidRPr="001A48D3">
        <w:t xml:space="preserve"> and</w:t>
      </w:r>
      <w:r w:rsidRPr="001A48D3">
        <w:t xml:space="preserve"> Transport</w:t>
      </w:r>
      <w:bookmarkEnd w:id="3"/>
      <w:r w:rsidRPr="001A48D3">
        <w:t xml:space="preserve"> </w:t>
      </w:r>
    </w:p>
    <w:p w:rsidR="00424255" w:rsidRPr="001A48D3" w:rsidRDefault="00424255" w:rsidP="00C4701A">
      <w:pPr>
        <w:pStyle w:val="Heading5"/>
        <w:spacing w:after="120"/>
      </w:pPr>
    </w:p>
    <w:p w:rsidR="00376876" w:rsidRPr="001A48D3" w:rsidRDefault="00376876" w:rsidP="00C4701A">
      <w:pPr>
        <w:pStyle w:val="Heading5"/>
        <w:spacing w:after="120"/>
      </w:pPr>
    </w:p>
    <w:p w:rsidR="00376876" w:rsidRPr="001A48D3" w:rsidRDefault="00147040" w:rsidP="00C4701A">
      <w:pPr>
        <w:pStyle w:val="Heading3"/>
        <w:spacing w:after="120"/>
      </w:pPr>
      <w:bookmarkStart w:id="4" w:name="_Toc430182475"/>
      <w:r w:rsidRPr="001A48D3">
        <w:t xml:space="preserve">November </w:t>
      </w:r>
      <w:r w:rsidR="00376876" w:rsidRPr="001A48D3">
        <w:t>2010</w:t>
      </w:r>
      <w:bookmarkEnd w:id="4"/>
      <w:r w:rsidR="00CE4E85" w:rsidRPr="001A48D3">
        <w:t xml:space="preserve"> </w:t>
      </w:r>
    </w:p>
    <w:p w:rsidR="00DC0439" w:rsidRPr="001A48D3" w:rsidRDefault="00DC0439" w:rsidP="00C4701A">
      <w:pPr>
        <w:pStyle w:val="BodyText"/>
        <w:spacing w:after="120"/>
        <w:ind w:firstLine="270"/>
        <w:rPr>
          <w:sz w:val="36"/>
          <w:szCs w:val="36"/>
        </w:rPr>
      </w:pPr>
    </w:p>
    <w:p w:rsidR="00DC0439" w:rsidRPr="001A48D3" w:rsidRDefault="00DC0439" w:rsidP="00C4701A">
      <w:pPr>
        <w:pStyle w:val="BodyText"/>
        <w:spacing w:after="120"/>
        <w:ind w:firstLine="270"/>
        <w:rPr>
          <w:sz w:val="36"/>
          <w:szCs w:val="36"/>
        </w:rPr>
      </w:pPr>
    </w:p>
    <w:p w:rsidR="0037583E" w:rsidRPr="001A48D3" w:rsidRDefault="0037583E" w:rsidP="00C4701A">
      <w:pPr>
        <w:pStyle w:val="BodyText"/>
        <w:spacing w:after="120"/>
        <w:ind w:firstLine="270"/>
        <w:rPr>
          <w:sz w:val="36"/>
          <w:szCs w:val="36"/>
        </w:rPr>
      </w:pPr>
    </w:p>
    <w:p w:rsidR="0037583E" w:rsidRPr="001A48D3" w:rsidRDefault="0037583E" w:rsidP="00C4701A">
      <w:pPr>
        <w:pStyle w:val="BodyText"/>
        <w:spacing w:after="120"/>
        <w:ind w:firstLine="270"/>
        <w:rPr>
          <w:sz w:val="36"/>
          <w:szCs w:val="36"/>
        </w:rPr>
      </w:pPr>
    </w:p>
    <w:p w:rsidR="00DC650C" w:rsidRPr="001A48D3" w:rsidRDefault="00DC650C" w:rsidP="00C4701A">
      <w:pPr>
        <w:pStyle w:val="BodyText"/>
        <w:spacing w:after="120"/>
        <w:ind w:firstLine="270"/>
        <w:rPr>
          <w:sz w:val="36"/>
          <w:szCs w:val="36"/>
        </w:rPr>
      </w:pPr>
    </w:p>
    <w:p w:rsidR="00896A37" w:rsidRPr="001A48D3" w:rsidRDefault="00896A37" w:rsidP="00C4701A">
      <w:pPr>
        <w:spacing w:after="120"/>
      </w:pPr>
    </w:p>
    <w:p w:rsidR="00896A37" w:rsidRPr="001A48D3" w:rsidRDefault="00896A37" w:rsidP="00C4701A">
      <w:pPr>
        <w:pBdr>
          <w:bottom w:val="single" w:sz="4" w:space="1" w:color="auto"/>
        </w:pBdr>
        <w:spacing w:after="120"/>
        <w:sectPr w:rsidR="00896A37" w:rsidRPr="001A48D3">
          <w:headerReference w:type="default" r:id="rId9"/>
          <w:footerReference w:type="even" r:id="rId10"/>
          <w:footerReference w:type="default" r:id="rId11"/>
          <w:headerReference w:type="first" r:id="rId12"/>
          <w:pgSz w:w="11906" w:h="16838" w:code="9"/>
          <w:pgMar w:top="1440" w:right="1797" w:bottom="1440" w:left="1797" w:header="720" w:footer="720" w:gutter="0"/>
          <w:cols w:space="720"/>
          <w:vAlign w:val="center"/>
          <w:titlePg/>
        </w:sectPr>
      </w:pPr>
    </w:p>
    <w:p w:rsidR="00B52F7D" w:rsidRDefault="00896A37">
      <w:pPr>
        <w:pStyle w:val="TOC1"/>
        <w:tabs>
          <w:tab w:val="right" w:pos="8296"/>
        </w:tabs>
        <w:rPr>
          <w:rFonts w:asciiTheme="minorHAnsi" w:eastAsiaTheme="minorEastAsia" w:hAnsiTheme="minorHAnsi" w:cstheme="minorBidi"/>
          <w:b w:val="0"/>
          <w:bCs w:val="0"/>
          <w:caps w:val="0"/>
          <w:noProof/>
          <w:sz w:val="22"/>
          <w:szCs w:val="22"/>
        </w:rPr>
      </w:pPr>
      <w:r w:rsidRPr="001A48D3">
        <w:rPr>
          <w:b w:val="0"/>
          <w:bCs w:val="0"/>
          <w:caps w:val="0"/>
        </w:rPr>
        <w:lastRenderedPageBreak/>
        <w:fldChar w:fldCharType="begin"/>
      </w:r>
      <w:r w:rsidRPr="001A48D3">
        <w:rPr>
          <w:b w:val="0"/>
          <w:bCs w:val="0"/>
          <w:caps w:val="0"/>
        </w:rPr>
        <w:instrText xml:space="preserve"> TOC \o "1-5" \h \z \u </w:instrText>
      </w:r>
      <w:r w:rsidRPr="001A48D3">
        <w:rPr>
          <w:b w:val="0"/>
          <w:bCs w:val="0"/>
          <w:caps w:val="0"/>
        </w:rPr>
        <w:fldChar w:fldCharType="separate"/>
      </w:r>
      <w:hyperlink w:anchor="_Toc430182476" w:history="1">
        <w:r w:rsidR="00B52F7D" w:rsidRPr="00FA77DC">
          <w:rPr>
            <w:rStyle w:val="Hyperlink"/>
            <w:noProof/>
          </w:rPr>
          <w:t>Glossary of Terms</w:t>
        </w:r>
        <w:r w:rsidR="00B52F7D">
          <w:rPr>
            <w:noProof/>
            <w:webHidden/>
          </w:rPr>
          <w:tab/>
        </w:r>
        <w:r w:rsidR="00B52F7D">
          <w:rPr>
            <w:noProof/>
            <w:webHidden/>
          </w:rPr>
          <w:fldChar w:fldCharType="begin"/>
        </w:r>
        <w:r w:rsidR="00B52F7D">
          <w:rPr>
            <w:noProof/>
            <w:webHidden/>
          </w:rPr>
          <w:instrText xml:space="preserve"> PAGEREF _Toc430182476 \h </w:instrText>
        </w:r>
        <w:r w:rsidR="00B52F7D">
          <w:rPr>
            <w:noProof/>
            <w:webHidden/>
          </w:rPr>
        </w:r>
        <w:r w:rsidR="00B52F7D">
          <w:rPr>
            <w:noProof/>
            <w:webHidden/>
          </w:rPr>
          <w:fldChar w:fldCharType="separate"/>
        </w:r>
        <w:r w:rsidR="00B52F7D">
          <w:rPr>
            <w:noProof/>
            <w:webHidden/>
          </w:rPr>
          <w:t>6</w:t>
        </w:r>
        <w:r w:rsidR="00B52F7D">
          <w:rPr>
            <w:noProof/>
            <w:webHidden/>
          </w:rPr>
          <w:fldChar w:fldCharType="end"/>
        </w:r>
      </w:hyperlink>
    </w:p>
    <w:p w:rsidR="00B52F7D" w:rsidRDefault="00A1425C">
      <w:pPr>
        <w:pStyle w:val="TOC1"/>
        <w:tabs>
          <w:tab w:val="right" w:pos="8296"/>
        </w:tabs>
        <w:rPr>
          <w:rFonts w:asciiTheme="minorHAnsi" w:eastAsiaTheme="minorEastAsia" w:hAnsiTheme="minorHAnsi" w:cstheme="minorBidi"/>
          <w:b w:val="0"/>
          <w:bCs w:val="0"/>
          <w:caps w:val="0"/>
          <w:noProof/>
          <w:sz w:val="22"/>
          <w:szCs w:val="22"/>
        </w:rPr>
      </w:pPr>
      <w:hyperlink w:anchor="_Toc430182477" w:history="1">
        <w:r w:rsidR="00B52F7D" w:rsidRPr="00FA77DC">
          <w:rPr>
            <w:rStyle w:val="Hyperlink"/>
            <w:noProof/>
          </w:rPr>
          <w:t>EXECUTIVE SUMMARY</w:t>
        </w:r>
        <w:r w:rsidR="00B52F7D">
          <w:rPr>
            <w:noProof/>
            <w:webHidden/>
          </w:rPr>
          <w:tab/>
        </w:r>
        <w:r w:rsidR="00B52F7D">
          <w:rPr>
            <w:noProof/>
            <w:webHidden/>
          </w:rPr>
          <w:fldChar w:fldCharType="begin"/>
        </w:r>
        <w:r w:rsidR="00B52F7D">
          <w:rPr>
            <w:noProof/>
            <w:webHidden/>
          </w:rPr>
          <w:instrText xml:space="preserve"> PAGEREF _Toc430182477 \h </w:instrText>
        </w:r>
        <w:r w:rsidR="00B52F7D">
          <w:rPr>
            <w:noProof/>
            <w:webHidden/>
          </w:rPr>
        </w:r>
        <w:r w:rsidR="00B52F7D">
          <w:rPr>
            <w:noProof/>
            <w:webHidden/>
          </w:rPr>
          <w:fldChar w:fldCharType="separate"/>
        </w:r>
        <w:r w:rsidR="00B52F7D">
          <w:rPr>
            <w:noProof/>
            <w:webHidden/>
          </w:rPr>
          <w:t>8</w:t>
        </w:r>
        <w:r w:rsidR="00B52F7D">
          <w:rPr>
            <w:noProof/>
            <w:webHidden/>
          </w:rPr>
          <w:fldChar w:fldCharType="end"/>
        </w:r>
      </w:hyperlink>
    </w:p>
    <w:p w:rsidR="00B52F7D" w:rsidRDefault="00A1425C">
      <w:pPr>
        <w:pStyle w:val="TOC2"/>
        <w:tabs>
          <w:tab w:val="right" w:pos="8296"/>
        </w:tabs>
        <w:rPr>
          <w:rFonts w:asciiTheme="minorHAnsi" w:eastAsiaTheme="minorEastAsia" w:hAnsiTheme="minorHAnsi" w:cstheme="minorBidi"/>
          <w:smallCaps w:val="0"/>
          <w:noProof/>
          <w:sz w:val="22"/>
          <w:szCs w:val="22"/>
        </w:rPr>
      </w:pPr>
      <w:hyperlink w:anchor="_Toc430182478" w:history="1">
        <w:r w:rsidR="00B52F7D" w:rsidRPr="00FA77DC">
          <w:rPr>
            <w:rStyle w:val="Hyperlink"/>
            <w:noProof/>
          </w:rPr>
          <w:t>Description of the Problem</w:t>
        </w:r>
        <w:r w:rsidR="00B52F7D">
          <w:rPr>
            <w:noProof/>
            <w:webHidden/>
          </w:rPr>
          <w:tab/>
        </w:r>
        <w:r w:rsidR="00B52F7D">
          <w:rPr>
            <w:noProof/>
            <w:webHidden/>
          </w:rPr>
          <w:fldChar w:fldCharType="begin"/>
        </w:r>
        <w:r w:rsidR="00B52F7D">
          <w:rPr>
            <w:noProof/>
            <w:webHidden/>
          </w:rPr>
          <w:instrText xml:space="preserve"> PAGEREF _Toc430182478 \h </w:instrText>
        </w:r>
        <w:r w:rsidR="00B52F7D">
          <w:rPr>
            <w:noProof/>
            <w:webHidden/>
          </w:rPr>
        </w:r>
        <w:r w:rsidR="00B52F7D">
          <w:rPr>
            <w:noProof/>
            <w:webHidden/>
          </w:rPr>
          <w:fldChar w:fldCharType="separate"/>
        </w:r>
        <w:r w:rsidR="00B52F7D">
          <w:rPr>
            <w:noProof/>
            <w:webHidden/>
          </w:rPr>
          <w:t>8</w:t>
        </w:r>
        <w:r w:rsidR="00B52F7D">
          <w:rPr>
            <w:noProof/>
            <w:webHidden/>
          </w:rPr>
          <w:fldChar w:fldCharType="end"/>
        </w:r>
      </w:hyperlink>
    </w:p>
    <w:p w:rsidR="00B52F7D" w:rsidRDefault="00A1425C">
      <w:pPr>
        <w:pStyle w:val="TOC2"/>
        <w:tabs>
          <w:tab w:val="right" w:pos="8296"/>
        </w:tabs>
        <w:rPr>
          <w:rFonts w:asciiTheme="minorHAnsi" w:eastAsiaTheme="minorEastAsia" w:hAnsiTheme="minorHAnsi" w:cstheme="minorBidi"/>
          <w:smallCaps w:val="0"/>
          <w:noProof/>
          <w:sz w:val="22"/>
          <w:szCs w:val="22"/>
        </w:rPr>
      </w:pPr>
      <w:hyperlink w:anchor="_Toc430182479" w:history="1">
        <w:r w:rsidR="00B52F7D" w:rsidRPr="00FA77DC">
          <w:rPr>
            <w:rStyle w:val="Hyperlink"/>
            <w:noProof/>
          </w:rPr>
          <w:t>Objectives</w:t>
        </w:r>
        <w:r w:rsidR="00B52F7D">
          <w:rPr>
            <w:noProof/>
            <w:webHidden/>
          </w:rPr>
          <w:tab/>
        </w:r>
        <w:r w:rsidR="00B52F7D">
          <w:rPr>
            <w:noProof/>
            <w:webHidden/>
          </w:rPr>
          <w:fldChar w:fldCharType="begin"/>
        </w:r>
        <w:r w:rsidR="00B52F7D">
          <w:rPr>
            <w:noProof/>
            <w:webHidden/>
          </w:rPr>
          <w:instrText xml:space="preserve"> PAGEREF _Toc430182479 \h </w:instrText>
        </w:r>
        <w:r w:rsidR="00B52F7D">
          <w:rPr>
            <w:noProof/>
            <w:webHidden/>
          </w:rPr>
        </w:r>
        <w:r w:rsidR="00B52F7D">
          <w:rPr>
            <w:noProof/>
            <w:webHidden/>
          </w:rPr>
          <w:fldChar w:fldCharType="separate"/>
        </w:r>
        <w:r w:rsidR="00B52F7D">
          <w:rPr>
            <w:noProof/>
            <w:webHidden/>
          </w:rPr>
          <w:t>8</w:t>
        </w:r>
        <w:r w:rsidR="00B52F7D">
          <w:rPr>
            <w:noProof/>
            <w:webHidden/>
          </w:rPr>
          <w:fldChar w:fldCharType="end"/>
        </w:r>
      </w:hyperlink>
    </w:p>
    <w:p w:rsidR="00B52F7D" w:rsidRDefault="00A1425C">
      <w:pPr>
        <w:pStyle w:val="TOC2"/>
        <w:tabs>
          <w:tab w:val="right" w:pos="8296"/>
        </w:tabs>
        <w:rPr>
          <w:rFonts w:asciiTheme="minorHAnsi" w:eastAsiaTheme="minorEastAsia" w:hAnsiTheme="minorHAnsi" w:cstheme="minorBidi"/>
          <w:smallCaps w:val="0"/>
          <w:noProof/>
          <w:sz w:val="22"/>
          <w:szCs w:val="22"/>
        </w:rPr>
      </w:pPr>
      <w:hyperlink w:anchor="_Toc430182480" w:history="1">
        <w:r w:rsidR="00B52F7D" w:rsidRPr="00FA77DC">
          <w:rPr>
            <w:rStyle w:val="Hyperlink"/>
            <w:noProof/>
          </w:rPr>
          <w:t>Options</w:t>
        </w:r>
        <w:r w:rsidR="00B52F7D">
          <w:rPr>
            <w:noProof/>
            <w:webHidden/>
          </w:rPr>
          <w:tab/>
        </w:r>
        <w:r w:rsidR="00B52F7D">
          <w:rPr>
            <w:noProof/>
            <w:webHidden/>
          </w:rPr>
          <w:fldChar w:fldCharType="begin"/>
        </w:r>
        <w:r w:rsidR="00B52F7D">
          <w:rPr>
            <w:noProof/>
            <w:webHidden/>
          </w:rPr>
          <w:instrText xml:space="preserve"> PAGEREF _Toc430182480 \h </w:instrText>
        </w:r>
        <w:r w:rsidR="00B52F7D">
          <w:rPr>
            <w:noProof/>
            <w:webHidden/>
          </w:rPr>
        </w:r>
        <w:r w:rsidR="00B52F7D">
          <w:rPr>
            <w:noProof/>
            <w:webHidden/>
          </w:rPr>
          <w:fldChar w:fldCharType="separate"/>
        </w:r>
        <w:r w:rsidR="00B52F7D">
          <w:rPr>
            <w:noProof/>
            <w:webHidden/>
          </w:rPr>
          <w:t>8</w:t>
        </w:r>
        <w:r w:rsidR="00B52F7D">
          <w:rPr>
            <w:noProof/>
            <w:webHidden/>
          </w:rPr>
          <w:fldChar w:fldCharType="end"/>
        </w:r>
      </w:hyperlink>
    </w:p>
    <w:p w:rsidR="00B52F7D" w:rsidRDefault="00A1425C">
      <w:pPr>
        <w:pStyle w:val="TOC2"/>
        <w:tabs>
          <w:tab w:val="right" w:pos="8296"/>
        </w:tabs>
        <w:rPr>
          <w:rFonts w:asciiTheme="minorHAnsi" w:eastAsiaTheme="minorEastAsia" w:hAnsiTheme="minorHAnsi" w:cstheme="minorBidi"/>
          <w:smallCaps w:val="0"/>
          <w:noProof/>
          <w:sz w:val="22"/>
          <w:szCs w:val="22"/>
        </w:rPr>
      </w:pPr>
      <w:hyperlink w:anchor="_Toc430182481" w:history="1">
        <w:r w:rsidR="00B52F7D" w:rsidRPr="00FA77DC">
          <w:rPr>
            <w:rStyle w:val="Hyperlink"/>
            <w:noProof/>
          </w:rPr>
          <w:t>BCA Outcomes</w:t>
        </w:r>
        <w:r w:rsidR="00B52F7D">
          <w:rPr>
            <w:noProof/>
            <w:webHidden/>
          </w:rPr>
          <w:tab/>
        </w:r>
        <w:r w:rsidR="00B52F7D">
          <w:rPr>
            <w:noProof/>
            <w:webHidden/>
          </w:rPr>
          <w:fldChar w:fldCharType="begin"/>
        </w:r>
        <w:r w:rsidR="00B52F7D">
          <w:rPr>
            <w:noProof/>
            <w:webHidden/>
          </w:rPr>
          <w:instrText xml:space="preserve"> PAGEREF _Toc430182481 \h </w:instrText>
        </w:r>
        <w:r w:rsidR="00B52F7D">
          <w:rPr>
            <w:noProof/>
            <w:webHidden/>
          </w:rPr>
        </w:r>
        <w:r w:rsidR="00B52F7D">
          <w:rPr>
            <w:noProof/>
            <w:webHidden/>
          </w:rPr>
          <w:fldChar w:fldCharType="separate"/>
        </w:r>
        <w:r w:rsidR="00B52F7D">
          <w:rPr>
            <w:noProof/>
            <w:webHidden/>
          </w:rPr>
          <w:t>9</w:t>
        </w:r>
        <w:r w:rsidR="00B52F7D">
          <w:rPr>
            <w:noProof/>
            <w:webHidden/>
          </w:rPr>
          <w:fldChar w:fldCharType="end"/>
        </w:r>
      </w:hyperlink>
    </w:p>
    <w:p w:rsidR="00B52F7D" w:rsidRDefault="00A1425C">
      <w:pPr>
        <w:pStyle w:val="TOC2"/>
        <w:tabs>
          <w:tab w:val="right" w:pos="8296"/>
        </w:tabs>
        <w:rPr>
          <w:rFonts w:asciiTheme="minorHAnsi" w:eastAsiaTheme="minorEastAsia" w:hAnsiTheme="minorHAnsi" w:cstheme="minorBidi"/>
          <w:smallCaps w:val="0"/>
          <w:noProof/>
          <w:sz w:val="22"/>
          <w:szCs w:val="22"/>
        </w:rPr>
      </w:pPr>
      <w:hyperlink w:anchor="_Toc430182482" w:history="1">
        <w:r w:rsidR="00B52F7D" w:rsidRPr="00FA77DC">
          <w:rPr>
            <w:rStyle w:val="Hyperlink"/>
            <w:noProof/>
          </w:rPr>
          <w:t>Public Comment</w:t>
        </w:r>
        <w:r w:rsidR="00B52F7D">
          <w:rPr>
            <w:noProof/>
            <w:webHidden/>
          </w:rPr>
          <w:tab/>
        </w:r>
        <w:r w:rsidR="00B52F7D">
          <w:rPr>
            <w:noProof/>
            <w:webHidden/>
          </w:rPr>
          <w:fldChar w:fldCharType="begin"/>
        </w:r>
        <w:r w:rsidR="00B52F7D">
          <w:rPr>
            <w:noProof/>
            <w:webHidden/>
          </w:rPr>
          <w:instrText xml:space="preserve"> PAGEREF _Toc430182482 \h </w:instrText>
        </w:r>
        <w:r w:rsidR="00B52F7D">
          <w:rPr>
            <w:noProof/>
            <w:webHidden/>
          </w:rPr>
        </w:r>
        <w:r w:rsidR="00B52F7D">
          <w:rPr>
            <w:noProof/>
            <w:webHidden/>
          </w:rPr>
          <w:fldChar w:fldCharType="separate"/>
        </w:r>
        <w:r w:rsidR="00B52F7D">
          <w:rPr>
            <w:noProof/>
            <w:webHidden/>
          </w:rPr>
          <w:t>9</w:t>
        </w:r>
        <w:r w:rsidR="00B52F7D">
          <w:rPr>
            <w:noProof/>
            <w:webHidden/>
          </w:rPr>
          <w:fldChar w:fldCharType="end"/>
        </w:r>
      </w:hyperlink>
    </w:p>
    <w:p w:rsidR="00B52F7D" w:rsidRDefault="00A1425C">
      <w:pPr>
        <w:pStyle w:val="TOC2"/>
        <w:tabs>
          <w:tab w:val="right" w:pos="8296"/>
        </w:tabs>
        <w:rPr>
          <w:rFonts w:asciiTheme="minorHAnsi" w:eastAsiaTheme="minorEastAsia" w:hAnsiTheme="minorHAnsi" w:cstheme="minorBidi"/>
          <w:smallCaps w:val="0"/>
          <w:noProof/>
          <w:sz w:val="22"/>
          <w:szCs w:val="22"/>
        </w:rPr>
      </w:pPr>
      <w:hyperlink w:anchor="_Toc430182486" w:history="1">
        <w:r w:rsidR="00B52F7D" w:rsidRPr="00FA77DC">
          <w:rPr>
            <w:rStyle w:val="Hyperlink"/>
            <w:noProof/>
          </w:rPr>
          <w:t>Conclusions &amp; Recommendations</w:t>
        </w:r>
        <w:r w:rsidR="00B52F7D">
          <w:rPr>
            <w:noProof/>
            <w:webHidden/>
          </w:rPr>
          <w:tab/>
        </w:r>
        <w:r w:rsidR="00B52F7D">
          <w:rPr>
            <w:noProof/>
            <w:webHidden/>
          </w:rPr>
          <w:fldChar w:fldCharType="begin"/>
        </w:r>
        <w:r w:rsidR="00B52F7D">
          <w:rPr>
            <w:noProof/>
            <w:webHidden/>
          </w:rPr>
          <w:instrText xml:space="preserve"> PAGEREF _Toc430182486 \h </w:instrText>
        </w:r>
        <w:r w:rsidR="00B52F7D">
          <w:rPr>
            <w:noProof/>
            <w:webHidden/>
          </w:rPr>
        </w:r>
        <w:r w:rsidR="00B52F7D">
          <w:rPr>
            <w:noProof/>
            <w:webHidden/>
          </w:rPr>
          <w:fldChar w:fldCharType="separate"/>
        </w:r>
        <w:r w:rsidR="00B52F7D">
          <w:rPr>
            <w:noProof/>
            <w:webHidden/>
          </w:rPr>
          <w:t>10</w:t>
        </w:r>
        <w:r w:rsidR="00B52F7D">
          <w:rPr>
            <w:noProof/>
            <w:webHidden/>
          </w:rPr>
          <w:fldChar w:fldCharType="end"/>
        </w:r>
      </w:hyperlink>
    </w:p>
    <w:p w:rsidR="00B52F7D" w:rsidRDefault="00A1425C">
      <w:pPr>
        <w:pStyle w:val="TOC1"/>
        <w:tabs>
          <w:tab w:val="right" w:pos="8296"/>
        </w:tabs>
        <w:rPr>
          <w:rFonts w:asciiTheme="minorHAnsi" w:eastAsiaTheme="minorEastAsia" w:hAnsiTheme="minorHAnsi" w:cstheme="minorBidi"/>
          <w:b w:val="0"/>
          <w:bCs w:val="0"/>
          <w:caps w:val="0"/>
          <w:noProof/>
          <w:sz w:val="22"/>
          <w:szCs w:val="22"/>
        </w:rPr>
      </w:pPr>
      <w:hyperlink w:anchor="_Toc430182487" w:history="1">
        <w:r w:rsidR="00B52F7D" w:rsidRPr="00FA77DC">
          <w:rPr>
            <w:rStyle w:val="Hyperlink"/>
            <w:noProof/>
          </w:rPr>
          <w:t>INTRODUCTION</w:t>
        </w:r>
        <w:r w:rsidR="00B52F7D">
          <w:rPr>
            <w:noProof/>
            <w:webHidden/>
          </w:rPr>
          <w:tab/>
        </w:r>
        <w:r w:rsidR="00B52F7D">
          <w:rPr>
            <w:noProof/>
            <w:webHidden/>
          </w:rPr>
          <w:fldChar w:fldCharType="begin"/>
        </w:r>
        <w:r w:rsidR="00B52F7D">
          <w:rPr>
            <w:noProof/>
            <w:webHidden/>
          </w:rPr>
          <w:instrText xml:space="preserve"> PAGEREF _Toc430182487 \h </w:instrText>
        </w:r>
        <w:r w:rsidR="00B52F7D">
          <w:rPr>
            <w:noProof/>
            <w:webHidden/>
          </w:rPr>
        </w:r>
        <w:r w:rsidR="00B52F7D">
          <w:rPr>
            <w:noProof/>
            <w:webHidden/>
          </w:rPr>
          <w:fldChar w:fldCharType="separate"/>
        </w:r>
        <w:r w:rsidR="00B52F7D">
          <w:rPr>
            <w:noProof/>
            <w:webHidden/>
          </w:rPr>
          <w:t>12</w:t>
        </w:r>
        <w:r w:rsidR="00B52F7D">
          <w:rPr>
            <w:noProof/>
            <w:webHidden/>
          </w:rPr>
          <w:fldChar w:fldCharType="end"/>
        </w:r>
      </w:hyperlink>
    </w:p>
    <w:p w:rsidR="00B52F7D" w:rsidRDefault="00A1425C">
      <w:pPr>
        <w:pStyle w:val="TOC1"/>
        <w:tabs>
          <w:tab w:val="left" w:pos="480"/>
          <w:tab w:val="right" w:pos="8296"/>
        </w:tabs>
        <w:rPr>
          <w:rFonts w:asciiTheme="minorHAnsi" w:eastAsiaTheme="minorEastAsia" w:hAnsiTheme="minorHAnsi" w:cstheme="minorBidi"/>
          <w:b w:val="0"/>
          <w:bCs w:val="0"/>
          <w:caps w:val="0"/>
          <w:noProof/>
          <w:sz w:val="22"/>
          <w:szCs w:val="22"/>
        </w:rPr>
      </w:pPr>
      <w:hyperlink w:anchor="_Toc430182488" w:history="1">
        <w:r w:rsidR="00B52F7D" w:rsidRPr="00FA77DC">
          <w:rPr>
            <w:rStyle w:val="Hyperlink"/>
            <w:noProof/>
          </w:rPr>
          <w:t>1.</w:t>
        </w:r>
        <w:r w:rsidR="00B52F7D">
          <w:rPr>
            <w:rFonts w:asciiTheme="minorHAnsi" w:eastAsiaTheme="minorEastAsia" w:hAnsiTheme="minorHAnsi" w:cstheme="minorBidi"/>
            <w:b w:val="0"/>
            <w:bCs w:val="0"/>
            <w:caps w:val="0"/>
            <w:noProof/>
            <w:sz w:val="22"/>
            <w:szCs w:val="22"/>
          </w:rPr>
          <w:tab/>
        </w:r>
        <w:r w:rsidR="00B52F7D" w:rsidRPr="00FA77DC">
          <w:rPr>
            <w:rStyle w:val="Hyperlink"/>
            <w:noProof/>
          </w:rPr>
          <w:t>ASSESSING THE PROBLEM</w:t>
        </w:r>
        <w:r w:rsidR="00B52F7D">
          <w:rPr>
            <w:noProof/>
            <w:webHidden/>
          </w:rPr>
          <w:tab/>
        </w:r>
        <w:r w:rsidR="00B52F7D">
          <w:rPr>
            <w:noProof/>
            <w:webHidden/>
          </w:rPr>
          <w:fldChar w:fldCharType="begin"/>
        </w:r>
        <w:r w:rsidR="00B52F7D">
          <w:rPr>
            <w:noProof/>
            <w:webHidden/>
          </w:rPr>
          <w:instrText xml:space="preserve"> PAGEREF _Toc430182488 \h </w:instrText>
        </w:r>
        <w:r w:rsidR="00B52F7D">
          <w:rPr>
            <w:noProof/>
            <w:webHidden/>
          </w:rPr>
        </w:r>
        <w:r w:rsidR="00B52F7D">
          <w:rPr>
            <w:noProof/>
            <w:webHidden/>
          </w:rPr>
          <w:fldChar w:fldCharType="separate"/>
        </w:r>
        <w:r w:rsidR="00B52F7D">
          <w:rPr>
            <w:noProof/>
            <w:webHidden/>
          </w:rPr>
          <w:t>13</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489" w:history="1">
        <w:r w:rsidR="00B52F7D" w:rsidRPr="00FA77DC">
          <w:rPr>
            <w:rStyle w:val="Hyperlink"/>
            <w:noProof/>
          </w:rPr>
          <w:t>1.1</w:t>
        </w:r>
        <w:r w:rsidR="00B52F7D">
          <w:rPr>
            <w:rFonts w:asciiTheme="minorHAnsi" w:eastAsiaTheme="minorEastAsia" w:hAnsiTheme="minorHAnsi" w:cstheme="minorBidi"/>
            <w:smallCaps w:val="0"/>
            <w:noProof/>
            <w:sz w:val="22"/>
            <w:szCs w:val="22"/>
          </w:rPr>
          <w:tab/>
        </w:r>
        <w:r w:rsidR="00B52F7D" w:rsidRPr="00FA77DC">
          <w:rPr>
            <w:rStyle w:val="Hyperlink"/>
            <w:noProof/>
          </w:rPr>
          <w:t>The Nature of the Problem - Urban Air Pollution</w:t>
        </w:r>
        <w:r w:rsidR="00B52F7D">
          <w:rPr>
            <w:noProof/>
            <w:webHidden/>
          </w:rPr>
          <w:tab/>
        </w:r>
        <w:r w:rsidR="00B52F7D">
          <w:rPr>
            <w:noProof/>
            <w:webHidden/>
          </w:rPr>
          <w:fldChar w:fldCharType="begin"/>
        </w:r>
        <w:r w:rsidR="00B52F7D">
          <w:rPr>
            <w:noProof/>
            <w:webHidden/>
          </w:rPr>
          <w:instrText xml:space="preserve"> PAGEREF _Toc430182489 \h </w:instrText>
        </w:r>
        <w:r w:rsidR="00B52F7D">
          <w:rPr>
            <w:noProof/>
            <w:webHidden/>
          </w:rPr>
        </w:r>
        <w:r w:rsidR="00B52F7D">
          <w:rPr>
            <w:noProof/>
            <w:webHidden/>
          </w:rPr>
          <w:fldChar w:fldCharType="separate"/>
        </w:r>
        <w:r w:rsidR="00B52F7D">
          <w:rPr>
            <w:noProof/>
            <w:webHidden/>
          </w:rPr>
          <w:t>13</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491" w:history="1">
        <w:r w:rsidR="00B52F7D" w:rsidRPr="00FA77DC">
          <w:rPr>
            <w:rStyle w:val="Hyperlink"/>
            <w:noProof/>
          </w:rPr>
          <w:t>1.2</w:t>
        </w:r>
        <w:r w:rsidR="00B52F7D">
          <w:rPr>
            <w:rFonts w:asciiTheme="minorHAnsi" w:eastAsiaTheme="minorEastAsia" w:hAnsiTheme="minorHAnsi" w:cstheme="minorBidi"/>
            <w:smallCaps w:val="0"/>
            <w:noProof/>
            <w:sz w:val="22"/>
            <w:szCs w:val="22"/>
          </w:rPr>
          <w:tab/>
        </w:r>
        <w:r w:rsidR="00B52F7D" w:rsidRPr="00FA77DC">
          <w:rPr>
            <w:rStyle w:val="Hyperlink"/>
            <w:noProof/>
          </w:rPr>
          <w:t>Current Status of Urban Air Quality in Australia</w:t>
        </w:r>
        <w:r w:rsidR="00B52F7D">
          <w:rPr>
            <w:noProof/>
            <w:webHidden/>
          </w:rPr>
          <w:tab/>
        </w:r>
        <w:r w:rsidR="00B52F7D">
          <w:rPr>
            <w:noProof/>
            <w:webHidden/>
          </w:rPr>
          <w:fldChar w:fldCharType="begin"/>
        </w:r>
        <w:r w:rsidR="00B52F7D">
          <w:rPr>
            <w:noProof/>
            <w:webHidden/>
          </w:rPr>
          <w:instrText xml:space="preserve"> PAGEREF _Toc430182491 \h </w:instrText>
        </w:r>
        <w:r w:rsidR="00B52F7D">
          <w:rPr>
            <w:noProof/>
            <w:webHidden/>
          </w:rPr>
        </w:r>
        <w:r w:rsidR="00B52F7D">
          <w:rPr>
            <w:noProof/>
            <w:webHidden/>
          </w:rPr>
          <w:fldChar w:fldCharType="separate"/>
        </w:r>
        <w:r w:rsidR="00B52F7D">
          <w:rPr>
            <w:noProof/>
            <w:webHidden/>
          </w:rPr>
          <w:t>15</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492" w:history="1">
        <w:r w:rsidR="00B52F7D" w:rsidRPr="00FA77DC">
          <w:rPr>
            <w:rStyle w:val="Hyperlink"/>
            <w:noProof/>
          </w:rPr>
          <w:t>1.3</w:t>
        </w:r>
        <w:r w:rsidR="00B52F7D">
          <w:rPr>
            <w:rFonts w:asciiTheme="minorHAnsi" w:eastAsiaTheme="minorEastAsia" w:hAnsiTheme="minorHAnsi" w:cstheme="minorBidi"/>
            <w:smallCaps w:val="0"/>
            <w:noProof/>
            <w:sz w:val="22"/>
            <w:szCs w:val="22"/>
          </w:rPr>
          <w:tab/>
        </w:r>
        <w:r w:rsidR="00B52F7D" w:rsidRPr="00FA77DC">
          <w:rPr>
            <w:rStyle w:val="Hyperlink"/>
            <w:noProof/>
          </w:rPr>
          <w:t>Contribution of Motor Vehicles to Air Pollution</w:t>
        </w:r>
        <w:r w:rsidR="00B52F7D">
          <w:rPr>
            <w:noProof/>
            <w:webHidden/>
          </w:rPr>
          <w:tab/>
        </w:r>
        <w:r w:rsidR="00B52F7D">
          <w:rPr>
            <w:noProof/>
            <w:webHidden/>
          </w:rPr>
          <w:fldChar w:fldCharType="begin"/>
        </w:r>
        <w:r w:rsidR="00B52F7D">
          <w:rPr>
            <w:noProof/>
            <w:webHidden/>
          </w:rPr>
          <w:instrText xml:space="preserve"> PAGEREF _Toc430182492 \h </w:instrText>
        </w:r>
        <w:r w:rsidR="00B52F7D">
          <w:rPr>
            <w:noProof/>
            <w:webHidden/>
          </w:rPr>
        </w:r>
        <w:r w:rsidR="00B52F7D">
          <w:rPr>
            <w:noProof/>
            <w:webHidden/>
          </w:rPr>
          <w:fldChar w:fldCharType="separate"/>
        </w:r>
        <w:r w:rsidR="00B52F7D">
          <w:rPr>
            <w:noProof/>
            <w:webHidden/>
          </w:rPr>
          <w:t>15</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493" w:history="1">
        <w:r w:rsidR="00B52F7D" w:rsidRPr="00FA77DC">
          <w:rPr>
            <w:rStyle w:val="Hyperlink"/>
            <w:noProof/>
          </w:rPr>
          <w:t>1.4</w:t>
        </w:r>
        <w:r w:rsidR="00B52F7D">
          <w:rPr>
            <w:rFonts w:asciiTheme="minorHAnsi" w:eastAsiaTheme="minorEastAsia" w:hAnsiTheme="minorHAnsi" w:cstheme="minorBidi"/>
            <w:smallCaps w:val="0"/>
            <w:noProof/>
            <w:sz w:val="22"/>
            <w:szCs w:val="22"/>
          </w:rPr>
          <w:tab/>
        </w:r>
        <w:r w:rsidR="00B52F7D" w:rsidRPr="00FA77DC">
          <w:rPr>
            <w:rStyle w:val="Hyperlink"/>
            <w:noProof/>
          </w:rPr>
          <w:t>Future Air Pollution Trends</w:t>
        </w:r>
        <w:r w:rsidR="00B52F7D">
          <w:rPr>
            <w:noProof/>
            <w:webHidden/>
          </w:rPr>
          <w:tab/>
        </w:r>
        <w:r w:rsidR="00B52F7D">
          <w:rPr>
            <w:noProof/>
            <w:webHidden/>
          </w:rPr>
          <w:fldChar w:fldCharType="begin"/>
        </w:r>
        <w:r w:rsidR="00B52F7D">
          <w:rPr>
            <w:noProof/>
            <w:webHidden/>
          </w:rPr>
          <w:instrText xml:space="preserve"> PAGEREF _Toc430182493 \h </w:instrText>
        </w:r>
        <w:r w:rsidR="00B52F7D">
          <w:rPr>
            <w:noProof/>
            <w:webHidden/>
          </w:rPr>
        </w:r>
        <w:r w:rsidR="00B52F7D">
          <w:rPr>
            <w:noProof/>
            <w:webHidden/>
          </w:rPr>
          <w:fldChar w:fldCharType="separate"/>
        </w:r>
        <w:r w:rsidR="00B52F7D">
          <w:rPr>
            <w:noProof/>
            <w:webHidden/>
          </w:rPr>
          <w:t>16</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494" w:history="1">
        <w:r w:rsidR="00B52F7D" w:rsidRPr="00FA77DC">
          <w:rPr>
            <w:rStyle w:val="Hyperlink"/>
            <w:noProof/>
          </w:rPr>
          <w:t>1.5</w:t>
        </w:r>
        <w:r w:rsidR="00B52F7D">
          <w:rPr>
            <w:rFonts w:asciiTheme="minorHAnsi" w:eastAsiaTheme="minorEastAsia" w:hAnsiTheme="minorHAnsi" w:cstheme="minorBidi"/>
            <w:smallCaps w:val="0"/>
            <w:noProof/>
            <w:sz w:val="22"/>
            <w:szCs w:val="22"/>
          </w:rPr>
          <w:tab/>
        </w:r>
        <w:r w:rsidR="00B52F7D" w:rsidRPr="00FA77DC">
          <w:rPr>
            <w:rStyle w:val="Hyperlink"/>
            <w:noProof/>
          </w:rPr>
          <w:t>Current Vehicle and Fuel Standards</w:t>
        </w:r>
        <w:r w:rsidR="00B52F7D">
          <w:rPr>
            <w:noProof/>
            <w:webHidden/>
          </w:rPr>
          <w:tab/>
        </w:r>
        <w:r w:rsidR="00B52F7D">
          <w:rPr>
            <w:noProof/>
            <w:webHidden/>
          </w:rPr>
          <w:fldChar w:fldCharType="begin"/>
        </w:r>
        <w:r w:rsidR="00B52F7D">
          <w:rPr>
            <w:noProof/>
            <w:webHidden/>
          </w:rPr>
          <w:instrText xml:space="preserve"> PAGEREF _Toc430182494 \h </w:instrText>
        </w:r>
        <w:r w:rsidR="00B52F7D">
          <w:rPr>
            <w:noProof/>
            <w:webHidden/>
          </w:rPr>
        </w:r>
        <w:r w:rsidR="00B52F7D">
          <w:rPr>
            <w:noProof/>
            <w:webHidden/>
          </w:rPr>
          <w:fldChar w:fldCharType="separate"/>
        </w:r>
        <w:r w:rsidR="00B52F7D">
          <w:rPr>
            <w:noProof/>
            <w:webHidden/>
          </w:rPr>
          <w:t>17</w:t>
        </w:r>
        <w:r w:rsidR="00B52F7D">
          <w:rPr>
            <w:noProof/>
            <w:webHidden/>
          </w:rPr>
          <w:fldChar w:fldCharType="end"/>
        </w:r>
      </w:hyperlink>
    </w:p>
    <w:p w:rsidR="00B52F7D" w:rsidRDefault="00A1425C">
      <w:pPr>
        <w:pStyle w:val="TOC3"/>
        <w:tabs>
          <w:tab w:val="left" w:pos="1200"/>
          <w:tab w:val="right" w:pos="8296"/>
        </w:tabs>
        <w:rPr>
          <w:rFonts w:asciiTheme="minorHAnsi" w:eastAsiaTheme="minorEastAsia" w:hAnsiTheme="minorHAnsi" w:cstheme="minorBidi"/>
          <w:i w:val="0"/>
          <w:iCs w:val="0"/>
          <w:noProof/>
          <w:sz w:val="22"/>
          <w:szCs w:val="22"/>
        </w:rPr>
      </w:pPr>
      <w:hyperlink w:anchor="_Toc430182495" w:history="1">
        <w:r w:rsidR="00B52F7D" w:rsidRPr="00FA77DC">
          <w:rPr>
            <w:rStyle w:val="Hyperlink"/>
            <w:noProof/>
          </w:rPr>
          <w:t>1.5.1</w:t>
        </w:r>
        <w:r w:rsidR="00B52F7D">
          <w:rPr>
            <w:rFonts w:asciiTheme="minorHAnsi" w:eastAsiaTheme="minorEastAsia" w:hAnsiTheme="minorHAnsi" w:cstheme="minorBidi"/>
            <w:i w:val="0"/>
            <w:iCs w:val="0"/>
            <w:noProof/>
            <w:sz w:val="22"/>
            <w:szCs w:val="22"/>
          </w:rPr>
          <w:tab/>
        </w:r>
        <w:r w:rsidR="00B52F7D" w:rsidRPr="00FA77DC">
          <w:rPr>
            <w:rStyle w:val="Hyperlink"/>
            <w:noProof/>
          </w:rPr>
          <w:t>Australian Vehicle Standards</w:t>
        </w:r>
        <w:r w:rsidR="00B52F7D">
          <w:rPr>
            <w:noProof/>
            <w:webHidden/>
          </w:rPr>
          <w:tab/>
        </w:r>
        <w:r w:rsidR="00B52F7D">
          <w:rPr>
            <w:noProof/>
            <w:webHidden/>
          </w:rPr>
          <w:fldChar w:fldCharType="begin"/>
        </w:r>
        <w:r w:rsidR="00B52F7D">
          <w:rPr>
            <w:noProof/>
            <w:webHidden/>
          </w:rPr>
          <w:instrText xml:space="preserve"> PAGEREF _Toc430182495 \h </w:instrText>
        </w:r>
        <w:r w:rsidR="00B52F7D">
          <w:rPr>
            <w:noProof/>
            <w:webHidden/>
          </w:rPr>
        </w:r>
        <w:r w:rsidR="00B52F7D">
          <w:rPr>
            <w:noProof/>
            <w:webHidden/>
          </w:rPr>
          <w:fldChar w:fldCharType="separate"/>
        </w:r>
        <w:r w:rsidR="00B52F7D">
          <w:rPr>
            <w:noProof/>
            <w:webHidden/>
          </w:rPr>
          <w:t>17</w:t>
        </w:r>
        <w:r w:rsidR="00B52F7D">
          <w:rPr>
            <w:noProof/>
            <w:webHidden/>
          </w:rPr>
          <w:fldChar w:fldCharType="end"/>
        </w:r>
      </w:hyperlink>
    </w:p>
    <w:p w:rsidR="00B52F7D" w:rsidRDefault="00A1425C">
      <w:pPr>
        <w:pStyle w:val="TOC3"/>
        <w:tabs>
          <w:tab w:val="left" w:pos="1200"/>
          <w:tab w:val="right" w:pos="8296"/>
        </w:tabs>
        <w:rPr>
          <w:rFonts w:asciiTheme="minorHAnsi" w:eastAsiaTheme="minorEastAsia" w:hAnsiTheme="minorHAnsi" w:cstheme="minorBidi"/>
          <w:i w:val="0"/>
          <w:iCs w:val="0"/>
          <w:noProof/>
          <w:sz w:val="22"/>
          <w:szCs w:val="22"/>
        </w:rPr>
      </w:pPr>
      <w:hyperlink w:anchor="_Toc430182496" w:history="1">
        <w:r w:rsidR="00B52F7D" w:rsidRPr="00FA77DC">
          <w:rPr>
            <w:rStyle w:val="Hyperlink"/>
            <w:noProof/>
          </w:rPr>
          <w:t>1.5.2</w:t>
        </w:r>
        <w:r w:rsidR="00B52F7D">
          <w:rPr>
            <w:rFonts w:asciiTheme="minorHAnsi" w:eastAsiaTheme="minorEastAsia" w:hAnsiTheme="minorHAnsi" w:cstheme="minorBidi"/>
            <w:i w:val="0"/>
            <w:iCs w:val="0"/>
            <w:noProof/>
            <w:sz w:val="22"/>
            <w:szCs w:val="22"/>
          </w:rPr>
          <w:tab/>
        </w:r>
        <w:r w:rsidR="00B52F7D" w:rsidRPr="00FA77DC">
          <w:rPr>
            <w:rStyle w:val="Hyperlink"/>
            <w:noProof/>
          </w:rPr>
          <w:t>International Vehicle Standards</w:t>
        </w:r>
        <w:r w:rsidR="00B52F7D">
          <w:rPr>
            <w:noProof/>
            <w:webHidden/>
          </w:rPr>
          <w:tab/>
        </w:r>
        <w:r w:rsidR="00B52F7D">
          <w:rPr>
            <w:noProof/>
            <w:webHidden/>
          </w:rPr>
          <w:fldChar w:fldCharType="begin"/>
        </w:r>
        <w:r w:rsidR="00B52F7D">
          <w:rPr>
            <w:noProof/>
            <w:webHidden/>
          </w:rPr>
          <w:instrText xml:space="preserve"> PAGEREF _Toc430182496 \h </w:instrText>
        </w:r>
        <w:r w:rsidR="00B52F7D">
          <w:rPr>
            <w:noProof/>
            <w:webHidden/>
          </w:rPr>
        </w:r>
        <w:r w:rsidR="00B52F7D">
          <w:rPr>
            <w:noProof/>
            <w:webHidden/>
          </w:rPr>
          <w:fldChar w:fldCharType="separate"/>
        </w:r>
        <w:r w:rsidR="00B52F7D">
          <w:rPr>
            <w:noProof/>
            <w:webHidden/>
          </w:rPr>
          <w:t>18</w:t>
        </w:r>
        <w:r w:rsidR="00B52F7D">
          <w:rPr>
            <w:noProof/>
            <w:webHidden/>
          </w:rPr>
          <w:fldChar w:fldCharType="end"/>
        </w:r>
      </w:hyperlink>
    </w:p>
    <w:p w:rsidR="00B52F7D" w:rsidRDefault="00A1425C">
      <w:pPr>
        <w:pStyle w:val="TOC3"/>
        <w:tabs>
          <w:tab w:val="left" w:pos="1200"/>
          <w:tab w:val="right" w:pos="8296"/>
        </w:tabs>
        <w:rPr>
          <w:rFonts w:asciiTheme="minorHAnsi" w:eastAsiaTheme="minorEastAsia" w:hAnsiTheme="minorHAnsi" w:cstheme="minorBidi"/>
          <w:i w:val="0"/>
          <w:iCs w:val="0"/>
          <w:noProof/>
          <w:sz w:val="22"/>
          <w:szCs w:val="22"/>
        </w:rPr>
      </w:pPr>
      <w:hyperlink w:anchor="_Toc430182499" w:history="1">
        <w:r w:rsidR="00B52F7D" w:rsidRPr="00FA77DC">
          <w:rPr>
            <w:rStyle w:val="Hyperlink"/>
            <w:noProof/>
          </w:rPr>
          <w:t>1.5.3</w:t>
        </w:r>
        <w:r w:rsidR="00B52F7D">
          <w:rPr>
            <w:rFonts w:asciiTheme="minorHAnsi" w:eastAsiaTheme="minorEastAsia" w:hAnsiTheme="minorHAnsi" w:cstheme="minorBidi"/>
            <w:i w:val="0"/>
            <w:iCs w:val="0"/>
            <w:noProof/>
            <w:sz w:val="22"/>
            <w:szCs w:val="22"/>
          </w:rPr>
          <w:tab/>
        </w:r>
        <w:r w:rsidR="00B52F7D" w:rsidRPr="00FA77DC">
          <w:rPr>
            <w:rStyle w:val="Hyperlink"/>
            <w:noProof/>
          </w:rPr>
          <w:t>Australian &amp; European Fuel Standards</w:t>
        </w:r>
        <w:r w:rsidR="00B52F7D">
          <w:rPr>
            <w:noProof/>
            <w:webHidden/>
          </w:rPr>
          <w:tab/>
        </w:r>
        <w:r w:rsidR="00B52F7D">
          <w:rPr>
            <w:noProof/>
            <w:webHidden/>
          </w:rPr>
          <w:fldChar w:fldCharType="begin"/>
        </w:r>
        <w:r w:rsidR="00B52F7D">
          <w:rPr>
            <w:noProof/>
            <w:webHidden/>
          </w:rPr>
          <w:instrText xml:space="preserve"> PAGEREF _Toc430182499 \h </w:instrText>
        </w:r>
        <w:r w:rsidR="00B52F7D">
          <w:rPr>
            <w:noProof/>
            <w:webHidden/>
          </w:rPr>
        </w:r>
        <w:r w:rsidR="00B52F7D">
          <w:rPr>
            <w:noProof/>
            <w:webHidden/>
          </w:rPr>
          <w:fldChar w:fldCharType="separate"/>
        </w:r>
        <w:r w:rsidR="00B52F7D">
          <w:rPr>
            <w:noProof/>
            <w:webHidden/>
          </w:rPr>
          <w:t>19</w:t>
        </w:r>
        <w:r w:rsidR="00B52F7D">
          <w:rPr>
            <w:noProof/>
            <w:webHidden/>
          </w:rPr>
          <w:fldChar w:fldCharType="end"/>
        </w:r>
      </w:hyperlink>
    </w:p>
    <w:p w:rsidR="00B52F7D" w:rsidRDefault="00A1425C">
      <w:pPr>
        <w:pStyle w:val="TOC3"/>
        <w:tabs>
          <w:tab w:val="left" w:pos="1200"/>
          <w:tab w:val="right" w:pos="8296"/>
        </w:tabs>
        <w:rPr>
          <w:rFonts w:asciiTheme="minorHAnsi" w:eastAsiaTheme="minorEastAsia" w:hAnsiTheme="minorHAnsi" w:cstheme="minorBidi"/>
          <w:i w:val="0"/>
          <w:iCs w:val="0"/>
          <w:noProof/>
          <w:sz w:val="22"/>
          <w:szCs w:val="22"/>
        </w:rPr>
      </w:pPr>
      <w:hyperlink w:anchor="_Toc430182500" w:history="1">
        <w:r w:rsidR="00B52F7D" w:rsidRPr="00FA77DC">
          <w:rPr>
            <w:rStyle w:val="Hyperlink"/>
            <w:noProof/>
          </w:rPr>
          <w:t>1.5.4</w:t>
        </w:r>
        <w:r w:rsidR="00B52F7D">
          <w:rPr>
            <w:rFonts w:asciiTheme="minorHAnsi" w:eastAsiaTheme="minorEastAsia" w:hAnsiTheme="minorHAnsi" w:cstheme="minorBidi"/>
            <w:i w:val="0"/>
            <w:iCs w:val="0"/>
            <w:noProof/>
            <w:sz w:val="22"/>
            <w:szCs w:val="22"/>
          </w:rPr>
          <w:tab/>
        </w:r>
        <w:r w:rsidR="00B52F7D" w:rsidRPr="00FA77DC">
          <w:rPr>
            <w:rStyle w:val="Hyperlink"/>
            <w:noProof/>
          </w:rPr>
          <w:t>Fuels and Technology Context</w:t>
        </w:r>
        <w:r w:rsidR="00B52F7D">
          <w:rPr>
            <w:noProof/>
            <w:webHidden/>
          </w:rPr>
          <w:tab/>
        </w:r>
        <w:r w:rsidR="00B52F7D">
          <w:rPr>
            <w:noProof/>
            <w:webHidden/>
          </w:rPr>
          <w:fldChar w:fldCharType="begin"/>
        </w:r>
        <w:r w:rsidR="00B52F7D">
          <w:rPr>
            <w:noProof/>
            <w:webHidden/>
          </w:rPr>
          <w:instrText xml:space="preserve"> PAGEREF _Toc430182500 \h </w:instrText>
        </w:r>
        <w:r w:rsidR="00B52F7D">
          <w:rPr>
            <w:noProof/>
            <w:webHidden/>
          </w:rPr>
        </w:r>
        <w:r w:rsidR="00B52F7D">
          <w:rPr>
            <w:noProof/>
            <w:webHidden/>
          </w:rPr>
          <w:fldChar w:fldCharType="separate"/>
        </w:r>
        <w:r w:rsidR="00B52F7D">
          <w:rPr>
            <w:noProof/>
            <w:webHidden/>
          </w:rPr>
          <w:t>20</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01" w:history="1">
        <w:r w:rsidR="00B52F7D" w:rsidRPr="00FA77DC">
          <w:rPr>
            <w:rStyle w:val="Hyperlink"/>
            <w:noProof/>
          </w:rPr>
          <w:t>1.6</w:t>
        </w:r>
        <w:r w:rsidR="00B52F7D">
          <w:rPr>
            <w:rFonts w:asciiTheme="minorHAnsi" w:eastAsiaTheme="minorEastAsia" w:hAnsiTheme="minorHAnsi" w:cstheme="minorBidi"/>
            <w:smallCaps w:val="0"/>
            <w:noProof/>
            <w:sz w:val="22"/>
            <w:szCs w:val="22"/>
          </w:rPr>
          <w:tab/>
        </w:r>
        <w:r w:rsidR="00B52F7D" w:rsidRPr="00FA77DC">
          <w:rPr>
            <w:rStyle w:val="Hyperlink"/>
            <w:noProof/>
          </w:rPr>
          <w:t>Why is Government Action Required?</w:t>
        </w:r>
        <w:r w:rsidR="00B52F7D">
          <w:rPr>
            <w:noProof/>
            <w:webHidden/>
          </w:rPr>
          <w:tab/>
        </w:r>
        <w:r w:rsidR="00B52F7D">
          <w:rPr>
            <w:noProof/>
            <w:webHidden/>
          </w:rPr>
          <w:fldChar w:fldCharType="begin"/>
        </w:r>
        <w:r w:rsidR="00B52F7D">
          <w:rPr>
            <w:noProof/>
            <w:webHidden/>
          </w:rPr>
          <w:instrText xml:space="preserve"> PAGEREF _Toc430182501 \h </w:instrText>
        </w:r>
        <w:r w:rsidR="00B52F7D">
          <w:rPr>
            <w:noProof/>
            <w:webHidden/>
          </w:rPr>
        </w:r>
        <w:r w:rsidR="00B52F7D">
          <w:rPr>
            <w:noProof/>
            <w:webHidden/>
          </w:rPr>
          <w:fldChar w:fldCharType="separate"/>
        </w:r>
        <w:r w:rsidR="00B52F7D">
          <w:rPr>
            <w:noProof/>
            <w:webHidden/>
          </w:rPr>
          <w:t>22</w:t>
        </w:r>
        <w:r w:rsidR="00B52F7D">
          <w:rPr>
            <w:noProof/>
            <w:webHidden/>
          </w:rPr>
          <w:fldChar w:fldCharType="end"/>
        </w:r>
      </w:hyperlink>
    </w:p>
    <w:p w:rsidR="00B52F7D" w:rsidRDefault="00A1425C">
      <w:pPr>
        <w:pStyle w:val="TOC1"/>
        <w:tabs>
          <w:tab w:val="left" w:pos="480"/>
          <w:tab w:val="right" w:pos="8296"/>
        </w:tabs>
        <w:rPr>
          <w:rFonts w:asciiTheme="minorHAnsi" w:eastAsiaTheme="minorEastAsia" w:hAnsiTheme="minorHAnsi" w:cstheme="minorBidi"/>
          <w:b w:val="0"/>
          <w:bCs w:val="0"/>
          <w:caps w:val="0"/>
          <w:noProof/>
          <w:sz w:val="22"/>
          <w:szCs w:val="22"/>
        </w:rPr>
      </w:pPr>
      <w:hyperlink w:anchor="_Toc430182503" w:history="1">
        <w:r w:rsidR="00B52F7D" w:rsidRPr="00FA77DC">
          <w:rPr>
            <w:rStyle w:val="Hyperlink"/>
            <w:noProof/>
          </w:rPr>
          <w:t>2.</w:t>
        </w:r>
        <w:r w:rsidR="00B52F7D">
          <w:rPr>
            <w:rFonts w:asciiTheme="minorHAnsi" w:eastAsiaTheme="minorEastAsia" w:hAnsiTheme="minorHAnsi" w:cstheme="minorBidi"/>
            <w:b w:val="0"/>
            <w:bCs w:val="0"/>
            <w:caps w:val="0"/>
            <w:noProof/>
            <w:sz w:val="22"/>
            <w:szCs w:val="22"/>
          </w:rPr>
          <w:tab/>
        </w:r>
        <w:r w:rsidR="00B52F7D" w:rsidRPr="00FA77DC">
          <w:rPr>
            <w:rStyle w:val="Hyperlink"/>
            <w:noProof/>
          </w:rPr>
          <w:t>objectives of government action</w:t>
        </w:r>
        <w:r w:rsidR="00B52F7D">
          <w:rPr>
            <w:noProof/>
            <w:webHidden/>
          </w:rPr>
          <w:tab/>
        </w:r>
        <w:r w:rsidR="00B52F7D">
          <w:rPr>
            <w:noProof/>
            <w:webHidden/>
          </w:rPr>
          <w:fldChar w:fldCharType="begin"/>
        </w:r>
        <w:r w:rsidR="00B52F7D">
          <w:rPr>
            <w:noProof/>
            <w:webHidden/>
          </w:rPr>
          <w:instrText xml:space="preserve"> PAGEREF _Toc430182503 \h </w:instrText>
        </w:r>
        <w:r w:rsidR="00B52F7D">
          <w:rPr>
            <w:noProof/>
            <w:webHidden/>
          </w:rPr>
        </w:r>
        <w:r w:rsidR="00B52F7D">
          <w:rPr>
            <w:noProof/>
            <w:webHidden/>
          </w:rPr>
          <w:fldChar w:fldCharType="separate"/>
        </w:r>
        <w:r w:rsidR="00B52F7D">
          <w:rPr>
            <w:noProof/>
            <w:webHidden/>
          </w:rPr>
          <w:t>26</w:t>
        </w:r>
        <w:r w:rsidR="00B52F7D">
          <w:rPr>
            <w:noProof/>
            <w:webHidden/>
          </w:rPr>
          <w:fldChar w:fldCharType="end"/>
        </w:r>
      </w:hyperlink>
    </w:p>
    <w:p w:rsidR="00B52F7D" w:rsidRDefault="00A1425C">
      <w:pPr>
        <w:pStyle w:val="TOC1"/>
        <w:tabs>
          <w:tab w:val="left" w:pos="480"/>
          <w:tab w:val="right" w:pos="8296"/>
        </w:tabs>
        <w:rPr>
          <w:rFonts w:asciiTheme="minorHAnsi" w:eastAsiaTheme="minorEastAsia" w:hAnsiTheme="minorHAnsi" w:cstheme="minorBidi"/>
          <w:b w:val="0"/>
          <w:bCs w:val="0"/>
          <w:caps w:val="0"/>
          <w:noProof/>
          <w:sz w:val="22"/>
          <w:szCs w:val="22"/>
        </w:rPr>
      </w:pPr>
      <w:hyperlink w:anchor="_Toc430182504" w:history="1">
        <w:r w:rsidR="00B52F7D" w:rsidRPr="00FA77DC">
          <w:rPr>
            <w:rStyle w:val="Hyperlink"/>
            <w:noProof/>
          </w:rPr>
          <w:t>3.</w:t>
        </w:r>
        <w:r w:rsidR="00B52F7D">
          <w:rPr>
            <w:rFonts w:asciiTheme="minorHAnsi" w:eastAsiaTheme="minorEastAsia" w:hAnsiTheme="minorHAnsi" w:cstheme="minorBidi"/>
            <w:b w:val="0"/>
            <w:bCs w:val="0"/>
            <w:caps w:val="0"/>
            <w:noProof/>
            <w:sz w:val="22"/>
            <w:szCs w:val="22"/>
          </w:rPr>
          <w:tab/>
        </w:r>
        <w:r w:rsidR="00B52F7D" w:rsidRPr="00FA77DC">
          <w:rPr>
            <w:rStyle w:val="Hyperlink"/>
            <w:noProof/>
          </w:rPr>
          <w:t>Description of Options</w:t>
        </w:r>
        <w:r w:rsidR="00B52F7D">
          <w:rPr>
            <w:noProof/>
            <w:webHidden/>
          </w:rPr>
          <w:tab/>
        </w:r>
        <w:r w:rsidR="00B52F7D">
          <w:rPr>
            <w:noProof/>
            <w:webHidden/>
          </w:rPr>
          <w:fldChar w:fldCharType="begin"/>
        </w:r>
        <w:r w:rsidR="00B52F7D">
          <w:rPr>
            <w:noProof/>
            <w:webHidden/>
          </w:rPr>
          <w:instrText xml:space="preserve"> PAGEREF _Toc430182504 \h </w:instrText>
        </w:r>
        <w:r w:rsidR="00B52F7D">
          <w:rPr>
            <w:noProof/>
            <w:webHidden/>
          </w:rPr>
        </w:r>
        <w:r w:rsidR="00B52F7D">
          <w:rPr>
            <w:noProof/>
            <w:webHidden/>
          </w:rPr>
          <w:fldChar w:fldCharType="separate"/>
        </w:r>
        <w:r w:rsidR="00B52F7D">
          <w:rPr>
            <w:noProof/>
            <w:webHidden/>
          </w:rPr>
          <w:t>27</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05" w:history="1">
        <w:r w:rsidR="00B52F7D" w:rsidRPr="00FA77DC">
          <w:rPr>
            <w:rStyle w:val="Hyperlink"/>
            <w:noProof/>
          </w:rPr>
          <w:t>3.1</w:t>
        </w:r>
        <w:r w:rsidR="00B52F7D">
          <w:rPr>
            <w:rFonts w:asciiTheme="minorHAnsi" w:eastAsiaTheme="minorEastAsia" w:hAnsiTheme="minorHAnsi" w:cstheme="minorBidi"/>
            <w:smallCaps w:val="0"/>
            <w:noProof/>
            <w:sz w:val="22"/>
            <w:szCs w:val="22"/>
          </w:rPr>
          <w:tab/>
        </w:r>
        <w:r w:rsidR="00B52F7D" w:rsidRPr="00FA77DC">
          <w:rPr>
            <w:rStyle w:val="Hyperlink"/>
            <w:noProof/>
          </w:rPr>
          <w:t>Summary</w:t>
        </w:r>
        <w:r w:rsidR="00B52F7D">
          <w:rPr>
            <w:noProof/>
            <w:webHidden/>
          </w:rPr>
          <w:tab/>
        </w:r>
        <w:r w:rsidR="00B52F7D">
          <w:rPr>
            <w:noProof/>
            <w:webHidden/>
          </w:rPr>
          <w:fldChar w:fldCharType="begin"/>
        </w:r>
        <w:r w:rsidR="00B52F7D">
          <w:rPr>
            <w:noProof/>
            <w:webHidden/>
          </w:rPr>
          <w:instrText xml:space="preserve"> PAGEREF _Toc430182505 \h </w:instrText>
        </w:r>
        <w:r w:rsidR="00B52F7D">
          <w:rPr>
            <w:noProof/>
            <w:webHidden/>
          </w:rPr>
        </w:r>
        <w:r w:rsidR="00B52F7D">
          <w:rPr>
            <w:noProof/>
            <w:webHidden/>
          </w:rPr>
          <w:fldChar w:fldCharType="separate"/>
        </w:r>
        <w:r w:rsidR="00B52F7D">
          <w:rPr>
            <w:noProof/>
            <w:webHidden/>
          </w:rPr>
          <w:t>27</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09" w:history="1">
        <w:r w:rsidR="00B52F7D" w:rsidRPr="00FA77DC">
          <w:rPr>
            <w:rStyle w:val="Hyperlink"/>
            <w:noProof/>
          </w:rPr>
          <w:t>3.2</w:t>
        </w:r>
        <w:r w:rsidR="00B52F7D">
          <w:rPr>
            <w:rFonts w:asciiTheme="minorHAnsi" w:eastAsiaTheme="minorEastAsia" w:hAnsiTheme="minorHAnsi" w:cstheme="minorBidi"/>
            <w:smallCaps w:val="0"/>
            <w:noProof/>
            <w:sz w:val="22"/>
            <w:szCs w:val="22"/>
          </w:rPr>
          <w:tab/>
        </w:r>
        <w:r w:rsidR="00B52F7D" w:rsidRPr="00FA77DC">
          <w:rPr>
            <w:rStyle w:val="Hyperlink"/>
            <w:noProof/>
          </w:rPr>
          <w:t>Option 1: Status Quo</w:t>
        </w:r>
        <w:r w:rsidR="00B52F7D">
          <w:rPr>
            <w:noProof/>
            <w:webHidden/>
          </w:rPr>
          <w:tab/>
        </w:r>
        <w:r w:rsidR="00B52F7D">
          <w:rPr>
            <w:noProof/>
            <w:webHidden/>
          </w:rPr>
          <w:fldChar w:fldCharType="begin"/>
        </w:r>
        <w:r w:rsidR="00B52F7D">
          <w:rPr>
            <w:noProof/>
            <w:webHidden/>
          </w:rPr>
          <w:instrText xml:space="preserve"> PAGEREF _Toc430182509 \h </w:instrText>
        </w:r>
        <w:r w:rsidR="00B52F7D">
          <w:rPr>
            <w:noProof/>
            <w:webHidden/>
          </w:rPr>
        </w:r>
        <w:r w:rsidR="00B52F7D">
          <w:rPr>
            <w:noProof/>
            <w:webHidden/>
          </w:rPr>
          <w:fldChar w:fldCharType="separate"/>
        </w:r>
        <w:r w:rsidR="00B52F7D">
          <w:rPr>
            <w:noProof/>
            <w:webHidden/>
          </w:rPr>
          <w:t>30</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13" w:history="1">
        <w:r w:rsidR="00B52F7D" w:rsidRPr="00FA77DC">
          <w:rPr>
            <w:rStyle w:val="Hyperlink"/>
            <w:noProof/>
          </w:rPr>
          <w:t>3.3</w:t>
        </w:r>
        <w:r w:rsidR="00B52F7D">
          <w:rPr>
            <w:rFonts w:asciiTheme="minorHAnsi" w:eastAsiaTheme="minorEastAsia" w:hAnsiTheme="minorHAnsi" w:cstheme="minorBidi"/>
            <w:smallCaps w:val="0"/>
            <w:noProof/>
            <w:sz w:val="22"/>
            <w:szCs w:val="22"/>
          </w:rPr>
          <w:tab/>
        </w:r>
        <w:r w:rsidR="00B52F7D" w:rsidRPr="00FA77DC">
          <w:rPr>
            <w:rStyle w:val="Hyperlink"/>
            <w:noProof/>
          </w:rPr>
          <w:t>Option 2: Introduction of Euro 5/6 on earliest practical timeframes</w:t>
        </w:r>
        <w:r w:rsidR="00B52F7D">
          <w:rPr>
            <w:noProof/>
            <w:webHidden/>
          </w:rPr>
          <w:tab/>
        </w:r>
        <w:r w:rsidR="00B52F7D">
          <w:rPr>
            <w:noProof/>
            <w:webHidden/>
          </w:rPr>
          <w:fldChar w:fldCharType="begin"/>
        </w:r>
        <w:r w:rsidR="00B52F7D">
          <w:rPr>
            <w:noProof/>
            <w:webHidden/>
          </w:rPr>
          <w:instrText xml:space="preserve"> PAGEREF _Toc430182513 \h </w:instrText>
        </w:r>
        <w:r w:rsidR="00B52F7D">
          <w:rPr>
            <w:noProof/>
            <w:webHidden/>
          </w:rPr>
        </w:r>
        <w:r w:rsidR="00B52F7D">
          <w:rPr>
            <w:noProof/>
            <w:webHidden/>
          </w:rPr>
          <w:fldChar w:fldCharType="separate"/>
        </w:r>
        <w:r w:rsidR="00B52F7D">
          <w:rPr>
            <w:noProof/>
            <w:webHidden/>
          </w:rPr>
          <w:t>33</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14" w:history="1">
        <w:r w:rsidR="00B52F7D" w:rsidRPr="00FA77DC">
          <w:rPr>
            <w:rStyle w:val="Hyperlink"/>
            <w:noProof/>
          </w:rPr>
          <w:t>3.4</w:t>
        </w:r>
        <w:r w:rsidR="00B52F7D">
          <w:rPr>
            <w:rFonts w:asciiTheme="minorHAnsi" w:eastAsiaTheme="minorEastAsia" w:hAnsiTheme="minorHAnsi" w:cstheme="minorBidi"/>
            <w:smallCaps w:val="0"/>
            <w:noProof/>
            <w:sz w:val="22"/>
            <w:szCs w:val="22"/>
          </w:rPr>
          <w:tab/>
        </w:r>
        <w:r w:rsidR="00B52F7D" w:rsidRPr="00FA77DC">
          <w:rPr>
            <w:rStyle w:val="Hyperlink"/>
            <w:noProof/>
          </w:rPr>
          <w:t>Option 3: As for Option 2, with delayed timeframe</w:t>
        </w:r>
        <w:r w:rsidR="00B52F7D">
          <w:rPr>
            <w:noProof/>
            <w:webHidden/>
          </w:rPr>
          <w:tab/>
        </w:r>
        <w:r w:rsidR="00B52F7D">
          <w:rPr>
            <w:noProof/>
            <w:webHidden/>
          </w:rPr>
          <w:fldChar w:fldCharType="begin"/>
        </w:r>
        <w:r w:rsidR="00B52F7D">
          <w:rPr>
            <w:noProof/>
            <w:webHidden/>
          </w:rPr>
          <w:instrText xml:space="preserve"> PAGEREF _Toc430182514 \h </w:instrText>
        </w:r>
        <w:r w:rsidR="00B52F7D">
          <w:rPr>
            <w:noProof/>
            <w:webHidden/>
          </w:rPr>
        </w:r>
        <w:r w:rsidR="00B52F7D">
          <w:rPr>
            <w:noProof/>
            <w:webHidden/>
          </w:rPr>
          <w:fldChar w:fldCharType="separate"/>
        </w:r>
        <w:r w:rsidR="00B52F7D">
          <w:rPr>
            <w:noProof/>
            <w:webHidden/>
          </w:rPr>
          <w:t>35</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15" w:history="1">
        <w:r w:rsidR="00B52F7D" w:rsidRPr="00FA77DC">
          <w:rPr>
            <w:rStyle w:val="Hyperlink"/>
            <w:noProof/>
          </w:rPr>
          <w:t>3.5</w:t>
        </w:r>
        <w:r w:rsidR="00B52F7D">
          <w:rPr>
            <w:rFonts w:asciiTheme="minorHAnsi" w:eastAsiaTheme="minorEastAsia" w:hAnsiTheme="minorHAnsi" w:cstheme="minorBidi"/>
            <w:smallCaps w:val="0"/>
            <w:noProof/>
            <w:sz w:val="22"/>
            <w:szCs w:val="22"/>
          </w:rPr>
          <w:tab/>
        </w:r>
        <w:r w:rsidR="00B52F7D" w:rsidRPr="00FA77DC">
          <w:rPr>
            <w:rStyle w:val="Hyperlink"/>
            <w:noProof/>
          </w:rPr>
          <w:t>Option 4: As for Option 2, except apply to diesel vehicles only</w:t>
        </w:r>
        <w:r w:rsidR="00B52F7D">
          <w:rPr>
            <w:noProof/>
            <w:webHidden/>
          </w:rPr>
          <w:tab/>
        </w:r>
        <w:r w:rsidR="00B52F7D">
          <w:rPr>
            <w:noProof/>
            <w:webHidden/>
          </w:rPr>
          <w:fldChar w:fldCharType="begin"/>
        </w:r>
        <w:r w:rsidR="00B52F7D">
          <w:rPr>
            <w:noProof/>
            <w:webHidden/>
          </w:rPr>
          <w:instrText xml:space="preserve"> PAGEREF _Toc430182515 \h </w:instrText>
        </w:r>
        <w:r w:rsidR="00B52F7D">
          <w:rPr>
            <w:noProof/>
            <w:webHidden/>
          </w:rPr>
        </w:r>
        <w:r w:rsidR="00B52F7D">
          <w:rPr>
            <w:noProof/>
            <w:webHidden/>
          </w:rPr>
          <w:fldChar w:fldCharType="separate"/>
        </w:r>
        <w:r w:rsidR="00B52F7D">
          <w:rPr>
            <w:noProof/>
            <w:webHidden/>
          </w:rPr>
          <w:t>36</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16" w:history="1">
        <w:r w:rsidR="00B52F7D" w:rsidRPr="00FA77DC">
          <w:rPr>
            <w:rStyle w:val="Hyperlink"/>
            <w:noProof/>
          </w:rPr>
          <w:t>3.6</w:t>
        </w:r>
        <w:r w:rsidR="00B52F7D">
          <w:rPr>
            <w:rFonts w:asciiTheme="minorHAnsi" w:eastAsiaTheme="minorEastAsia" w:hAnsiTheme="minorHAnsi" w:cstheme="minorBidi"/>
            <w:smallCaps w:val="0"/>
            <w:noProof/>
            <w:sz w:val="22"/>
            <w:szCs w:val="22"/>
          </w:rPr>
          <w:tab/>
        </w:r>
        <w:r w:rsidR="00B52F7D" w:rsidRPr="00FA77DC">
          <w:rPr>
            <w:rStyle w:val="Hyperlink"/>
            <w:noProof/>
          </w:rPr>
          <w:t>Option 5: Introduction of Euro 5 only on earliest practical timeframes</w:t>
        </w:r>
        <w:r w:rsidR="00B52F7D">
          <w:rPr>
            <w:noProof/>
            <w:webHidden/>
          </w:rPr>
          <w:tab/>
        </w:r>
        <w:r w:rsidR="00B52F7D">
          <w:rPr>
            <w:noProof/>
            <w:webHidden/>
          </w:rPr>
          <w:fldChar w:fldCharType="begin"/>
        </w:r>
        <w:r w:rsidR="00B52F7D">
          <w:rPr>
            <w:noProof/>
            <w:webHidden/>
          </w:rPr>
          <w:instrText xml:space="preserve"> PAGEREF _Toc430182516 \h </w:instrText>
        </w:r>
        <w:r w:rsidR="00B52F7D">
          <w:rPr>
            <w:noProof/>
            <w:webHidden/>
          </w:rPr>
        </w:r>
        <w:r w:rsidR="00B52F7D">
          <w:rPr>
            <w:noProof/>
            <w:webHidden/>
          </w:rPr>
          <w:fldChar w:fldCharType="separate"/>
        </w:r>
        <w:r w:rsidR="00B52F7D">
          <w:rPr>
            <w:noProof/>
            <w:webHidden/>
          </w:rPr>
          <w:t>37</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17" w:history="1">
        <w:r w:rsidR="00B52F7D" w:rsidRPr="00FA77DC">
          <w:rPr>
            <w:rStyle w:val="Hyperlink"/>
            <w:noProof/>
          </w:rPr>
          <w:t>3.7</w:t>
        </w:r>
        <w:r w:rsidR="00B52F7D">
          <w:rPr>
            <w:rFonts w:asciiTheme="minorHAnsi" w:eastAsiaTheme="minorEastAsia" w:hAnsiTheme="minorHAnsi" w:cstheme="minorBidi"/>
            <w:smallCaps w:val="0"/>
            <w:noProof/>
            <w:sz w:val="22"/>
            <w:szCs w:val="22"/>
          </w:rPr>
          <w:tab/>
        </w:r>
        <w:r w:rsidR="00B52F7D" w:rsidRPr="00FA77DC">
          <w:rPr>
            <w:rStyle w:val="Hyperlink"/>
            <w:noProof/>
          </w:rPr>
          <w:t>Option 6: Introduction of Euro 6 only on earliest practical timeframes</w:t>
        </w:r>
        <w:r w:rsidR="00B52F7D">
          <w:rPr>
            <w:noProof/>
            <w:webHidden/>
          </w:rPr>
          <w:tab/>
        </w:r>
        <w:r w:rsidR="00B52F7D">
          <w:rPr>
            <w:noProof/>
            <w:webHidden/>
          </w:rPr>
          <w:fldChar w:fldCharType="begin"/>
        </w:r>
        <w:r w:rsidR="00B52F7D">
          <w:rPr>
            <w:noProof/>
            <w:webHidden/>
          </w:rPr>
          <w:instrText xml:space="preserve"> PAGEREF _Toc430182517 \h </w:instrText>
        </w:r>
        <w:r w:rsidR="00B52F7D">
          <w:rPr>
            <w:noProof/>
            <w:webHidden/>
          </w:rPr>
        </w:r>
        <w:r w:rsidR="00B52F7D">
          <w:rPr>
            <w:noProof/>
            <w:webHidden/>
          </w:rPr>
          <w:fldChar w:fldCharType="separate"/>
        </w:r>
        <w:r w:rsidR="00B52F7D">
          <w:rPr>
            <w:noProof/>
            <w:webHidden/>
          </w:rPr>
          <w:t>38</w:t>
        </w:r>
        <w:r w:rsidR="00B52F7D">
          <w:rPr>
            <w:noProof/>
            <w:webHidden/>
          </w:rPr>
          <w:fldChar w:fldCharType="end"/>
        </w:r>
      </w:hyperlink>
    </w:p>
    <w:p w:rsidR="00B52F7D" w:rsidRDefault="00A1425C">
      <w:pPr>
        <w:pStyle w:val="TOC1"/>
        <w:tabs>
          <w:tab w:val="left" w:pos="480"/>
          <w:tab w:val="right" w:pos="8296"/>
        </w:tabs>
        <w:rPr>
          <w:rFonts w:asciiTheme="minorHAnsi" w:eastAsiaTheme="minorEastAsia" w:hAnsiTheme="minorHAnsi" w:cstheme="minorBidi"/>
          <w:b w:val="0"/>
          <w:bCs w:val="0"/>
          <w:caps w:val="0"/>
          <w:noProof/>
          <w:sz w:val="22"/>
          <w:szCs w:val="22"/>
        </w:rPr>
      </w:pPr>
      <w:hyperlink w:anchor="_Toc430182518" w:history="1">
        <w:r w:rsidR="00B52F7D" w:rsidRPr="00FA77DC">
          <w:rPr>
            <w:rStyle w:val="Hyperlink"/>
            <w:noProof/>
          </w:rPr>
          <w:t>4.</w:t>
        </w:r>
        <w:r w:rsidR="00B52F7D">
          <w:rPr>
            <w:rFonts w:asciiTheme="minorHAnsi" w:eastAsiaTheme="minorEastAsia" w:hAnsiTheme="minorHAnsi" w:cstheme="minorBidi"/>
            <w:b w:val="0"/>
            <w:bCs w:val="0"/>
            <w:caps w:val="0"/>
            <w:noProof/>
            <w:sz w:val="22"/>
            <w:szCs w:val="22"/>
          </w:rPr>
          <w:tab/>
        </w:r>
        <w:r w:rsidR="00B52F7D" w:rsidRPr="00FA77DC">
          <w:rPr>
            <w:rStyle w:val="Hyperlink"/>
            <w:noProof/>
          </w:rPr>
          <w:t>Comparative Analysis of Options</w:t>
        </w:r>
        <w:r w:rsidR="00B52F7D">
          <w:rPr>
            <w:noProof/>
            <w:webHidden/>
          </w:rPr>
          <w:tab/>
        </w:r>
        <w:r w:rsidR="00B52F7D">
          <w:rPr>
            <w:noProof/>
            <w:webHidden/>
          </w:rPr>
          <w:fldChar w:fldCharType="begin"/>
        </w:r>
        <w:r w:rsidR="00B52F7D">
          <w:rPr>
            <w:noProof/>
            <w:webHidden/>
          </w:rPr>
          <w:instrText xml:space="preserve"> PAGEREF _Toc430182518 \h </w:instrText>
        </w:r>
        <w:r w:rsidR="00B52F7D">
          <w:rPr>
            <w:noProof/>
            <w:webHidden/>
          </w:rPr>
        </w:r>
        <w:r w:rsidR="00B52F7D">
          <w:rPr>
            <w:noProof/>
            <w:webHidden/>
          </w:rPr>
          <w:fldChar w:fldCharType="separate"/>
        </w:r>
        <w:r w:rsidR="00B52F7D">
          <w:rPr>
            <w:noProof/>
            <w:webHidden/>
          </w:rPr>
          <w:t>39</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19" w:history="1">
        <w:r w:rsidR="00B52F7D" w:rsidRPr="00FA77DC">
          <w:rPr>
            <w:rStyle w:val="Hyperlink"/>
            <w:noProof/>
          </w:rPr>
          <w:t>4.1</w:t>
        </w:r>
        <w:r w:rsidR="00B52F7D">
          <w:rPr>
            <w:rFonts w:asciiTheme="minorHAnsi" w:eastAsiaTheme="minorEastAsia" w:hAnsiTheme="minorHAnsi" w:cstheme="minorBidi"/>
            <w:smallCaps w:val="0"/>
            <w:noProof/>
            <w:sz w:val="22"/>
            <w:szCs w:val="22"/>
          </w:rPr>
          <w:tab/>
        </w:r>
        <w:r w:rsidR="00B52F7D" w:rsidRPr="00FA77DC">
          <w:rPr>
            <w:rStyle w:val="Hyperlink"/>
            <w:noProof/>
          </w:rPr>
          <w:t>Impact on Vehicle Emissions</w:t>
        </w:r>
        <w:r w:rsidR="00B52F7D">
          <w:rPr>
            <w:noProof/>
            <w:webHidden/>
          </w:rPr>
          <w:tab/>
        </w:r>
        <w:r w:rsidR="00B52F7D">
          <w:rPr>
            <w:noProof/>
            <w:webHidden/>
          </w:rPr>
          <w:fldChar w:fldCharType="begin"/>
        </w:r>
        <w:r w:rsidR="00B52F7D">
          <w:rPr>
            <w:noProof/>
            <w:webHidden/>
          </w:rPr>
          <w:instrText xml:space="preserve"> PAGEREF _Toc430182519 \h </w:instrText>
        </w:r>
        <w:r w:rsidR="00B52F7D">
          <w:rPr>
            <w:noProof/>
            <w:webHidden/>
          </w:rPr>
        </w:r>
        <w:r w:rsidR="00B52F7D">
          <w:rPr>
            <w:noProof/>
            <w:webHidden/>
          </w:rPr>
          <w:fldChar w:fldCharType="separate"/>
        </w:r>
        <w:r w:rsidR="00B52F7D">
          <w:rPr>
            <w:noProof/>
            <w:webHidden/>
          </w:rPr>
          <w:t>39</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24" w:history="1">
        <w:r w:rsidR="00B52F7D" w:rsidRPr="00FA77DC">
          <w:rPr>
            <w:rStyle w:val="Hyperlink"/>
            <w:noProof/>
          </w:rPr>
          <w:t>4.2</w:t>
        </w:r>
        <w:r w:rsidR="00B52F7D">
          <w:rPr>
            <w:rFonts w:asciiTheme="minorHAnsi" w:eastAsiaTheme="minorEastAsia" w:hAnsiTheme="minorHAnsi" w:cstheme="minorBidi"/>
            <w:smallCaps w:val="0"/>
            <w:noProof/>
            <w:sz w:val="22"/>
            <w:szCs w:val="22"/>
          </w:rPr>
          <w:tab/>
        </w:r>
        <w:r w:rsidR="00B52F7D" w:rsidRPr="00FA77DC">
          <w:rPr>
            <w:rStyle w:val="Hyperlink"/>
            <w:noProof/>
          </w:rPr>
          <w:t>Costs</w:t>
        </w:r>
        <w:r w:rsidR="00B52F7D">
          <w:rPr>
            <w:noProof/>
            <w:webHidden/>
          </w:rPr>
          <w:tab/>
        </w:r>
        <w:r w:rsidR="00B52F7D">
          <w:rPr>
            <w:noProof/>
            <w:webHidden/>
          </w:rPr>
          <w:fldChar w:fldCharType="begin"/>
        </w:r>
        <w:r w:rsidR="00B52F7D">
          <w:rPr>
            <w:noProof/>
            <w:webHidden/>
          </w:rPr>
          <w:instrText xml:space="preserve"> PAGEREF _Toc430182524 \h </w:instrText>
        </w:r>
        <w:r w:rsidR="00B52F7D">
          <w:rPr>
            <w:noProof/>
            <w:webHidden/>
          </w:rPr>
        </w:r>
        <w:r w:rsidR="00B52F7D">
          <w:rPr>
            <w:noProof/>
            <w:webHidden/>
          </w:rPr>
          <w:fldChar w:fldCharType="separate"/>
        </w:r>
        <w:r w:rsidR="00B52F7D">
          <w:rPr>
            <w:noProof/>
            <w:webHidden/>
          </w:rPr>
          <w:t>46</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32" w:history="1">
        <w:r w:rsidR="00B52F7D" w:rsidRPr="00FA77DC">
          <w:rPr>
            <w:rStyle w:val="Hyperlink"/>
            <w:noProof/>
          </w:rPr>
          <w:t>4.3</w:t>
        </w:r>
        <w:r w:rsidR="00B52F7D">
          <w:rPr>
            <w:rFonts w:asciiTheme="minorHAnsi" w:eastAsiaTheme="minorEastAsia" w:hAnsiTheme="minorHAnsi" w:cstheme="minorBidi"/>
            <w:smallCaps w:val="0"/>
            <w:noProof/>
            <w:sz w:val="22"/>
            <w:szCs w:val="22"/>
          </w:rPr>
          <w:tab/>
        </w:r>
        <w:r w:rsidR="00B52F7D" w:rsidRPr="00FA77DC">
          <w:rPr>
            <w:rStyle w:val="Hyperlink"/>
            <w:noProof/>
          </w:rPr>
          <w:t>Health Benefits</w:t>
        </w:r>
        <w:r w:rsidR="00B52F7D">
          <w:rPr>
            <w:noProof/>
            <w:webHidden/>
          </w:rPr>
          <w:tab/>
        </w:r>
        <w:r w:rsidR="00B52F7D">
          <w:rPr>
            <w:noProof/>
            <w:webHidden/>
          </w:rPr>
          <w:fldChar w:fldCharType="begin"/>
        </w:r>
        <w:r w:rsidR="00B52F7D">
          <w:rPr>
            <w:noProof/>
            <w:webHidden/>
          </w:rPr>
          <w:instrText xml:space="preserve"> PAGEREF _Toc430182532 \h </w:instrText>
        </w:r>
        <w:r w:rsidR="00B52F7D">
          <w:rPr>
            <w:noProof/>
            <w:webHidden/>
          </w:rPr>
        </w:r>
        <w:r w:rsidR="00B52F7D">
          <w:rPr>
            <w:noProof/>
            <w:webHidden/>
          </w:rPr>
          <w:fldChar w:fldCharType="separate"/>
        </w:r>
        <w:r w:rsidR="00B52F7D">
          <w:rPr>
            <w:noProof/>
            <w:webHidden/>
          </w:rPr>
          <w:t>52</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35" w:history="1">
        <w:r w:rsidR="00B52F7D" w:rsidRPr="00FA77DC">
          <w:rPr>
            <w:rStyle w:val="Hyperlink"/>
            <w:noProof/>
          </w:rPr>
          <w:t>4.4</w:t>
        </w:r>
        <w:r w:rsidR="00B52F7D">
          <w:rPr>
            <w:rFonts w:asciiTheme="minorHAnsi" w:eastAsiaTheme="minorEastAsia" w:hAnsiTheme="minorHAnsi" w:cstheme="minorBidi"/>
            <w:smallCaps w:val="0"/>
            <w:noProof/>
            <w:sz w:val="22"/>
            <w:szCs w:val="22"/>
          </w:rPr>
          <w:tab/>
        </w:r>
        <w:r w:rsidR="00B52F7D" w:rsidRPr="00FA77DC">
          <w:rPr>
            <w:rStyle w:val="Hyperlink"/>
            <w:noProof/>
          </w:rPr>
          <w:t>Net Benefit – Options 2, 3 &amp; 4</w:t>
        </w:r>
        <w:r w:rsidR="00B52F7D">
          <w:rPr>
            <w:noProof/>
            <w:webHidden/>
          </w:rPr>
          <w:tab/>
        </w:r>
        <w:r w:rsidR="00B52F7D">
          <w:rPr>
            <w:noProof/>
            <w:webHidden/>
          </w:rPr>
          <w:fldChar w:fldCharType="begin"/>
        </w:r>
        <w:r w:rsidR="00B52F7D">
          <w:rPr>
            <w:noProof/>
            <w:webHidden/>
          </w:rPr>
          <w:instrText xml:space="preserve"> PAGEREF _Toc430182535 \h </w:instrText>
        </w:r>
        <w:r w:rsidR="00B52F7D">
          <w:rPr>
            <w:noProof/>
            <w:webHidden/>
          </w:rPr>
        </w:r>
        <w:r w:rsidR="00B52F7D">
          <w:rPr>
            <w:noProof/>
            <w:webHidden/>
          </w:rPr>
          <w:fldChar w:fldCharType="separate"/>
        </w:r>
        <w:r w:rsidR="00B52F7D">
          <w:rPr>
            <w:noProof/>
            <w:webHidden/>
          </w:rPr>
          <w:t>55</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39" w:history="1">
        <w:r w:rsidR="00B52F7D" w:rsidRPr="00FA77DC">
          <w:rPr>
            <w:rStyle w:val="Hyperlink"/>
            <w:noProof/>
          </w:rPr>
          <w:t>4.5</w:t>
        </w:r>
        <w:r w:rsidR="00B52F7D">
          <w:rPr>
            <w:rFonts w:asciiTheme="minorHAnsi" w:eastAsiaTheme="minorEastAsia" w:hAnsiTheme="minorHAnsi" w:cstheme="minorBidi"/>
            <w:smallCaps w:val="0"/>
            <w:noProof/>
            <w:sz w:val="22"/>
            <w:szCs w:val="22"/>
          </w:rPr>
          <w:tab/>
        </w:r>
        <w:r w:rsidR="00B52F7D" w:rsidRPr="00FA77DC">
          <w:rPr>
            <w:rStyle w:val="Hyperlink"/>
            <w:noProof/>
          </w:rPr>
          <w:t>Sensitivity Analyses</w:t>
        </w:r>
        <w:r w:rsidR="00B52F7D">
          <w:rPr>
            <w:noProof/>
            <w:webHidden/>
          </w:rPr>
          <w:tab/>
        </w:r>
        <w:r w:rsidR="00B52F7D">
          <w:rPr>
            <w:noProof/>
            <w:webHidden/>
          </w:rPr>
          <w:fldChar w:fldCharType="begin"/>
        </w:r>
        <w:r w:rsidR="00B52F7D">
          <w:rPr>
            <w:noProof/>
            <w:webHidden/>
          </w:rPr>
          <w:instrText xml:space="preserve"> PAGEREF _Toc430182539 \h </w:instrText>
        </w:r>
        <w:r w:rsidR="00B52F7D">
          <w:rPr>
            <w:noProof/>
            <w:webHidden/>
          </w:rPr>
        </w:r>
        <w:r w:rsidR="00B52F7D">
          <w:rPr>
            <w:noProof/>
            <w:webHidden/>
          </w:rPr>
          <w:fldChar w:fldCharType="separate"/>
        </w:r>
        <w:r w:rsidR="00B52F7D">
          <w:rPr>
            <w:noProof/>
            <w:webHidden/>
          </w:rPr>
          <w:t>59</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56" w:history="1">
        <w:r w:rsidR="00B52F7D" w:rsidRPr="00FA77DC">
          <w:rPr>
            <w:rStyle w:val="Hyperlink"/>
            <w:noProof/>
          </w:rPr>
          <w:t>4.6</w:t>
        </w:r>
        <w:r w:rsidR="00B52F7D">
          <w:rPr>
            <w:rFonts w:asciiTheme="minorHAnsi" w:eastAsiaTheme="minorEastAsia" w:hAnsiTheme="minorHAnsi" w:cstheme="minorBidi"/>
            <w:smallCaps w:val="0"/>
            <w:noProof/>
            <w:sz w:val="22"/>
            <w:szCs w:val="22"/>
          </w:rPr>
          <w:tab/>
        </w:r>
        <w:r w:rsidR="00B52F7D" w:rsidRPr="00FA77DC">
          <w:rPr>
            <w:rStyle w:val="Hyperlink"/>
            <w:noProof/>
          </w:rPr>
          <w:t>Summary of Net Benefit – Options 2, 3, 4 &amp; Sensitivity Analyses</w:t>
        </w:r>
        <w:r w:rsidR="00B52F7D">
          <w:rPr>
            <w:noProof/>
            <w:webHidden/>
          </w:rPr>
          <w:tab/>
        </w:r>
        <w:r w:rsidR="00B52F7D">
          <w:rPr>
            <w:noProof/>
            <w:webHidden/>
          </w:rPr>
          <w:fldChar w:fldCharType="begin"/>
        </w:r>
        <w:r w:rsidR="00B52F7D">
          <w:rPr>
            <w:noProof/>
            <w:webHidden/>
          </w:rPr>
          <w:instrText xml:space="preserve"> PAGEREF _Toc430182556 \h </w:instrText>
        </w:r>
        <w:r w:rsidR="00B52F7D">
          <w:rPr>
            <w:noProof/>
            <w:webHidden/>
          </w:rPr>
        </w:r>
        <w:r w:rsidR="00B52F7D">
          <w:rPr>
            <w:noProof/>
            <w:webHidden/>
          </w:rPr>
          <w:fldChar w:fldCharType="separate"/>
        </w:r>
        <w:r w:rsidR="00B52F7D">
          <w:rPr>
            <w:noProof/>
            <w:webHidden/>
          </w:rPr>
          <w:t>66</w:t>
        </w:r>
        <w:r w:rsidR="00B52F7D">
          <w:rPr>
            <w:noProof/>
            <w:webHidden/>
          </w:rPr>
          <w:fldChar w:fldCharType="end"/>
        </w:r>
      </w:hyperlink>
    </w:p>
    <w:p w:rsidR="00B52F7D" w:rsidRDefault="00A1425C">
      <w:pPr>
        <w:pStyle w:val="TOC1"/>
        <w:tabs>
          <w:tab w:val="left" w:pos="480"/>
          <w:tab w:val="right" w:pos="8296"/>
        </w:tabs>
        <w:rPr>
          <w:rFonts w:asciiTheme="minorHAnsi" w:eastAsiaTheme="minorEastAsia" w:hAnsiTheme="minorHAnsi" w:cstheme="minorBidi"/>
          <w:b w:val="0"/>
          <w:bCs w:val="0"/>
          <w:caps w:val="0"/>
          <w:noProof/>
          <w:sz w:val="22"/>
          <w:szCs w:val="22"/>
        </w:rPr>
      </w:pPr>
      <w:hyperlink w:anchor="_Toc430182558" w:history="1">
        <w:r w:rsidR="00B52F7D" w:rsidRPr="00FA77DC">
          <w:rPr>
            <w:rStyle w:val="Hyperlink"/>
            <w:noProof/>
          </w:rPr>
          <w:t>5</w:t>
        </w:r>
        <w:r w:rsidR="00B52F7D">
          <w:rPr>
            <w:rFonts w:asciiTheme="minorHAnsi" w:eastAsiaTheme="minorEastAsia" w:hAnsiTheme="minorHAnsi" w:cstheme="minorBidi"/>
            <w:b w:val="0"/>
            <w:bCs w:val="0"/>
            <w:caps w:val="0"/>
            <w:noProof/>
            <w:sz w:val="22"/>
            <w:szCs w:val="22"/>
          </w:rPr>
          <w:tab/>
        </w:r>
        <w:r w:rsidR="00B52F7D" w:rsidRPr="00FA77DC">
          <w:rPr>
            <w:rStyle w:val="Hyperlink"/>
            <w:noProof/>
          </w:rPr>
          <w:t>consultation</w:t>
        </w:r>
        <w:r w:rsidR="00B52F7D">
          <w:rPr>
            <w:noProof/>
            <w:webHidden/>
          </w:rPr>
          <w:tab/>
        </w:r>
        <w:r w:rsidR="00B52F7D">
          <w:rPr>
            <w:noProof/>
            <w:webHidden/>
          </w:rPr>
          <w:fldChar w:fldCharType="begin"/>
        </w:r>
        <w:r w:rsidR="00B52F7D">
          <w:rPr>
            <w:noProof/>
            <w:webHidden/>
          </w:rPr>
          <w:instrText xml:space="preserve"> PAGEREF _Toc430182558 \h </w:instrText>
        </w:r>
        <w:r w:rsidR="00B52F7D">
          <w:rPr>
            <w:noProof/>
            <w:webHidden/>
          </w:rPr>
        </w:r>
        <w:r w:rsidR="00B52F7D">
          <w:rPr>
            <w:noProof/>
            <w:webHidden/>
          </w:rPr>
          <w:fldChar w:fldCharType="separate"/>
        </w:r>
        <w:r w:rsidR="00B52F7D">
          <w:rPr>
            <w:noProof/>
            <w:webHidden/>
          </w:rPr>
          <w:t>67</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59" w:history="1">
        <w:r w:rsidR="00B52F7D" w:rsidRPr="00FA77DC">
          <w:rPr>
            <w:rStyle w:val="Hyperlink"/>
            <w:noProof/>
          </w:rPr>
          <w:t>5.1</w:t>
        </w:r>
        <w:r w:rsidR="00B52F7D">
          <w:rPr>
            <w:rFonts w:asciiTheme="minorHAnsi" w:eastAsiaTheme="minorEastAsia" w:hAnsiTheme="minorHAnsi" w:cstheme="minorBidi"/>
            <w:smallCaps w:val="0"/>
            <w:noProof/>
            <w:sz w:val="22"/>
            <w:szCs w:val="22"/>
          </w:rPr>
          <w:tab/>
        </w:r>
        <w:r w:rsidR="00B52F7D" w:rsidRPr="00FA77DC">
          <w:rPr>
            <w:rStyle w:val="Hyperlink"/>
            <w:noProof/>
          </w:rPr>
          <w:t>Draft RIS Process</w:t>
        </w:r>
        <w:r w:rsidR="00B52F7D">
          <w:rPr>
            <w:noProof/>
            <w:webHidden/>
          </w:rPr>
          <w:tab/>
        </w:r>
        <w:r w:rsidR="00B52F7D">
          <w:rPr>
            <w:noProof/>
            <w:webHidden/>
          </w:rPr>
          <w:fldChar w:fldCharType="begin"/>
        </w:r>
        <w:r w:rsidR="00B52F7D">
          <w:rPr>
            <w:noProof/>
            <w:webHidden/>
          </w:rPr>
          <w:instrText xml:space="preserve"> PAGEREF _Toc430182559 \h </w:instrText>
        </w:r>
        <w:r w:rsidR="00B52F7D">
          <w:rPr>
            <w:noProof/>
            <w:webHidden/>
          </w:rPr>
        </w:r>
        <w:r w:rsidR="00B52F7D">
          <w:rPr>
            <w:noProof/>
            <w:webHidden/>
          </w:rPr>
          <w:fldChar w:fldCharType="separate"/>
        </w:r>
        <w:r w:rsidR="00B52F7D">
          <w:rPr>
            <w:noProof/>
            <w:webHidden/>
          </w:rPr>
          <w:t>67</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60" w:history="1">
        <w:r w:rsidR="00B52F7D" w:rsidRPr="00FA77DC">
          <w:rPr>
            <w:rStyle w:val="Hyperlink"/>
            <w:noProof/>
          </w:rPr>
          <w:t>5.2</w:t>
        </w:r>
        <w:r w:rsidR="00B52F7D">
          <w:rPr>
            <w:rFonts w:asciiTheme="minorHAnsi" w:eastAsiaTheme="minorEastAsia" w:hAnsiTheme="minorHAnsi" w:cstheme="minorBidi"/>
            <w:smallCaps w:val="0"/>
            <w:noProof/>
            <w:sz w:val="22"/>
            <w:szCs w:val="22"/>
          </w:rPr>
          <w:tab/>
        </w:r>
        <w:r w:rsidR="00B52F7D" w:rsidRPr="00FA77DC">
          <w:rPr>
            <w:rStyle w:val="Hyperlink"/>
            <w:noProof/>
          </w:rPr>
          <w:t>Public Comment</w:t>
        </w:r>
        <w:r w:rsidR="00B52F7D">
          <w:rPr>
            <w:noProof/>
            <w:webHidden/>
          </w:rPr>
          <w:tab/>
        </w:r>
        <w:r w:rsidR="00B52F7D">
          <w:rPr>
            <w:noProof/>
            <w:webHidden/>
          </w:rPr>
          <w:fldChar w:fldCharType="begin"/>
        </w:r>
        <w:r w:rsidR="00B52F7D">
          <w:rPr>
            <w:noProof/>
            <w:webHidden/>
          </w:rPr>
          <w:instrText xml:space="preserve"> PAGEREF _Toc430182560 \h </w:instrText>
        </w:r>
        <w:r w:rsidR="00B52F7D">
          <w:rPr>
            <w:noProof/>
            <w:webHidden/>
          </w:rPr>
        </w:r>
        <w:r w:rsidR="00B52F7D">
          <w:rPr>
            <w:noProof/>
            <w:webHidden/>
          </w:rPr>
          <w:fldChar w:fldCharType="separate"/>
        </w:r>
        <w:r w:rsidR="00B52F7D">
          <w:rPr>
            <w:noProof/>
            <w:webHidden/>
          </w:rPr>
          <w:t>67</w:t>
        </w:r>
        <w:r w:rsidR="00B52F7D">
          <w:rPr>
            <w:noProof/>
            <w:webHidden/>
          </w:rPr>
          <w:fldChar w:fldCharType="end"/>
        </w:r>
      </w:hyperlink>
    </w:p>
    <w:p w:rsidR="00B52F7D" w:rsidRDefault="00A1425C">
      <w:pPr>
        <w:pStyle w:val="TOC2"/>
        <w:tabs>
          <w:tab w:val="left" w:pos="960"/>
          <w:tab w:val="right" w:pos="8296"/>
        </w:tabs>
        <w:rPr>
          <w:rFonts w:asciiTheme="minorHAnsi" w:eastAsiaTheme="minorEastAsia" w:hAnsiTheme="minorHAnsi" w:cstheme="minorBidi"/>
          <w:smallCaps w:val="0"/>
          <w:noProof/>
          <w:sz w:val="22"/>
          <w:szCs w:val="22"/>
        </w:rPr>
      </w:pPr>
      <w:hyperlink w:anchor="_Toc430182561" w:history="1">
        <w:r w:rsidR="00B52F7D" w:rsidRPr="00FA77DC">
          <w:rPr>
            <w:rStyle w:val="Hyperlink"/>
            <w:noProof/>
          </w:rPr>
          <w:t>5.2.1</w:t>
        </w:r>
        <w:r w:rsidR="00B52F7D">
          <w:rPr>
            <w:rFonts w:asciiTheme="minorHAnsi" w:eastAsiaTheme="minorEastAsia" w:hAnsiTheme="minorHAnsi" w:cstheme="minorBidi"/>
            <w:smallCaps w:val="0"/>
            <w:noProof/>
            <w:sz w:val="22"/>
            <w:szCs w:val="22"/>
          </w:rPr>
          <w:tab/>
        </w:r>
        <w:r w:rsidR="00B52F7D" w:rsidRPr="00FA77DC">
          <w:rPr>
            <w:rStyle w:val="Hyperlink"/>
            <w:noProof/>
          </w:rPr>
          <w:t>Summary</w:t>
        </w:r>
        <w:r w:rsidR="00B52F7D">
          <w:rPr>
            <w:noProof/>
            <w:webHidden/>
          </w:rPr>
          <w:tab/>
        </w:r>
        <w:r w:rsidR="00B52F7D">
          <w:rPr>
            <w:noProof/>
            <w:webHidden/>
          </w:rPr>
          <w:fldChar w:fldCharType="begin"/>
        </w:r>
        <w:r w:rsidR="00B52F7D">
          <w:rPr>
            <w:noProof/>
            <w:webHidden/>
          </w:rPr>
          <w:instrText xml:space="preserve"> PAGEREF _Toc430182561 \h </w:instrText>
        </w:r>
        <w:r w:rsidR="00B52F7D">
          <w:rPr>
            <w:noProof/>
            <w:webHidden/>
          </w:rPr>
        </w:r>
        <w:r w:rsidR="00B52F7D">
          <w:rPr>
            <w:noProof/>
            <w:webHidden/>
          </w:rPr>
          <w:fldChar w:fldCharType="separate"/>
        </w:r>
        <w:r w:rsidR="00B52F7D">
          <w:rPr>
            <w:noProof/>
            <w:webHidden/>
          </w:rPr>
          <w:t>67</w:t>
        </w:r>
        <w:r w:rsidR="00B52F7D">
          <w:rPr>
            <w:noProof/>
            <w:webHidden/>
          </w:rPr>
          <w:fldChar w:fldCharType="end"/>
        </w:r>
      </w:hyperlink>
    </w:p>
    <w:p w:rsidR="00B52F7D" w:rsidRDefault="00A1425C">
      <w:pPr>
        <w:pStyle w:val="TOC2"/>
        <w:tabs>
          <w:tab w:val="left" w:pos="960"/>
          <w:tab w:val="right" w:pos="8296"/>
        </w:tabs>
        <w:rPr>
          <w:rFonts w:asciiTheme="minorHAnsi" w:eastAsiaTheme="minorEastAsia" w:hAnsiTheme="minorHAnsi" w:cstheme="minorBidi"/>
          <w:smallCaps w:val="0"/>
          <w:noProof/>
          <w:sz w:val="22"/>
          <w:szCs w:val="22"/>
        </w:rPr>
      </w:pPr>
      <w:hyperlink w:anchor="_Toc430182562" w:history="1">
        <w:r w:rsidR="00B52F7D" w:rsidRPr="00FA77DC">
          <w:rPr>
            <w:rStyle w:val="Hyperlink"/>
            <w:noProof/>
          </w:rPr>
          <w:t>5.2.2</w:t>
        </w:r>
        <w:r w:rsidR="00B52F7D">
          <w:rPr>
            <w:rFonts w:asciiTheme="minorHAnsi" w:eastAsiaTheme="minorEastAsia" w:hAnsiTheme="minorHAnsi" w:cstheme="minorBidi"/>
            <w:smallCaps w:val="0"/>
            <w:noProof/>
            <w:sz w:val="22"/>
            <w:szCs w:val="22"/>
          </w:rPr>
          <w:tab/>
        </w:r>
        <w:r w:rsidR="00B52F7D" w:rsidRPr="00FA77DC">
          <w:rPr>
            <w:rStyle w:val="Hyperlink"/>
            <w:noProof/>
          </w:rPr>
          <w:t>Discussion</w:t>
        </w:r>
        <w:r w:rsidR="00B52F7D">
          <w:rPr>
            <w:noProof/>
            <w:webHidden/>
          </w:rPr>
          <w:tab/>
        </w:r>
        <w:r w:rsidR="00B52F7D">
          <w:rPr>
            <w:noProof/>
            <w:webHidden/>
          </w:rPr>
          <w:fldChar w:fldCharType="begin"/>
        </w:r>
        <w:r w:rsidR="00B52F7D">
          <w:rPr>
            <w:noProof/>
            <w:webHidden/>
          </w:rPr>
          <w:instrText xml:space="preserve"> PAGEREF _Toc430182562 \h </w:instrText>
        </w:r>
        <w:r w:rsidR="00B52F7D">
          <w:rPr>
            <w:noProof/>
            <w:webHidden/>
          </w:rPr>
        </w:r>
        <w:r w:rsidR="00B52F7D">
          <w:rPr>
            <w:noProof/>
            <w:webHidden/>
          </w:rPr>
          <w:fldChar w:fldCharType="separate"/>
        </w:r>
        <w:r w:rsidR="00B52F7D">
          <w:rPr>
            <w:noProof/>
            <w:webHidden/>
          </w:rPr>
          <w:t>69</w:t>
        </w:r>
        <w:r w:rsidR="00B52F7D">
          <w:rPr>
            <w:noProof/>
            <w:webHidden/>
          </w:rPr>
          <w:fldChar w:fldCharType="end"/>
        </w:r>
      </w:hyperlink>
    </w:p>
    <w:p w:rsidR="00B52F7D" w:rsidRDefault="00A1425C">
      <w:pPr>
        <w:pStyle w:val="TOC1"/>
        <w:tabs>
          <w:tab w:val="left" w:pos="480"/>
          <w:tab w:val="right" w:pos="8296"/>
        </w:tabs>
        <w:rPr>
          <w:rFonts w:asciiTheme="minorHAnsi" w:eastAsiaTheme="minorEastAsia" w:hAnsiTheme="minorHAnsi" w:cstheme="minorBidi"/>
          <w:b w:val="0"/>
          <w:bCs w:val="0"/>
          <w:caps w:val="0"/>
          <w:noProof/>
          <w:sz w:val="22"/>
          <w:szCs w:val="22"/>
        </w:rPr>
      </w:pPr>
      <w:hyperlink w:anchor="_Toc430182567" w:history="1">
        <w:r w:rsidR="00B52F7D" w:rsidRPr="00FA77DC">
          <w:rPr>
            <w:rStyle w:val="Hyperlink"/>
            <w:noProof/>
          </w:rPr>
          <w:t>6</w:t>
        </w:r>
        <w:r w:rsidR="00B52F7D">
          <w:rPr>
            <w:rFonts w:asciiTheme="minorHAnsi" w:eastAsiaTheme="minorEastAsia" w:hAnsiTheme="minorHAnsi" w:cstheme="minorBidi"/>
            <w:b w:val="0"/>
            <w:bCs w:val="0"/>
            <w:caps w:val="0"/>
            <w:noProof/>
            <w:sz w:val="22"/>
            <w:szCs w:val="22"/>
          </w:rPr>
          <w:tab/>
        </w:r>
        <w:r w:rsidR="00B52F7D" w:rsidRPr="00FA77DC">
          <w:rPr>
            <w:rStyle w:val="Hyperlink"/>
            <w:noProof/>
          </w:rPr>
          <w:t>Conclusion and Recommended Option</w:t>
        </w:r>
        <w:r w:rsidR="00B52F7D">
          <w:rPr>
            <w:noProof/>
            <w:webHidden/>
          </w:rPr>
          <w:tab/>
        </w:r>
        <w:r w:rsidR="00B52F7D">
          <w:rPr>
            <w:noProof/>
            <w:webHidden/>
          </w:rPr>
          <w:fldChar w:fldCharType="begin"/>
        </w:r>
        <w:r w:rsidR="00B52F7D">
          <w:rPr>
            <w:noProof/>
            <w:webHidden/>
          </w:rPr>
          <w:instrText xml:space="preserve"> PAGEREF _Toc430182567 \h </w:instrText>
        </w:r>
        <w:r w:rsidR="00B52F7D">
          <w:rPr>
            <w:noProof/>
            <w:webHidden/>
          </w:rPr>
        </w:r>
        <w:r w:rsidR="00B52F7D">
          <w:rPr>
            <w:noProof/>
            <w:webHidden/>
          </w:rPr>
          <w:fldChar w:fldCharType="separate"/>
        </w:r>
        <w:r w:rsidR="00B52F7D">
          <w:rPr>
            <w:noProof/>
            <w:webHidden/>
          </w:rPr>
          <w:t>72</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68" w:history="1">
        <w:r w:rsidR="00B52F7D" w:rsidRPr="00FA77DC">
          <w:rPr>
            <w:rStyle w:val="Hyperlink"/>
            <w:noProof/>
          </w:rPr>
          <w:t>6.1</w:t>
        </w:r>
        <w:r w:rsidR="00B52F7D">
          <w:rPr>
            <w:rFonts w:asciiTheme="minorHAnsi" w:eastAsiaTheme="minorEastAsia" w:hAnsiTheme="minorHAnsi" w:cstheme="minorBidi"/>
            <w:smallCaps w:val="0"/>
            <w:noProof/>
            <w:sz w:val="22"/>
            <w:szCs w:val="22"/>
          </w:rPr>
          <w:tab/>
        </w:r>
        <w:r w:rsidR="00B52F7D" w:rsidRPr="00FA77DC">
          <w:rPr>
            <w:rStyle w:val="Hyperlink"/>
            <w:noProof/>
          </w:rPr>
          <w:t>Conclusion</w:t>
        </w:r>
        <w:r w:rsidR="00B52F7D">
          <w:rPr>
            <w:noProof/>
            <w:webHidden/>
          </w:rPr>
          <w:tab/>
        </w:r>
        <w:r w:rsidR="00B52F7D">
          <w:rPr>
            <w:noProof/>
            <w:webHidden/>
          </w:rPr>
          <w:fldChar w:fldCharType="begin"/>
        </w:r>
        <w:r w:rsidR="00B52F7D">
          <w:rPr>
            <w:noProof/>
            <w:webHidden/>
          </w:rPr>
          <w:instrText xml:space="preserve"> PAGEREF _Toc430182568 \h </w:instrText>
        </w:r>
        <w:r w:rsidR="00B52F7D">
          <w:rPr>
            <w:noProof/>
            <w:webHidden/>
          </w:rPr>
        </w:r>
        <w:r w:rsidR="00B52F7D">
          <w:rPr>
            <w:noProof/>
            <w:webHidden/>
          </w:rPr>
          <w:fldChar w:fldCharType="separate"/>
        </w:r>
        <w:r w:rsidR="00B52F7D">
          <w:rPr>
            <w:noProof/>
            <w:webHidden/>
          </w:rPr>
          <w:t>72</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70" w:history="1">
        <w:r w:rsidR="00B52F7D" w:rsidRPr="00FA77DC">
          <w:rPr>
            <w:rStyle w:val="Hyperlink"/>
            <w:noProof/>
          </w:rPr>
          <w:t>6.2</w:t>
        </w:r>
        <w:r w:rsidR="00B52F7D">
          <w:rPr>
            <w:rFonts w:asciiTheme="minorHAnsi" w:eastAsiaTheme="minorEastAsia" w:hAnsiTheme="minorHAnsi" w:cstheme="minorBidi"/>
            <w:smallCaps w:val="0"/>
            <w:noProof/>
            <w:sz w:val="22"/>
            <w:szCs w:val="22"/>
          </w:rPr>
          <w:tab/>
        </w:r>
        <w:r w:rsidR="00B52F7D" w:rsidRPr="00FA77DC">
          <w:rPr>
            <w:rStyle w:val="Hyperlink"/>
            <w:noProof/>
          </w:rPr>
          <w:t>Recommended Option</w:t>
        </w:r>
        <w:r w:rsidR="00B52F7D">
          <w:rPr>
            <w:noProof/>
            <w:webHidden/>
          </w:rPr>
          <w:tab/>
        </w:r>
        <w:r w:rsidR="00B52F7D">
          <w:rPr>
            <w:noProof/>
            <w:webHidden/>
          </w:rPr>
          <w:fldChar w:fldCharType="begin"/>
        </w:r>
        <w:r w:rsidR="00B52F7D">
          <w:rPr>
            <w:noProof/>
            <w:webHidden/>
          </w:rPr>
          <w:instrText xml:space="preserve"> PAGEREF _Toc430182570 \h </w:instrText>
        </w:r>
        <w:r w:rsidR="00B52F7D">
          <w:rPr>
            <w:noProof/>
            <w:webHidden/>
          </w:rPr>
        </w:r>
        <w:r w:rsidR="00B52F7D">
          <w:rPr>
            <w:noProof/>
            <w:webHidden/>
          </w:rPr>
          <w:fldChar w:fldCharType="separate"/>
        </w:r>
        <w:r w:rsidR="00B52F7D">
          <w:rPr>
            <w:noProof/>
            <w:webHidden/>
          </w:rPr>
          <w:t>73</w:t>
        </w:r>
        <w:r w:rsidR="00B52F7D">
          <w:rPr>
            <w:noProof/>
            <w:webHidden/>
          </w:rPr>
          <w:fldChar w:fldCharType="end"/>
        </w:r>
      </w:hyperlink>
    </w:p>
    <w:p w:rsidR="00B52F7D" w:rsidRDefault="00A1425C">
      <w:pPr>
        <w:pStyle w:val="TOC2"/>
        <w:tabs>
          <w:tab w:val="left" w:pos="960"/>
          <w:tab w:val="right" w:pos="8296"/>
        </w:tabs>
        <w:rPr>
          <w:rFonts w:asciiTheme="minorHAnsi" w:eastAsiaTheme="minorEastAsia" w:hAnsiTheme="minorHAnsi" w:cstheme="minorBidi"/>
          <w:smallCaps w:val="0"/>
          <w:noProof/>
          <w:sz w:val="22"/>
          <w:szCs w:val="22"/>
        </w:rPr>
      </w:pPr>
      <w:hyperlink w:anchor="_Toc430182571" w:history="1">
        <w:r w:rsidR="00B52F7D" w:rsidRPr="00FA77DC">
          <w:rPr>
            <w:rStyle w:val="Hyperlink"/>
            <w:noProof/>
          </w:rPr>
          <w:t>6.2.1</w:t>
        </w:r>
        <w:r w:rsidR="00B52F7D">
          <w:rPr>
            <w:rFonts w:asciiTheme="minorHAnsi" w:eastAsiaTheme="minorEastAsia" w:hAnsiTheme="minorHAnsi" w:cstheme="minorBidi"/>
            <w:smallCaps w:val="0"/>
            <w:noProof/>
            <w:sz w:val="22"/>
            <w:szCs w:val="22"/>
          </w:rPr>
          <w:tab/>
        </w:r>
        <w:r w:rsidR="00B52F7D" w:rsidRPr="00FA77DC">
          <w:rPr>
            <w:rStyle w:val="Hyperlink"/>
            <w:noProof/>
          </w:rPr>
          <w:t>Euro 5</w:t>
        </w:r>
        <w:r w:rsidR="00B52F7D">
          <w:rPr>
            <w:noProof/>
            <w:webHidden/>
          </w:rPr>
          <w:tab/>
        </w:r>
        <w:r w:rsidR="00B52F7D">
          <w:rPr>
            <w:noProof/>
            <w:webHidden/>
          </w:rPr>
          <w:fldChar w:fldCharType="begin"/>
        </w:r>
        <w:r w:rsidR="00B52F7D">
          <w:rPr>
            <w:noProof/>
            <w:webHidden/>
          </w:rPr>
          <w:instrText xml:space="preserve"> PAGEREF _Toc430182571 \h </w:instrText>
        </w:r>
        <w:r w:rsidR="00B52F7D">
          <w:rPr>
            <w:noProof/>
            <w:webHidden/>
          </w:rPr>
        </w:r>
        <w:r w:rsidR="00B52F7D">
          <w:rPr>
            <w:noProof/>
            <w:webHidden/>
          </w:rPr>
          <w:fldChar w:fldCharType="separate"/>
        </w:r>
        <w:r w:rsidR="00B52F7D">
          <w:rPr>
            <w:noProof/>
            <w:webHidden/>
          </w:rPr>
          <w:t>75</w:t>
        </w:r>
        <w:r w:rsidR="00B52F7D">
          <w:rPr>
            <w:noProof/>
            <w:webHidden/>
          </w:rPr>
          <w:fldChar w:fldCharType="end"/>
        </w:r>
      </w:hyperlink>
    </w:p>
    <w:p w:rsidR="00B52F7D" w:rsidRDefault="00A1425C">
      <w:pPr>
        <w:pStyle w:val="TOC2"/>
        <w:tabs>
          <w:tab w:val="left" w:pos="960"/>
          <w:tab w:val="right" w:pos="8296"/>
        </w:tabs>
        <w:rPr>
          <w:rFonts w:asciiTheme="minorHAnsi" w:eastAsiaTheme="minorEastAsia" w:hAnsiTheme="minorHAnsi" w:cstheme="minorBidi"/>
          <w:smallCaps w:val="0"/>
          <w:noProof/>
          <w:sz w:val="22"/>
          <w:szCs w:val="22"/>
        </w:rPr>
      </w:pPr>
      <w:hyperlink w:anchor="_Toc430182573" w:history="1">
        <w:r w:rsidR="00B52F7D" w:rsidRPr="00FA77DC">
          <w:rPr>
            <w:rStyle w:val="Hyperlink"/>
            <w:noProof/>
          </w:rPr>
          <w:t>6.2.2</w:t>
        </w:r>
        <w:r w:rsidR="00B52F7D">
          <w:rPr>
            <w:rFonts w:asciiTheme="minorHAnsi" w:eastAsiaTheme="minorEastAsia" w:hAnsiTheme="minorHAnsi" w:cstheme="minorBidi"/>
            <w:smallCaps w:val="0"/>
            <w:noProof/>
            <w:sz w:val="22"/>
            <w:szCs w:val="22"/>
          </w:rPr>
          <w:tab/>
        </w:r>
        <w:r w:rsidR="00B52F7D" w:rsidRPr="00FA77DC">
          <w:rPr>
            <w:rStyle w:val="Hyperlink"/>
            <w:noProof/>
          </w:rPr>
          <w:t>Euro 6</w:t>
        </w:r>
        <w:r w:rsidR="00B52F7D">
          <w:rPr>
            <w:noProof/>
            <w:webHidden/>
          </w:rPr>
          <w:tab/>
        </w:r>
        <w:r w:rsidR="00B52F7D">
          <w:rPr>
            <w:noProof/>
            <w:webHidden/>
          </w:rPr>
          <w:fldChar w:fldCharType="begin"/>
        </w:r>
        <w:r w:rsidR="00B52F7D">
          <w:rPr>
            <w:noProof/>
            <w:webHidden/>
          </w:rPr>
          <w:instrText xml:space="preserve"> PAGEREF _Toc430182573 \h </w:instrText>
        </w:r>
        <w:r w:rsidR="00B52F7D">
          <w:rPr>
            <w:noProof/>
            <w:webHidden/>
          </w:rPr>
        </w:r>
        <w:r w:rsidR="00B52F7D">
          <w:rPr>
            <w:noProof/>
            <w:webHidden/>
          </w:rPr>
          <w:fldChar w:fldCharType="separate"/>
        </w:r>
        <w:r w:rsidR="00B52F7D">
          <w:rPr>
            <w:noProof/>
            <w:webHidden/>
          </w:rPr>
          <w:t>75</w:t>
        </w:r>
        <w:r w:rsidR="00B52F7D">
          <w:rPr>
            <w:noProof/>
            <w:webHidden/>
          </w:rPr>
          <w:fldChar w:fldCharType="end"/>
        </w:r>
      </w:hyperlink>
    </w:p>
    <w:p w:rsidR="00B52F7D" w:rsidRDefault="00A1425C">
      <w:pPr>
        <w:pStyle w:val="TOC1"/>
        <w:tabs>
          <w:tab w:val="left" w:pos="480"/>
          <w:tab w:val="right" w:pos="8296"/>
        </w:tabs>
        <w:rPr>
          <w:rFonts w:asciiTheme="minorHAnsi" w:eastAsiaTheme="minorEastAsia" w:hAnsiTheme="minorHAnsi" w:cstheme="minorBidi"/>
          <w:b w:val="0"/>
          <w:bCs w:val="0"/>
          <w:caps w:val="0"/>
          <w:noProof/>
          <w:sz w:val="22"/>
          <w:szCs w:val="22"/>
        </w:rPr>
      </w:pPr>
      <w:hyperlink w:anchor="_Toc430182574" w:history="1">
        <w:r w:rsidR="00B52F7D" w:rsidRPr="00FA77DC">
          <w:rPr>
            <w:rStyle w:val="Hyperlink"/>
            <w:noProof/>
          </w:rPr>
          <w:t>7</w:t>
        </w:r>
        <w:r w:rsidR="00B52F7D">
          <w:rPr>
            <w:rFonts w:asciiTheme="minorHAnsi" w:eastAsiaTheme="minorEastAsia" w:hAnsiTheme="minorHAnsi" w:cstheme="minorBidi"/>
            <w:b w:val="0"/>
            <w:bCs w:val="0"/>
            <w:caps w:val="0"/>
            <w:noProof/>
            <w:sz w:val="22"/>
            <w:szCs w:val="22"/>
          </w:rPr>
          <w:tab/>
        </w:r>
        <w:r w:rsidR="00B52F7D" w:rsidRPr="00FA77DC">
          <w:rPr>
            <w:rStyle w:val="Hyperlink"/>
            <w:noProof/>
          </w:rPr>
          <w:t>Implementation and Review</w:t>
        </w:r>
        <w:r w:rsidR="00B52F7D">
          <w:rPr>
            <w:noProof/>
            <w:webHidden/>
          </w:rPr>
          <w:tab/>
        </w:r>
        <w:r w:rsidR="00B52F7D">
          <w:rPr>
            <w:noProof/>
            <w:webHidden/>
          </w:rPr>
          <w:fldChar w:fldCharType="begin"/>
        </w:r>
        <w:r w:rsidR="00B52F7D">
          <w:rPr>
            <w:noProof/>
            <w:webHidden/>
          </w:rPr>
          <w:instrText xml:space="preserve"> PAGEREF _Toc430182574 \h </w:instrText>
        </w:r>
        <w:r w:rsidR="00B52F7D">
          <w:rPr>
            <w:noProof/>
            <w:webHidden/>
          </w:rPr>
        </w:r>
        <w:r w:rsidR="00B52F7D">
          <w:rPr>
            <w:noProof/>
            <w:webHidden/>
          </w:rPr>
          <w:fldChar w:fldCharType="separate"/>
        </w:r>
        <w:r w:rsidR="00B52F7D">
          <w:rPr>
            <w:noProof/>
            <w:webHidden/>
          </w:rPr>
          <w:t>76</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75" w:history="1">
        <w:r w:rsidR="00B52F7D" w:rsidRPr="00FA77DC">
          <w:rPr>
            <w:rStyle w:val="Hyperlink"/>
            <w:noProof/>
          </w:rPr>
          <w:t>7.1</w:t>
        </w:r>
        <w:r w:rsidR="00B52F7D">
          <w:rPr>
            <w:rFonts w:asciiTheme="minorHAnsi" w:eastAsiaTheme="minorEastAsia" w:hAnsiTheme="minorHAnsi" w:cstheme="minorBidi"/>
            <w:smallCaps w:val="0"/>
            <w:noProof/>
            <w:sz w:val="22"/>
            <w:szCs w:val="22"/>
          </w:rPr>
          <w:tab/>
        </w:r>
        <w:r w:rsidR="00B52F7D" w:rsidRPr="00FA77DC">
          <w:rPr>
            <w:rStyle w:val="Hyperlink"/>
            <w:noProof/>
          </w:rPr>
          <w:t>Implementation</w:t>
        </w:r>
        <w:r w:rsidR="00B52F7D">
          <w:rPr>
            <w:noProof/>
            <w:webHidden/>
          </w:rPr>
          <w:tab/>
        </w:r>
        <w:r w:rsidR="00B52F7D">
          <w:rPr>
            <w:noProof/>
            <w:webHidden/>
          </w:rPr>
          <w:fldChar w:fldCharType="begin"/>
        </w:r>
        <w:r w:rsidR="00B52F7D">
          <w:rPr>
            <w:noProof/>
            <w:webHidden/>
          </w:rPr>
          <w:instrText xml:space="preserve"> PAGEREF _Toc430182575 \h </w:instrText>
        </w:r>
        <w:r w:rsidR="00B52F7D">
          <w:rPr>
            <w:noProof/>
            <w:webHidden/>
          </w:rPr>
        </w:r>
        <w:r w:rsidR="00B52F7D">
          <w:rPr>
            <w:noProof/>
            <w:webHidden/>
          </w:rPr>
          <w:fldChar w:fldCharType="separate"/>
        </w:r>
        <w:r w:rsidR="00B52F7D">
          <w:rPr>
            <w:noProof/>
            <w:webHidden/>
          </w:rPr>
          <w:t>76</w:t>
        </w:r>
        <w:r w:rsidR="00B52F7D">
          <w:rPr>
            <w:noProof/>
            <w:webHidden/>
          </w:rPr>
          <w:fldChar w:fldCharType="end"/>
        </w:r>
      </w:hyperlink>
    </w:p>
    <w:p w:rsidR="00B52F7D" w:rsidRDefault="00A1425C">
      <w:pPr>
        <w:pStyle w:val="TOC2"/>
        <w:tabs>
          <w:tab w:val="left" w:pos="720"/>
          <w:tab w:val="right" w:pos="8296"/>
        </w:tabs>
        <w:rPr>
          <w:rFonts w:asciiTheme="minorHAnsi" w:eastAsiaTheme="minorEastAsia" w:hAnsiTheme="minorHAnsi" w:cstheme="minorBidi"/>
          <w:smallCaps w:val="0"/>
          <w:noProof/>
          <w:sz w:val="22"/>
          <w:szCs w:val="22"/>
        </w:rPr>
      </w:pPr>
      <w:hyperlink w:anchor="_Toc430182576" w:history="1">
        <w:r w:rsidR="00B52F7D" w:rsidRPr="00FA77DC">
          <w:rPr>
            <w:rStyle w:val="Hyperlink"/>
            <w:noProof/>
          </w:rPr>
          <w:t>7.2</w:t>
        </w:r>
        <w:r w:rsidR="00B52F7D">
          <w:rPr>
            <w:rFonts w:asciiTheme="minorHAnsi" w:eastAsiaTheme="minorEastAsia" w:hAnsiTheme="minorHAnsi" w:cstheme="minorBidi"/>
            <w:smallCaps w:val="0"/>
            <w:noProof/>
            <w:sz w:val="22"/>
            <w:szCs w:val="22"/>
          </w:rPr>
          <w:tab/>
        </w:r>
        <w:r w:rsidR="00B52F7D" w:rsidRPr="00FA77DC">
          <w:rPr>
            <w:rStyle w:val="Hyperlink"/>
            <w:noProof/>
          </w:rPr>
          <w:t>Review</w:t>
        </w:r>
        <w:r w:rsidR="00B52F7D">
          <w:rPr>
            <w:noProof/>
            <w:webHidden/>
          </w:rPr>
          <w:tab/>
        </w:r>
        <w:r w:rsidR="00B52F7D">
          <w:rPr>
            <w:noProof/>
            <w:webHidden/>
          </w:rPr>
          <w:fldChar w:fldCharType="begin"/>
        </w:r>
        <w:r w:rsidR="00B52F7D">
          <w:rPr>
            <w:noProof/>
            <w:webHidden/>
          </w:rPr>
          <w:instrText xml:space="preserve"> PAGEREF _Toc430182576 \h </w:instrText>
        </w:r>
        <w:r w:rsidR="00B52F7D">
          <w:rPr>
            <w:noProof/>
            <w:webHidden/>
          </w:rPr>
        </w:r>
        <w:r w:rsidR="00B52F7D">
          <w:rPr>
            <w:noProof/>
            <w:webHidden/>
          </w:rPr>
          <w:fldChar w:fldCharType="separate"/>
        </w:r>
        <w:r w:rsidR="00B52F7D">
          <w:rPr>
            <w:noProof/>
            <w:webHidden/>
          </w:rPr>
          <w:t>76</w:t>
        </w:r>
        <w:r w:rsidR="00B52F7D">
          <w:rPr>
            <w:noProof/>
            <w:webHidden/>
          </w:rPr>
          <w:fldChar w:fldCharType="end"/>
        </w:r>
      </w:hyperlink>
    </w:p>
    <w:p w:rsidR="00B52F7D" w:rsidRDefault="00A1425C">
      <w:pPr>
        <w:pStyle w:val="TOC1"/>
        <w:tabs>
          <w:tab w:val="left" w:pos="1440"/>
          <w:tab w:val="right" w:pos="8296"/>
        </w:tabs>
        <w:rPr>
          <w:rFonts w:asciiTheme="minorHAnsi" w:eastAsiaTheme="minorEastAsia" w:hAnsiTheme="minorHAnsi" w:cstheme="minorBidi"/>
          <w:b w:val="0"/>
          <w:bCs w:val="0"/>
          <w:caps w:val="0"/>
          <w:noProof/>
          <w:sz w:val="22"/>
          <w:szCs w:val="22"/>
        </w:rPr>
      </w:pPr>
      <w:hyperlink w:anchor="_Toc430182577" w:history="1">
        <w:r w:rsidR="00B52F7D" w:rsidRPr="00FA77DC">
          <w:rPr>
            <w:rStyle w:val="Hyperlink"/>
            <w:noProof/>
          </w:rPr>
          <w:t>Appendix A</w:t>
        </w:r>
        <w:r w:rsidR="00B52F7D">
          <w:rPr>
            <w:rFonts w:asciiTheme="minorHAnsi" w:eastAsiaTheme="minorEastAsia" w:hAnsiTheme="minorHAnsi" w:cstheme="minorBidi"/>
            <w:b w:val="0"/>
            <w:bCs w:val="0"/>
            <w:caps w:val="0"/>
            <w:noProof/>
            <w:sz w:val="22"/>
            <w:szCs w:val="22"/>
          </w:rPr>
          <w:tab/>
        </w:r>
        <w:r w:rsidR="00B52F7D" w:rsidRPr="00FA77DC">
          <w:rPr>
            <w:rStyle w:val="Hyperlink"/>
            <w:noProof/>
          </w:rPr>
          <w:t>Supplementary Information on Urban Air Pollution</w:t>
        </w:r>
        <w:r w:rsidR="00B52F7D">
          <w:rPr>
            <w:noProof/>
            <w:webHidden/>
          </w:rPr>
          <w:tab/>
        </w:r>
        <w:r w:rsidR="00B52F7D">
          <w:rPr>
            <w:noProof/>
            <w:webHidden/>
          </w:rPr>
          <w:fldChar w:fldCharType="begin"/>
        </w:r>
        <w:r w:rsidR="00B52F7D">
          <w:rPr>
            <w:noProof/>
            <w:webHidden/>
          </w:rPr>
          <w:instrText xml:space="preserve"> PAGEREF _Toc430182577 \h </w:instrText>
        </w:r>
        <w:r w:rsidR="00B52F7D">
          <w:rPr>
            <w:noProof/>
            <w:webHidden/>
          </w:rPr>
        </w:r>
        <w:r w:rsidR="00B52F7D">
          <w:rPr>
            <w:noProof/>
            <w:webHidden/>
          </w:rPr>
          <w:fldChar w:fldCharType="separate"/>
        </w:r>
        <w:r w:rsidR="00B52F7D">
          <w:rPr>
            <w:noProof/>
            <w:webHidden/>
          </w:rPr>
          <w:t>77</w:t>
        </w:r>
        <w:r w:rsidR="00B52F7D">
          <w:rPr>
            <w:noProof/>
            <w:webHidden/>
          </w:rPr>
          <w:fldChar w:fldCharType="end"/>
        </w:r>
      </w:hyperlink>
    </w:p>
    <w:p w:rsidR="00B52F7D" w:rsidRDefault="00A1425C">
      <w:pPr>
        <w:pStyle w:val="TOC1"/>
        <w:tabs>
          <w:tab w:val="left" w:pos="1440"/>
          <w:tab w:val="right" w:pos="8296"/>
        </w:tabs>
        <w:rPr>
          <w:rFonts w:asciiTheme="minorHAnsi" w:eastAsiaTheme="minorEastAsia" w:hAnsiTheme="minorHAnsi" w:cstheme="minorBidi"/>
          <w:b w:val="0"/>
          <w:bCs w:val="0"/>
          <w:caps w:val="0"/>
          <w:noProof/>
          <w:sz w:val="22"/>
          <w:szCs w:val="22"/>
        </w:rPr>
      </w:pPr>
      <w:hyperlink w:anchor="_Toc430182588" w:history="1">
        <w:r w:rsidR="00B52F7D" w:rsidRPr="00FA77DC">
          <w:rPr>
            <w:rStyle w:val="Hyperlink"/>
            <w:noProof/>
          </w:rPr>
          <w:t>Appendix B</w:t>
        </w:r>
        <w:r w:rsidR="00B52F7D">
          <w:rPr>
            <w:rFonts w:asciiTheme="minorHAnsi" w:eastAsiaTheme="minorEastAsia" w:hAnsiTheme="minorHAnsi" w:cstheme="minorBidi"/>
            <w:b w:val="0"/>
            <w:bCs w:val="0"/>
            <w:caps w:val="0"/>
            <w:noProof/>
            <w:sz w:val="22"/>
            <w:szCs w:val="22"/>
          </w:rPr>
          <w:tab/>
        </w:r>
        <w:r w:rsidR="00B52F7D" w:rsidRPr="00FA77DC">
          <w:rPr>
            <w:rStyle w:val="Hyperlink"/>
            <w:noProof/>
          </w:rPr>
          <w:t>Table of Emissions Limits for Euro 2 - Euro 6 Light Vehicles</w:t>
        </w:r>
        <w:r w:rsidR="00B52F7D">
          <w:rPr>
            <w:noProof/>
            <w:webHidden/>
          </w:rPr>
          <w:tab/>
        </w:r>
        <w:r w:rsidR="00B52F7D">
          <w:rPr>
            <w:noProof/>
            <w:webHidden/>
          </w:rPr>
          <w:fldChar w:fldCharType="begin"/>
        </w:r>
        <w:r w:rsidR="00B52F7D">
          <w:rPr>
            <w:noProof/>
            <w:webHidden/>
          </w:rPr>
          <w:instrText xml:space="preserve"> PAGEREF _Toc430182588 \h </w:instrText>
        </w:r>
        <w:r w:rsidR="00B52F7D">
          <w:rPr>
            <w:noProof/>
            <w:webHidden/>
          </w:rPr>
        </w:r>
        <w:r w:rsidR="00B52F7D">
          <w:rPr>
            <w:noProof/>
            <w:webHidden/>
          </w:rPr>
          <w:fldChar w:fldCharType="separate"/>
        </w:r>
        <w:r w:rsidR="00B52F7D">
          <w:rPr>
            <w:noProof/>
            <w:webHidden/>
          </w:rPr>
          <w:t>88</w:t>
        </w:r>
        <w:r w:rsidR="00B52F7D">
          <w:rPr>
            <w:noProof/>
            <w:webHidden/>
          </w:rPr>
          <w:fldChar w:fldCharType="end"/>
        </w:r>
      </w:hyperlink>
    </w:p>
    <w:p w:rsidR="00B52F7D" w:rsidRDefault="00A1425C">
      <w:pPr>
        <w:pStyle w:val="TOC1"/>
        <w:tabs>
          <w:tab w:val="left" w:pos="1440"/>
          <w:tab w:val="right" w:pos="8296"/>
        </w:tabs>
        <w:rPr>
          <w:rFonts w:asciiTheme="minorHAnsi" w:eastAsiaTheme="minorEastAsia" w:hAnsiTheme="minorHAnsi" w:cstheme="minorBidi"/>
          <w:b w:val="0"/>
          <w:bCs w:val="0"/>
          <w:caps w:val="0"/>
          <w:noProof/>
          <w:sz w:val="22"/>
          <w:szCs w:val="22"/>
        </w:rPr>
      </w:pPr>
      <w:hyperlink w:anchor="_Toc430182589" w:history="1">
        <w:r w:rsidR="00B52F7D" w:rsidRPr="00FA77DC">
          <w:rPr>
            <w:rStyle w:val="Hyperlink"/>
            <w:noProof/>
          </w:rPr>
          <w:t>Appendix C</w:t>
        </w:r>
        <w:r w:rsidR="00B52F7D">
          <w:rPr>
            <w:rFonts w:asciiTheme="minorHAnsi" w:eastAsiaTheme="minorEastAsia" w:hAnsiTheme="minorHAnsi" w:cstheme="minorBidi"/>
            <w:b w:val="0"/>
            <w:bCs w:val="0"/>
            <w:caps w:val="0"/>
            <w:noProof/>
            <w:sz w:val="22"/>
            <w:szCs w:val="22"/>
          </w:rPr>
          <w:tab/>
        </w:r>
        <w:r w:rsidR="00B52F7D" w:rsidRPr="00FA77DC">
          <w:rPr>
            <w:rStyle w:val="Hyperlink"/>
            <w:noProof/>
          </w:rPr>
          <w:t>BITRE Benefit-Cost Analysis</w:t>
        </w:r>
        <w:r w:rsidR="00B52F7D">
          <w:rPr>
            <w:noProof/>
            <w:webHidden/>
          </w:rPr>
          <w:tab/>
        </w:r>
        <w:r w:rsidR="00B52F7D">
          <w:rPr>
            <w:noProof/>
            <w:webHidden/>
          </w:rPr>
          <w:fldChar w:fldCharType="begin"/>
        </w:r>
        <w:r w:rsidR="00B52F7D">
          <w:rPr>
            <w:noProof/>
            <w:webHidden/>
          </w:rPr>
          <w:instrText xml:space="preserve"> PAGEREF _Toc430182589 \h </w:instrText>
        </w:r>
        <w:r w:rsidR="00B52F7D">
          <w:rPr>
            <w:noProof/>
            <w:webHidden/>
          </w:rPr>
        </w:r>
        <w:r w:rsidR="00B52F7D">
          <w:rPr>
            <w:noProof/>
            <w:webHidden/>
          </w:rPr>
          <w:fldChar w:fldCharType="separate"/>
        </w:r>
        <w:r w:rsidR="00B52F7D">
          <w:rPr>
            <w:noProof/>
            <w:webHidden/>
          </w:rPr>
          <w:t>91</w:t>
        </w:r>
        <w:r w:rsidR="00B52F7D">
          <w:rPr>
            <w:noProof/>
            <w:webHidden/>
          </w:rPr>
          <w:fldChar w:fldCharType="end"/>
        </w:r>
      </w:hyperlink>
    </w:p>
    <w:p w:rsidR="00B52F7D" w:rsidRDefault="00A1425C">
      <w:pPr>
        <w:pStyle w:val="TOC1"/>
        <w:tabs>
          <w:tab w:val="right" w:pos="8296"/>
        </w:tabs>
        <w:rPr>
          <w:rFonts w:asciiTheme="minorHAnsi" w:eastAsiaTheme="minorEastAsia" w:hAnsiTheme="minorHAnsi" w:cstheme="minorBidi"/>
          <w:b w:val="0"/>
          <w:bCs w:val="0"/>
          <w:caps w:val="0"/>
          <w:noProof/>
          <w:sz w:val="22"/>
          <w:szCs w:val="22"/>
        </w:rPr>
      </w:pPr>
      <w:hyperlink w:anchor="_Toc430182590" w:history="1">
        <w:r w:rsidR="00B52F7D" w:rsidRPr="00FA77DC">
          <w:rPr>
            <w:rStyle w:val="Hyperlink"/>
            <w:noProof/>
          </w:rPr>
          <w:t>Benefit–Cost Analysis of Euro 5 and 6 Standards</w:t>
        </w:r>
        <w:r w:rsidR="00B52F7D">
          <w:rPr>
            <w:noProof/>
            <w:webHidden/>
          </w:rPr>
          <w:tab/>
        </w:r>
        <w:r w:rsidR="00B52F7D">
          <w:rPr>
            <w:noProof/>
            <w:webHidden/>
          </w:rPr>
          <w:fldChar w:fldCharType="begin"/>
        </w:r>
        <w:r w:rsidR="00B52F7D">
          <w:rPr>
            <w:noProof/>
            <w:webHidden/>
          </w:rPr>
          <w:instrText xml:space="preserve"> PAGEREF _Toc430182590 \h </w:instrText>
        </w:r>
        <w:r w:rsidR="00B52F7D">
          <w:rPr>
            <w:noProof/>
            <w:webHidden/>
          </w:rPr>
        </w:r>
        <w:r w:rsidR="00B52F7D">
          <w:rPr>
            <w:noProof/>
            <w:webHidden/>
          </w:rPr>
          <w:fldChar w:fldCharType="separate"/>
        </w:r>
        <w:r w:rsidR="00B52F7D">
          <w:rPr>
            <w:noProof/>
            <w:webHidden/>
          </w:rPr>
          <w:t>92</w:t>
        </w:r>
        <w:r w:rsidR="00B52F7D">
          <w:rPr>
            <w:noProof/>
            <w:webHidden/>
          </w:rPr>
          <w:fldChar w:fldCharType="end"/>
        </w:r>
      </w:hyperlink>
    </w:p>
    <w:p w:rsidR="00B52F7D" w:rsidRDefault="00A1425C">
      <w:pPr>
        <w:pStyle w:val="TOC1"/>
        <w:tabs>
          <w:tab w:val="left" w:pos="1440"/>
          <w:tab w:val="right" w:pos="8296"/>
        </w:tabs>
        <w:rPr>
          <w:rFonts w:asciiTheme="minorHAnsi" w:eastAsiaTheme="minorEastAsia" w:hAnsiTheme="minorHAnsi" w:cstheme="minorBidi"/>
          <w:b w:val="0"/>
          <w:bCs w:val="0"/>
          <w:caps w:val="0"/>
          <w:noProof/>
          <w:sz w:val="22"/>
          <w:szCs w:val="22"/>
        </w:rPr>
      </w:pPr>
      <w:hyperlink w:anchor="_Toc430182628" w:history="1">
        <w:r w:rsidR="00B52F7D" w:rsidRPr="00FA77DC">
          <w:rPr>
            <w:rStyle w:val="Hyperlink"/>
            <w:noProof/>
          </w:rPr>
          <w:t>Appendix D</w:t>
        </w:r>
        <w:r w:rsidR="00B52F7D">
          <w:rPr>
            <w:rFonts w:asciiTheme="minorHAnsi" w:eastAsiaTheme="minorEastAsia" w:hAnsiTheme="minorHAnsi" w:cstheme="minorBidi"/>
            <w:b w:val="0"/>
            <w:bCs w:val="0"/>
            <w:caps w:val="0"/>
            <w:noProof/>
            <w:sz w:val="22"/>
            <w:szCs w:val="22"/>
          </w:rPr>
          <w:tab/>
        </w:r>
        <w:r w:rsidR="00B52F7D" w:rsidRPr="00FA77DC">
          <w:rPr>
            <w:rStyle w:val="Hyperlink"/>
            <w:noProof/>
          </w:rPr>
          <w:t>BITRE response to manufacturer comments on vkt assumptions</w:t>
        </w:r>
        <w:r w:rsidR="00B52F7D">
          <w:rPr>
            <w:noProof/>
            <w:webHidden/>
          </w:rPr>
          <w:tab/>
        </w:r>
        <w:r w:rsidR="00B52F7D">
          <w:rPr>
            <w:noProof/>
            <w:webHidden/>
          </w:rPr>
          <w:fldChar w:fldCharType="begin"/>
        </w:r>
        <w:r w:rsidR="00B52F7D">
          <w:rPr>
            <w:noProof/>
            <w:webHidden/>
          </w:rPr>
          <w:instrText xml:space="preserve"> PAGEREF _Toc430182628 \h </w:instrText>
        </w:r>
        <w:r w:rsidR="00B52F7D">
          <w:rPr>
            <w:noProof/>
            <w:webHidden/>
          </w:rPr>
        </w:r>
        <w:r w:rsidR="00B52F7D">
          <w:rPr>
            <w:noProof/>
            <w:webHidden/>
          </w:rPr>
          <w:fldChar w:fldCharType="separate"/>
        </w:r>
        <w:r w:rsidR="00B52F7D">
          <w:rPr>
            <w:noProof/>
            <w:webHidden/>
          </w:rPr>
          <w:t>109</w:t>
        </w:r>
        <w:r w:rsidR="00B52F7D">
          <w:rPr>
            <w:noProof/>
            <w:webHidden/>
          </w:rPr>
          <w:fldChar w:fldCharType="end"/>
        </w:r>
      </w:hyperlink>
    </w:p>
    <w:p w:rsidR="00B52F7D" w:rsidRDefault="00896A37" w:rsidP="00B52F7D">
      <w:r w:rsidRPr="001A48D3">
        <w:rPr>
          <w:b/>
          <w:bCs/>
          <w:caps/>
        </w:rPr>
        <w:fldChar w:fldCharType="end"/>
      </w:r>
      <w:r w:rsidRPr="001A48D3">
        <w:br w:type="page"/>
      </w:r>
    </w:p>
    <w:p w:rsidR="007B24CA" w:rsidRPr="001A48D3" w:rsidRDefault="00A26AB7" w:rsidP="00B52F7D">
      <w:pPr>
        <w:pStyle w:val="Heading1"/>
      </w:pPr>
      <w:bookmarkStart w:id="5" w:name="_Toc430182476"/>
      <w:r w:rsidRPr="001A48D3">
        <w:lastRenderedPageBreak/>
        <w:t>Glossary of Te</w:t>
      </w:r>
      <w:r w:rsidR="007B24CA" w:rsidRPr="001A48D3">
        <w:t>rms</w:t>
      </w:r>
      <w:bookmarkEnd w:id="5"/>
    </w:p>
    <w:p w:rsidR="00AD6FCF" w:rsidRPr="001A48D3" w:rsidRDefault="00AD6FCF" w:rsidP="00C4701A">
      <w:pPr>
        <w:spacing w:after="120"/>
      </w:pPr>
    </w:p>
    <w:tbl>
      <w:tblPr>
        <w:tblStyle w:val="TableGrid"/>
        <w:tblW w:w="0" w:type="auto"/>
        <w:tblLook w:val="04A0" w:firstRow="1" w:lastRow="0" w:firstColumn="1" w:lastColumn="0" w:noHBand="0" w:noVBand="1"/>
        <w:tblCaption w:val="Glossary"/>
      </w:tblPr>
      <w:tblGrid>
        <w:gridCol w:w="1668"/>
        <w:gridCol w:w="6854"/>
      </w:tblGrid>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ADR</w:t>
            </w:r>
          </w:p>
        </w:tc>
        <w:tc>
          <w:tcPr>
            <w:tcW w:w="6854" w:type="dxa"/>
          </w:tcPr>
          <w:p w:rsidR="00AD6FCF" w:rsidRPr="001A48D3" w:rsidRDefault="00AD6FCF" w:rsidP="00C4701A">
            <w:pPr>
              <w:spacing w:beforeLines="40" w:before="96" w:afterLines="40" w:after="96"/>
              <w:rPr>
                <w:sz w:val="20"/>
              </w:rPr>
            </w:pPr>
            <w:r w:rsidRPr="001A48D3">
              <w:rPr>
                <w:sz w:val="20"/>
              </w:rPr>
              <w:t>Australian Design Rule</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BCA</w:t>
            </w:r>
          </w:p>
        </w:tc>
        <w:tc>
          <w:tcPr>
            <w:tcW w:w="6854" w:type="dxa"/>
          </w:tcPr>
          <w:p w:rsidR="00AD6FCF" w:rsidRPr="001A48D3" w:rsidRDefault="00AD6FCF" w:rsidP="00C4701A">
            <w:pPr>
              <w:spacing w:beforeLines="40" w:before="96" w:afterLines="40" w:after="96"/>
              <w:rPr>
                <w:sz w:val="20"/>
              </w:rPr>
            </w:pPr>
            <w:r w:rsidRPr="001A48D3">
              <w:rPr>
                <w:sz w:val="20"/>
              </w:rPr>
              <w:t>Benefit-cost analysis</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BCR</w:t>
            </w:r>
          </w:p>
        </w:tc>
        <w:tc>
          <w:tcPr>
            <w:tcW w:w="6854" w:type="dxa"/>
          </w:tcPr>
          <w:p w:rsidR="00AD6FCF" w:rsidRPr="001A48D3" w:rsidRDefault="00AD6FCF" w:rsidP="00C4701A">
            <w:pPr>
              <w:spacing w:beforeLines="40" w:before="96" w:afterLines="40" w:after="96"/>
              <w:rPr>
                <w:sz w:val="20"/>
              </w:rPr>
            </w:pPr>
            <w:r w:rsidRPr="001A48D3">
              <w:rPr>
                <w:sz w:val="20"/>
              </w:rPr>
              <w:t>Benefit-cost ratio</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CO</w:t>
            </w:r>
          </w:p>
        </w:tc>
        <w:tc>
          <w:tcPr>
            <w:tcW w:w="6854" w:type="dxa"/>
          </w:tcPr>
          <w:p w:rsidR="00AD6FCF" w:rsidRPr="001A48D3" w:rsidRDefault="00AD6FCF" w:rsidP="00C4701A">
            <w:pPr>
              <w:spacing w:beforeLines="40" w:before="96" w:afterLines="40" w:after="96"/>
              <w:rPr>
                <w:sz w:val="20"/>
              </w:rPr>
            </w:pPr>
            <w:r w:rsidRPr="001A48D3">
              <w:rPr>
                <w:sz w:val="20"/>
              </w:rPr>
              <w:t>Carbon monoxide</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CO</w:t>
            </w:r>
            <w:r w:rsidRPr="001A48D3">
              <w:rPr>
                <w:sz w:val="20"/>
                <w:vertAlign w:val="subscript"/>
              </w:rPr>
              <w:t>2</w:t>
            </w:r>
          </w:p>
        </w:tc>
        <w:tc>
          <w:tcPr>
            <w:tcW w:w="6854" w:type="dxa"/>
          </w:tcPr>
          <w:p w:rsidR="00AD6FCF" w:rsidRPr="001A48D3" w:rsidRDefault="00AD6FCF" w:rsidP="00C4701A">
            <w:pPr>
              <w:spacing w:beforeLines="40" w:before="96" w:afterLines="40" w:after="96"/>
              <w:rPr>
                <w:sz w:val="20"/>
              </w:rPr>
            </w:pPr>
            <w:r w:rsidRPr="001A48D3">
              <w:rPr>
                <w:sz w:val="20"/>
              </w:rPr>
              <w:t>Carbon dioxide</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EU</w:t>
            </w:r>
          </w:p>
        </w:tc>
        <w:tc>
          <w:tcPr>
            <w:tcW w:w="6854" w:type="dxa"/>
          </w:tcPr>
          <w:p w:rsidR="00AD6FCF" w:rsidRPr="001A48D3" w:rsidRDefault="00AD6FCF" w:rsidP="00C4701A">
            <w:pPr>
              <w:spacing w:beforeLines="40" w:before="96" w:afterLines="40" w:after="96"/>
              <w:rPr>
                <w:sz w:val="20"/>
              </w:rPr>
            </w:pPr>
            <w:r w:rsidRPr="001A48D3">
              <w:rPr>
                <w:sz w:val="20"/>
              </w:rPr>
              <w:t>European Union</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GVM</w:t>
            </w:r>
          </w:p>
        </w:tc>
        <w:tc>
          <w:tcPr>
            <w:tcW w:w="6854" w:type="dxa"/>
          </w:tcPr>
          <w:p w:rsidR="00AD6FCF" w:rsidRPr="001A48D3" w:rsidRDefault="00AD6FCF" w:rsidP="00C4701A">
            <w:pPr>
              <w:spacing w:beforeLines="40" w:before="96" w:afterLines="40" w:after="96"/>
              <w:rPr>
                <w:sz w:val="20"/>
              </w:rPr>
            </w:pPr>
            <w:r w:rsidRPr="001A48D3">
              <w:rPr>
                <w:sz w:val="20"/>
              </w:rPr>
              <w:t>Gross vehicle mass</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HC</w:t>
            </w:r>
          </w:p>
        </w:tc>
        <w:tc>
          <w:tcPr>
            <w:tcW w:w="6854" w:type="dxa"/>
          </w:tcPr>
          <w:p w:rsidR="00AD6FCF" w:rsidRPr="001A48D3" w:rsidRDefault="00AD6FCF" w:rsidP="00C4701A">
            <w:pPr>
              <w:spacing w:beforeLines="40" w:before="96" w:afterLines="40" w:after="96"/>
              <w:rPr>
                <w:sz w:val="20"/>
              </w:rPr>
            </w:pPr>
            <w:r w:rsidRPr="001A48D3">
              <w:rPr>
                <w:sz w:val="20"/>
              </w:rPr>
              <w:t>Hydrocarbons</w:t>
            </w:r>
            <w:bookmarkStart w:id="6" w:name="_GoBack"/>
            <w:bookmarkEnd w:id="6"/>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LCV</w:t>
            </w:r>
          </w:p>
        </w:tc>
        <w:tc>
          <w:tcPr>
            <w:tcW w:w="6854" w:type="dxa"/>
          </w:tcPr>
          <w:p w:rsidR="00AD6FCF" w:rsidRPr="001A48D3" w:rsidRDefault="00E85067" w:rsidP="00C4701A">
            <w:pPr>
              <w:spacing w:beforeLines="40" w:before="96" w:afterLines="40" w:after="96"/>
              <w:rPr>
                <w:sz w:val="20"/>
              </w:rPr>
            </w:pPr>
            <w:r w:rsidRPr="001A48D3">
              <w:rPr>
                <w:sz w:val="20"/>
              </w:rPr>
              <w:t xml:space="preserve">Commercial vehicles (utilities, vans </w:t>
            </w:r>
            <w:proofErr w:type="spellStart"/>
            <w:r w:rsidRPr="001A48D3">
              <w:rPr>
                <w:sz w:val="20"/>
              </w:rPr>
              <w:t>etc</w:t>
            </w:r>
            <w:proofErr w:type="spellEnd"/>
            <w:r w:rsidRPr="001A48D3">
              <w:rPr>
                <w:sz w:val="20"/>
              </w:rPr>
              <w:t>) ≤3.5 tonnes GVM</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Light vehicles</w:t>
            </w:r>
          </w:p>
        </w:tc>
        <w:tc>
          <w:tcPr>
            <w:tcW w:w="6854" w:type="dxa"/>
          </w:tcPr>
          <w:p w:rsidR="00AD6FCF" w:rsidRPr="001A48D3" w:rsidRDefault="00AD6FCF" w:rsidP="00C4701A">
            <w:pPr>
              <w:spacing w:beforeLines="40" w:before="96" w:afterLines="40" w:after="96"/>
              <w:rPr>
                <w:sz w:val="20"/>
              </w:rPr>
            </w:pPr>
            <w:r w:rsidRPr="001A48D3">
              <w:rPr>
                <w:sz w:val="20"/>
              </w:rPr>
              <w:t xml:space="preserve">All 4 wheeled road vehicles </w:t>
            </w:r>
            <w:r w:rsidR="00E85067" w:rsidRPr="001A48D3">
              <w:rPr>
                <w:sz w:val="20"/>
              </w:rPr>
              <w:t>≤3.5 tonnes GVM</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LPG</w:t>
            </w:r>
          </w:p>
        </w:tc>
        <w:tc>
          <w:tcPr>
            <w:tcW w:w="6854" w:type="dxa"/>
          </w:tcPr>
          <w:p w:rsidR="00AD6FCF" w:rsidRPr="001A48D3" w:rsidRDefault="00AD6FCF" w:rsidP="00C4701A">
            <w:pPr>
              <w:spacing w:beforeLines="40" w:before="96" w:afterLines="40" w:after="96"/>
              <w:rPr>
                <w:sz w:val="20"/>
              </w:rPr>
            </w:pPr>
            <w:r w:rsidRPr="001A48D3">
              <w:rPr>
                <w:sz w:val="20"/>
              </w:rPr>
              <w:t>Liquefied petroleum gas</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NEPM</w:t>
            </w:r>
          </w:p>
        </w:tc>
        <w:tc>
          <w:tcPr>
            <w:tcW w:w="6854" w:type="dxa"/>
          </w:tcPr>
          <w:p w:rsidR="00AD6FCF" w:rsidRPr="001A48D3" w:rsidRDefault="00AD6FCF" w:rsidP="00C4701A">
            <w:pPr>
              <w:spacing w:beforeLines="40" w:before="96" w:afterLines="40" w:after="96"/>
              <w:rPr>
                <w:sz w:val="20"/>
              </w:rPr>
            </w:pPr>
            <w:r w:rsidRPr="001A48D3">
              <w:rPr>
                <w:sz w:val="20"/>
              </w:rPr>
              <w:t xml:space="preserve">National Environment Protection Measure </w:t>
            </w:r>
          </w:p>
        </w:tc>
      </w:tr>
      <w:tr w:rsidR="00B1730B" w:rsidRPr="001A48D3" w:rsidTr="00096397">
        <w:tc>
          <w:tcPr>
            <w:tcW w:w="1668" w:type="dxa"/>
          </w:tcPr>
          <w:p w:rsidR="00B1730B" w:rsidRPr="001A48D3" w:rsidRDefault="00B1730B" w:rsidP="00C4701A">
            <w:pPr>
              <w:spacing w:beforeLines="40" w:before="96" w:afterLines="40" w:after="96"/>
              <w:rPr>
                <w:sz w:val="20"/>
              </w:rPr>
            </w:pPr>
            <w:r w:rsidRPr="001A48D3">
              <w:rPr>
                <w:sz w:val="20"/>
              </w:rPr>
              <w:t>NG</w:t>
            </w:r>
          </w:p>
        </w:tc>
        <w:tc>
          <w:tcPr>
            <w:tcW w:w="6854" w:type="dxa"/>
          </w:tcPr>
          <w:p w:rsidR="00B1730B" w:rsidRPr="001A48D3" w:rsidRDefault="00B1730B" w:rsidP="00C4701A">
            <w:pPr>
              <w:spacing w:beforeLines="40" w:before="96" w:afterLines="40" w:after="96"/>
              <w:rPr>
                <w:sz w:val="20"/>
              </w:rPr>
            </w:pPr>
            <w:r w:rsidRPr="001A48D3">
              <w:rPr>
                <w:sz w:val="20"/>
              </w:rPr>
              <w:t>Natural gas</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NO</w:t>
            </w:r>
            <w:r w:rsidRPr="001A48D3">
              <w:rPr>
                <w:sz w:val="20"/>
                <w:vertAlign w:val="subscript"/>
              </w:rPr>
              <w:t>2</w:t>
            </w:r>
          </w:p>
        </w:tc>
        <w:tc>
          <w:tcPr>
            <w:tcW w:w="6854" w:type="dxa"/>
          </w:tcPr>
          <w:p w:rsidR="00AD6FCF" w:rsidRPr="001A48D3" w:rsidRDefault="00AD6FCF" w:rsidP="00C4701A">
            <w:pPr>
              <w:spacing w:beforeLines="40" w:before="96" w:afterLines="40" w:after="96"/>
              <w:rPr>
                <w:sz w:val="20"/>
              </w:rPr>
            </w:pPr>
            <w:r w:rsidRPr="001A48D3">
              <w:rPr>
                <w:sz w:val="20"/>
              </w:rPr>
              <w:t>Nitrogen dioxide</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NOx</w:t>
            </w:r>
          </w:p>
        </w:tc>
        <w:tc>
          <w:tcPr>
            <w:tcW w:w="6854" w:type="dxa"/>
          </w:tcPr>
          <w:p w:rsidR="00AD6FCF" w:rsidRPr="001A48D3" w:rsidRDefault="00AD6FCF" w:rsidP="00C4701A">
            <w:pPr>
              <w:spacing w:beforeLines="40" w:before="96" w:afterLines="40" w:after="96"/>
              <w:rPr>
                <w:sz w:val="20"/>
              </w:rPr>
            </w:pPr>
            <w:r w:rsidRPr="001A48D3">
              <w:rPr>
                <w:sz w:val="20"/>
              </w:rPr>
              <w:t>Oxides of nitrogen (nitric oxide and nitrogen dioxide)</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NPV</w:t>
            </w:r>
          </w:p>
        </w:tc>
        <w:tc>
          <w:tcPr>
            <w:tcW w:w="6854" w:type="dxa"/>
          </w:tcPr>
          <w:p w:rsidR="00AD6FCF" w:rsidRPr="001A48D3" w:rsidRDefault="00AD6FCF" w:rsidP="00C4701A">
            <w:pPr>
              <w:spacing w:beforeLines="40" w:before="96" w:afterLines="40" w:after="96"/>
              <w:rPr>
                <w:sz w:val="20"/>
              </w:rPr>
            </w:pPr>
            <w:r w:rsidRPr="001A48D3">
              <w:rPr>
                <w:sz w:val="20"/>
              </w:rPr>
              <w:t>Net present value</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OBD</w:t>
            </w:r>
          </w:p>
        </w:tc>
        <w:tc>
          <w:tcPr>
            <w:tcW w:w="6854" w:type="dxa"/>
          </w:tcPr>
          <w:p w:rsidR="00AD6FCF" w:rsidRPr="001A48D3" w:rsidRDefault="00AD6FCF" w:rsidP="00C4701A">
            <w:pPr>
              <w:spacing w:beforeLines="40" w:before="96" w:afterLines="40" w:after="96"/>
              <w:rPr>
                <w:sz w:val="20"/>
              </w:rPr>
            </w:pPr>
            <w:r w:rsidRPr="001A48D3">
              <w:rPr>
                <w:sz w:val="20"/>
              </w:rPr>
              <w:t>On-board diagnostics</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PM</w:t>
            </w:r>
          </w:p>
        </w:tc>
        <w:tc>
          <w:tcPr>
            <w:tcW w:w="6854" w:type="dxa"/>
          </w:tcPr>
          <w:p w:rsidR="00AD6FCF" w:rsidRPr="001A48D3" w:rsidRDefault="00AD6FCF" w:rsidP="00C4701A">
            <w:pPr>
              <w:spacing w:beforeLines="40" w:before="96" w:afterLines="40" w:after="96"/>
              <w:rPr>
                <w:sz w:val="20"/>
              </w:rPr>
            </w:pPr>
            <w:r w:rsidRPr="001A48D3">
              <w:rPr>
                <w:sz w:val="20"/>
              </w:rPr>
              <w:t>Particulate matter, particulates, particles</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PM</w:t>
            </w:r>
            <w:r w:rsidRPr="001A48D3">
              <w:rPr>
                <w:sz w:val="20"/>
                <w:vertAlign w:val="subscript"/>
              </w:rPr>
              <w:t xml:space="preserve">1, </w:t>
            </w:r>
            <w:r w:rsidRPr="001A48D3">
              <w:rPr>
                <w:sz w:val="20"/>
              </w:rPr>
              <w:t>PM</w:t>
            </w:r>
            <w:r w:rsidRPr="001A48D3">
              <w:rPr>
                <w:sz w:val="20"/>
                <w:vertAlign w:val="subscript"/>
              </w:rPr>
              <w:t xml:space="preserve">2.5, </w:t>
            </w:r>
            <w:r w:rsidRPr="001A48D3">
              <w:rPr>
                <w:sz w:val="20"/>
              </w:rPr>
              <w:t>PM</w:t>
            </w:r>
            <w:r w:rsidRPr="001A48D3">
              <w:rPr>
                <w:sz w:val="20"/>
                <w:vertAlign w:val="subscript"/>
              </w:rPr>
              <w:t>10</w:t>
            </w:r>
          </w:p>
        </w:tc>
        <w:tc>
          <w:tcPr>
            <w:tcW w:w="6854" w:type="dxa"/>
          </w:tcPr>
          <w:p w:rsidR="00AD6FCF" w:rsidRPr="001A48D3" w:rsidRDefault="00AD6FCF" w:rsidP="00C4701A">
            <w:pPr>
              <w:spacing w:beforeLines="40" w:before="96" w:afterLines="40" w:after="96"/>
              <w:rPr>
                <w:sz w:val="20"/>
              </w:rPr>
            </w:pPr>
            <w:r w:rsidRPr="001A48D3">
              <w:rPr>
                <w:sz w:val="20"/>
              </w:rPr>
              <w:t>PM with diameter less than 1, 2.5 and 10 microns, respectively</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ppm</w:t>
            </w:r>
          </w:p>
        </w:tc>
        <w:tc>
          <w:tcPr>
            <w:tcW w:w="6854" w:type="dxa"/>
          </w:tcPr>
          <w:p w:rsidR="00AD6FCF" w:rsidRPr="001A48D3" w:rsidRDefault="00AD6FCF" w:rsidP="00C4701A">
            <w:pPr>
              <w:spacing w:beforeLines="40" w:before="96" w:afterLines="40" w:after="96"/>
              <w:rPr>
                <w:sz w:val="20"/>
              </w:rPr>
            </w:pPr>
            <w:r w:rsidRPr="001A48D3">
              <w:rPr>
                <w:sz w:val="20"/>
              </w:rPr>
              <w:t>Parts per million</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PULP</w:t>
            </w:r>
          </w:p>
        </w:tc>
        <w:tc>
          <w:tcPr>
            <w:tcW w:w="6854" w:type="dxa"/>
          </w:tcPr>
          <w:p w:rsidR="00AD6FCF" w:rsidRPr="001A48D3" w:rsidRDefault="00AD6FCF" w:rsidP="00C4701A">
            <w:pPr>
              <w:spacing w:beforeLines="40" w:before="96" w:afterLines="40" w:after="96"/>
              <w:rPr>
                <w:sz w:val="20"/>
              </w:rPr>
            </w:pPr>
            <w:r w:rsidRPr="001A48D3">
              <w:rPr>
                <w:sz w:val="20"/>
              </w:rPr>
              <w:t>“Premium” unleaded petrol (minimum 95RON)</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RON</w:t>
            </w:r>
          </w:p>
        </w:tc>
        <w:tc>
          <w:tcPr>
            <w:tcW w:w="6854" w:type="dxa"/>
          </w:tcPr>
          <w:p w:rsidR="00AD6FCF" w:rsidRPr="001A48D3" w:rsidRDefault="00AD6FCF" w:rsidP="00C4701A">
            <w:pPr>
              <w:spacing w:beforeLines="40" w:before="96" w:afterLines="40" w:after="96"/>
              <w:rPr>
                <w:sz w:val="20"/>
              </w:rPr>
            </w:pPr>
            <w:r w:rsidRPr="001A48D3">
              <w:rPr>
                <w:sz w:val="20"/>
              </w:rPr>
              <w:t>Research octane number (a parameter of petrol)</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UFP</w:t>
            </w:r>
          </w:p>
        </w:tc>
        <w:tc>
          <w:tcPr>
            <w:tcW w:w="6854" w:type="dxa"/>
          </w:tcPr>
          <w:p w:rsidR="00AD6FCF" w:rsidRPr="001A48D3" w:rsidRDefault="00AD6FCF" w:rsidP="00C4701A">
            <w:pPr>
              <w:spacing w:beforeLines="40" w:before="96" w:afterLines="40" w:after="96"/>
              <w:rPr>
                <w:sz w:val="20"/>
              </w:rPr>
            </w:pPr>
            <w:r w:rsidRPr="001A48D3">
              <w:rPr>
                <w:sz w:val="20"/>
              </w:rPr>
              <w:t>Ultra-fine particle</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ULP</w:t>
            </w:r>
          </w:p>
        </w:tc>
        <w:tc>
          <w:tcPr>
            <w:tcW w:w="6854" w:type="dxa"/>
          </w:tcPr>
          <w:p w:rsidR="00AD6FCF" w:rsidRPr="001A48D3" w:rsidRDefault="00AD6FCF" w:rsidP="00C4701A">
            <w:pPr>
              <w:spacing w:beforeLines="40" w:before="96" w:afterLines="40" w:after="96"/>
              <w:rPr>
                <w:sz w:val="20"/>
              </w:rPr>
            </w:pPr>
            <w:r w:rsidRPr="001A48D3">
              <w:rPr>
                <w:sz w:val="20"/>
              </w:rPr>
              <w:t>“Regular” unleaded petrol (minimum 91RON)</w:t>
            </w:r>
          </w:p>
        </w:tc>
      </w:tr>
      <w:tr w:rsidR="00AD6FCF" w:rsidRPr="001A48D3" w:rsidTr="00096397">
        <w:tc>
          <w:tcPr>
            <w:tcW w:w="1668" w:type="dxa"/>
          </w:tcPr>
          <w:p w:rsidR="00AD6FCF" w:rsidRPr="001A48D3" w:rsidRDefault="00AD6FCF" w:rsidP="00C4701A">
            <w:pPr>
              <w:spacing w:beforeLines="40" w:before="96" w:afterLines="40" w:after="96"/>
              <w:rPr>
                <w:sz w:val="20"/>
              </w:rPr>
            </w:pPr>
            <w:r w:rsidRPr="001A48D3">
              <w:rPr>
                <w:sz w:val="20"/>
              </w:rPr>
              <w:t>VKT</w:t>
            </w:r>
          </w:p>
        </w:tc>
        <w:tc>
          <w:tcPr>
            <w:tcW w:w="6854" w:type="dxa"/>
          </w:tcPr>
          <w:p w:rsidR="00AD6FCF" w:rsidRPr="001A48D3" w:rsidRDefault="00AD6FCF" w:rsidP="00C4701A">
            <w:pPr>
              <w:spacing w:beforeLines="40" w:before="96" w:afterLines="40" w:after="96"/>
              <w:rPr>
                <w:sz w:val="20"/>
              </w:rPr>
            </w:pPr>
            <w:r w:rsidRPr="001A48D3">
              <w:rPr>
                <w:sz w:val="20"/>
              </w:rPr>
              <w:t>Vehicle kilometres travelled</w:t>
            </w:r>
          </w:p>
        </w:tc>
      </w:tr>
      <w:tr w:rsidR="00CE0A88" w:rsidRPr="001A48D3" w:rsidTr="00096397">
        <w:tc>
          <w:tcPr>
            <w:tcW w:w="8522" w:type="dxa"/>
            <w:gridSpan w:val="2"/>
          </w:tcPr>
          <w:p w:rsidR="00CE0A88" w:rsidRPr="001A48D3" w:rsidRDefault="00CE0A88" w:rsidP="00C4701A">
            <w:pPr>
              <w:spacing w:beforeLines="40" w:before="96" w:afterLines="40" w:after="96"/>
              <w:rPr>
                <w:b/>
                <w:sz w:val="20"/>
              </w:rPr>
            </w:pPr>
            <w:r w:rsidRPr="001A48D3">
              <w:rPr>
                <w:b/>
                <w:sz w:val="20"/>
              </w:rPr>
              <w:t>ACRONYMS FOR ORGANISATIONS</w:t>
            </w:r>
          </w:p>
        </w:tc>
      </w:tr>
      <w:tr w:rsidR="00CE0A88" w:rsidRPr="001A48D3" w:rsidTr="00096397">
        <w:tc>
          <w:tcPr>
            <w:tcW w:w="1668" w:type="dxa"/>
          </w:tcPr>
          <w:p w:rsidR="00CE0A88" w:rsidRPr="001A48D3" w:rsidRDefault="00CE0A88" w:rsidP="00C4701A">
            <w:pPr>
              <w:spacing w:beforeLines="40" w:before="96" w:afterLines="40" w:after="96"/>
              <w:rPr>
                <w:sz w:val="20"/>
              </w:rPr>
            </w:pPr>
            <w:r w:rsidRPr="001A48D3">
              <w:rPr>
                <w:sz w:val="20"/>
              </w:rPr>
              <w:t>AAA</w:t>
            </w:r>
          </w:p>
        </w:tc>
        <w:tc>
          <w:tcPr>
            <w:tcW w:w="6854" w:type="dxa"/>
          </w:tcPr>
          <w:p w:rsidR="00CE0A88" w:rsidRPr="001A48D3" w:rsidRDefault="00CE0A88" w:rsidP="00C4701A">
            <w:pPr>
              <w:spacing w:beforeLines="40" w:before="96" w:afterLines="40" w:after="96"/>
              <w:rPr>
                <w:sz w:val="20"/>
              </w:rPr>
            </w:pPr>
            <w:r w:rsidRPr="001A48D3">
              <w:rPr>
                <w:sz w:val="20"/>
              </w:rPr>
              <w:t>Australian Automobile Association</w:t>
            </w:r>
          </w:p>
        </w:tc>
      </w:tr>
      <w:tr w:rsidR="00CE0A88" w:rsidRPr="001A48D3" w:rsidTr="00096397">
        <w:tc>
          <w:tcPr>
            <w:tcW w:w="1668" w:type="dxa"/>
          </w:tcPr>
          <w:p w:rsidR="00CE0A88" w:rsidRPr="001A48D3" w:rsidRDefault="00CE0A88" w:rsidP="00C4701A">
            <w:pPr>
              <w:spacing w:beforeLines="40" w:before="96" w:afterLines="40" w:after="96"/>
              <w:rPr>
                <w:sz w:val="20"/>
              </w:rPr>
            </w:pPr>
            <w:r w:rsidRPr="001A48D3">
              <w:rPr>
                <w:sz w:val="20"/>
              </w:rPr>
              <w:t>AAAA</w:t>
            </w:r>
          </w:p>
        </w:tc>
        <w:tc>
          <w:tcPr>
            <w:tcW w:w="6854" w:type="dxa"/>
          </w:tcPr>
          <w:p w:rsidR="00CE0A88" w:rsidRPr="001A48D3" w:rsidRDefault="00CE0A88" w:rsidP="00C4701A">
            <w:pPr>
              <w:spacing w:beforeLines="40" w:before="96" w:afterLines="40" w:after="96"/>
              <w:rPr>
                <w:sz w:val="20"/>
              </w:rPr>
            </w:pPr>
            <w:r w:rsidRPr="001A48D3">
              <w:rPr>
                <w:sz w:val="20"/>
              </w:rPr>
              <w:t xml:space="preserve">Australian Automotive Aftermarket </w:t>
            </w:r>
            <w:r w:rsidR="00F250E0" w:rsidRPr="001A48D3">
              <w:rPr>
                <w:sz w:val="20"/>
              </w:rPr>
              <w:t>Association</w:t>
            </w:r>
          </w:p>
        </w:tc>
      </w:tr>
      <w:tr w:rsidR="00C65107" w:rsidRPr="001A48D3" w:rsidTr="00096397">
        <w:tc>
          <w:tcPr>
            <w:tcW w:w="1668" w:type="dxa"/>
          </w:tcPr>
          <w:p w:rsidR="00C65107" w:rsidRPr="001A48D3" w:rsidRDefault="009E596E" w:rsidP="00C4701A">
            <w:pPr>
              <w:spacing w:beforeLines="40" w:before="96" w:afterLines="40" w:after="96"/>
              <w:rPr>
                <w:sz w:val="20"/>
              </w:rPr>
            </w:pPr>
            <w:r w:rsidRPr="001A48D3">
              <w:rPr>
                <w:sz w:val="20"/>
              </w:rPr>
              <w:lastRenderedPageBreak/>
              <w:t>AF</w:t>
            </w:r>
            <w:r w:rsidR="00C65107" w:rsidRPr="001A48D3">
              <w:rPr>
                <w:sz w:val="20"/>
              </w:rPr>
              <w:t>MA</w:t>
            </w:r>
          </w:p>
        </w:tc>
        <w:tc>
          <w:tcPr>
            <w:tcW w:w="6854" w:type="dxa"/>
          </w:tcPr>
          <w:p w:rsidR="00C65107" w:rsidRPr="001A48D3" w:rsidRDefault="00C65107" w:rsidP="00C4701A">
            <w:pPr>
              <w:spacing w:beforeLines="40" w:before="96" w:afterLines="40" w:after="96"/>
              <w:rPr>
                <w:sz w:val="20"/>
              </w:rPr>
            </w:pPr>
            <w:r w:rsidRPr="001A48D3">
              <w:rPr>
                <w:sz w:val="20"/>
              </w:rPr>
              <w:t>Australasian Fleet Managers Association</w:t>
            </w:r>
          </w:p>
        </w:tc>
      </w:tr>
      <w:tr w:rsidR="00CE0A88" w:rsidRPr="001A48D3" w:rsidTr="00096397">
        <w:tc>
          <w:tcPr>
            <w:tcW w:w="1668" w:type="dxa"/>
          </w:tcPr>
          <w:p w:rsidR="00CE0A88" w:rsidRPr="001A48D3" w:rsidRDefault="00CE0A88" w:rsidP="00C4701A">
            <w:pPr>
              <w:spacing w:beforeLines="40" w:before="96" w:afterLines="40" w:after="96"/>
              <w:rPr>
                <w:sz w:val="20"/>
              </w:rPr>
            </w:pPr>
            <w:r w:rsidRPr="001A48D3">
              <w:rPr>
                <w:sz w:val="20"/>
              </w:rPr>
              <w:t>AIP</w:t>
            </w:r>
          </w:p>
        </w:tc>
        <w:tc>
          <w:tcPr>
            <w:tcW w:w="6854" w:type="dxa"/>
          </w:tcPr>
          <w:p w:rsidR="00CE0A88" w:rsidRPr="001A48D3" w:rsidRDefault="00CE0A88" w:rsidP="00C4701A">
            <w:pPr>
              <w:spacing w:beforeLines="40" w:before="96" w:afterLines="40" w:after="96"/>
              <w:rPr>
                <w:sz w:val="20"/>
              </w:rPr>
            </w:pPr>
            <w:r w:rsidRPr="001A48D3">
              <w:rPr>
                <w:sz w:val="20"/>
              </w:rPr>
              <w:t xml:space="preserve">Australian Institute of Petroleum </w:t>
            </w:r>
          </w:p>
        </w:tc>
      </w:tr>
      <w:tr w:rsidR="00CE0A88" w:rsidRPr="001A48D3" w:rsidTr="00096397">
        <w:tc>
          <w:tcPr>
            <w:tcW w:w="1668" w:type="dxa"/>
          </w:tcPr>
          <w:p w:rsidR="00CE0A88" w:rsidRPr="001A48D3" w:rsidRDefault="00CE0A88" w:rsidP="00C4701A">
            <w:pPr>
              <w:spacing w:beforeLines="40" w:before="96" w:afterLines="40" w:after="96"/>
              <w:rPr>
                <w:sz w:val="20"/>
              </w:rPr>
            </w:pPr>
            <w:r w:rsidRPr="001A48D3">
              <w:rPr>
                <w:sz w:val="20"/>
              </w:rPr>
              <w:t>ATC</w:t>
            </w:r>
          </w:p>
        </w:tc>
        <w:tc>
          <w:tcPr>
            <w:tcW w:w="6854" w:type="dxa"/>
          </w:tcPr>
          <w:p w:rsidR="00CE0A88" w:rsidRPr="001A48D3" w:rsidRDefault="00CE0A88" w:rsidP="00C4701A">
            <w:pPr>
              <w:spacing w:beforeLines="40" w:before="96" w:afterLines="40" w:after="96"/>
              <w:rPr>
                <w:sz w:val="20"/>
              </w:rPr>
            </w:pPr>
            <w:r w:rsidRPr="001A48D3">
              <w:rPr>
                <w:sz w:val="20"/>
              </w:rPr>
              <w:t>Australian Transport Council</w:t>
            </w:r>
          </w:p>
        </w:tc>
      </w:tr>
      <w:tr w:rsidR="00CE0A88" w:rsidRPr="001A48D3" w:rsidTr="00096397">
        <w:tc>
          <w:tcPr>
            <w:tcW w:w="1668" w:type="dxa"/>
          </w:tcPr>
          <w:p w:rsidR="00CE0A88" w:rsidRPr="001A48D3" w:rsidRDefault="00CE0A88" w:rsidP="00C4701A">
            <w:pPr>
              <w:spacing w:beforeLines="40" w:before="96" w:afterLines="40" w:after="96"/>
              <w:rPr>
                <w:sz w:val="20"/>
              </w:rPr>
            </w:pPr>
            <w:r w:rsidRPr="001A48D3">
              <w:rPr>
                <w:sz w:val="20"/>
              </w:rPr>
              <w:t>BITRE</w:t>
            </w:r>
          </w:p>
        </w:tc>
        <w:tc>
          <w:tcPr>
            <w:tcW w:w="6854" w:type="dxa"/>
          </w:tcPr>
          <w:p w:rsidR="00CE0A88" w:rsidRPr="001A48D3" w:rsidRDefault="00CE0A88" w:rsidP="00C4701A">
            <w:pPr>
              <w:spacing w:beforeLines="40" w:before="96" w:afterLines="40" w:after="96"/>
              <w:rPr>
                <w:sz w:val="20"/>
              </w:rPr>
            </w:pPr>
            <w:r w:rsidRPr="001A48D3">
              <w:rPr>
                <w:sz w:val="20"/>
              </w:rPr>
              <w:t>Bureau of Infrastructure, Transport and Regional Economics</w:t>
            </w:r>
          </w:p>
        </w:tc>
      </w:tr>
      <w:tr w:rsidR="00A0173B" w:rsidRPr="001A48D3" w:rsidTr="00096397">
        <w:tc>
          <w:tcPr>
            <w:tcW w:w="1668" w:type="dxa"/>
          </w:tcPr>
          <w:p w:rsidR="00A0173B" w:rsidRPr="001A48D3" w:rsidRDefault="00A0173B" w:rsidP="00C4701A">
            <w:pPr>
              <w:spacing w:beforeLines="40" w:before="96" w:afterLines="40" w:after="96"/>
              <w:rPr>
                <w:sz w:val="20"/>
              </w:rPr>
            </w:pPr>
            <w:r w:rsidRPr="001A48D3">
              <w:rPr>
                <w:sz w:val="20"/>
              </w:rPr>
              <w:t>DIT</w:t>
            </w:r>
          </w:p>
        </w:tc>
        <w:tc>
          <w:tcPr>
            <w:tcW w:w="6854" w:type="dxa"/>
          </w:tcPr>
          <w:p w:rsidR="00A0173B" w:rsidRPr="001A48D3" w:rsidRDefault="00A0173B" w:rsidP="00C4701A">
            <w:pPr>
              <w:spacing w:beforeLines="40" w:before="96" w:afterLines="40" w:after="96"/>
              <w:rPr>
                <w:sz w:val="20"/>
              </w:rPr>
            </w:pPr>
            <w:r w:rsidRPr="001A48D3">
              <w:rPr>
                <w:sz w:val="20"/>
              </w:rPr>
              <w:t xml:space="preserve">Department of Infrastructure and Transport </w:t>
            </w:r>
          </w:p>
        </w:tc>
      </w:tr>
      <w:tr w:rsidR="00251CE3" w:rsidRPr="001A48D3" w:rsidTr="00096397">
        <w:tc>
          <w:tcPr>
            <w:tcW w:w="1668" w:type="dxa"/>
          </w:tcPr>
          <w:p w:rsidR="00251CE3" w:rsidRPr="001A48D3" w:rsidRDefault="00A0173B" w:rsidP="00C4701A">
            <w:pPr>
              <w:spacing w:beforeLines="40" w:before="96" w:afterLines="40" w:after="96"/>
              <w:rPr>
                <w:sz w:val="20"/>
              </w:rPr>
            </w:pPr>
            <w:r w:rsidRPr="001A48D3">
              <w:rPr>
                <w:sz w:val="20"/>
              </w:rPr>
              <w:t>DSEWPC</w:t>
            </w:r>
          </w:p>
        </w:tc>
        <w:tc>
          <w:tcPr>
            <w:tcW w:w="6854" w:type="dxa"/>
          </w:tcPr>
          <w:p w:rsidR="00251CE3" w:rsidRPr="001A48D3" w:rsidRDefault="00251CE3" w:rsidP="00C4701A">
            <w:pPr>
              <w:spacing w:beforeLines="40" w:before="96" w:afterLines="40" w:after="96"/>
              <w:rPr>
                <w:sz w:val="20"/>
              </w:rPr>
            </w:pPr>
            <w:r w:rsidRPr="001A48D3">
              <w:rPr>
                <w:sz w:val="20"/>
              </w:rPr>
              <w:t xml:space="preserve">Department </w:t>
            </w:r>
            <w:r w:rsidR="00A0173B" w:rsidRPr="001A48D3">
              <w:rPr>
                <w:sz w:val="20"/>
              </w:rPr>
              <w:t xml:space="preserve">of </w:t>
            </w:r>
            <w:r w:rsidR="00A0173B" w:rsidRPr="001A48D3">
              <w:rPr>
                <w:color w:val="000000"/>
                <w:sz w:val="20"/>
              </w:rPr>
              <w:t>Sustainability, Environment, Water, Population and Communities</w:t>
            </w:r>
          </w:p>
        </w:tc>
      </w:tr>
      <w:tr w:rsidR="00CE0A88" w:rsidRPr="001A48D3" w:rsidTr="00096397">
        <w:tc>
          <w:tcPr>
            <w:tcW w:w="1668" w:type="dxa"/>
          </w:tcPr>
          <w:p w:rsidR="00CE0A88" w:rsidRPr="001A48D3" w:rsidRDefault="00CE0A88" w:rsidP="00C4701A">
            <w:pPr>
              <w:spacing w:beforeLines="40" w:before="96" w:afterLines="40" w:after="96"/>
              <w:rPr>
                <w:sz w:val="20"/>
              </w:rPr>
            </w:pPr>
            <w:r w:rsidRPr="001A48D3">
              <w:rPr>
                <w:sz w:val="20"/>
              </w:rPr>
              <w:t>EC</w:t>
            </w:r>
          </w:p>
        </w:tc>
        <w:tc>
          <w:tcPr>
            <w:tcW w:w="6854" w:type="dxa"/>
          </w:tcPr>
          <w:p w:rsidR="00CE0A88" w:rsidRPr="001A48D3" w:rsidRDefault="00CE0A88" w:rsidP="00C4701A">
            <w:pPr>
              <w:spacing w:beforeLines="40" w:before="96" w:afterLines="40" w:after="96"/>
              <w:rPr>
                <w:sz w:val="20"/>
              </w:rPr>
            </w:pPr>
            <w:r w:rsidRPr="001A48D3">
              <w:rPr>
                <w:sz w:val="20"/>
              </w:rPr>
              <w:t>European Commission</w:t>
            </w:r>
          </w:p>
        </w:tc>
      </w:tr>
      <w:tr w:rsidR="00CE0A88" w:rsidRPr="001A48D3" w:rsidTr="00096397">
        <w:tc>
          <w:tcPr>
            <w:tcW w:w="1668" w:type="dxa"/>
          </w:tcPr>
          <w:p w:rsidR="00CE0A88" w:rsidRPr="001A48D3" w:rsidRDefault="00CE0A88" w:rsidP="00C4701A">
            <w:pPr>
              <w:spacing w:beforeLines="40" w:before="96" w:afterLines="40" w:after="96"/>
              <w:rPr>
                <w:sz w:val="20"/>
              </w:rPr>
            </w:pPr>
            <w:r w:rsidRPr="001A48D3">
              <w:rPr>
                <w:sz w:val="20"/>
              </w:rPr>
              <w:t>EPHC</w:t>
            </w:r>
          </w:p>
        </w:tc>
        <w:tc>
          <w:tcPr>
            <w:tcW w:w="6854" w:type="dxa"/>
          </w:tcPr>
          <w:p w:rsidR="00CE0A88" w:rsidRPr="001A48D3" w:rsidRDefault="00CE0A88" w:rsidP="00C4701A">
            <w:pPr>
              <w:spacing w:beforeLines="40" w:before="96" w:afterLines="40" w:after="96"/>
              <w:rPr>
                <w:sz w:val="20"/>
              </w:rPr>
            </w:pPr>
            <w:r w:rsidRPr="001A48D3">
              <w:rPr>
                <w:sz w:val="20"/>
              </w:rPr>
              <w:t>Environment Protection and Heritage Council</w:t>
            </w:r>
          </w:p>
        </w:tc>
      </w:tr>
      <w:tr w:rsidR="00CE0A88" w:rsidRPr="001A48D3" w:rsidTr="00096397">
        <w:tc>
          <w:tcPr>
            <w:tcW w:w="1668" w:type="dxa"/>
          </w:tcPr>
          <w:p w:rsidR="00CE0A88" w:rsidRPr="001A48D3" w:rsidRDefault="00CE0A88" w:rsidP="00C4701A">
            <w:pPr>
              <w:spacing w:beforeLines="40" w:before="96" w:afterLines="40" w:after="96"/>
              <w:rPr>
                <w:sz w:val="20"/>
              </w:rPr>
            </w:pPr>
            <w:r w:rsidRPr="001A48D3">
              <w:rPr>
                <w:sz w:val="20"/>
              </w:rPr>
              <w:t>FCAI</w:t>
            </w:r>
          </w:p>
        </w:tc>
        <w:tc>
          <w:tcPr>
            <w:tcW w:w="6854" w:type="dxa"/>
          </w:tcPr>
          <w:p w:rsidR="00CE0A88" w:rsidRPr="001A48D3" w:rsidRDefault="00CE0A88" w:rsidP="00C4701A">
            <w:pPr>
              <w:spacing w:beforeLines="40" w:before="96" w:afterLines="40" w:after="96"/>
              <w:rPr>
                <w:sz w:val="20"/>
              </w:rPr>
            </w:pPr>
            <w:r w:rsidRPr="001A48D3">
              <w:rPr>
                <w:sz w:val="20"/>
              </w:rPr>
              <w:t>Federal Chamber of Automotive Industries</w:t>
            </w:r>
          </w:p>
        </w:tc>
      </w:tr>
      <w:tr w:rsidR="00CE0A88" w:rsidRPr="001A48D3" w:rsidTr="00096397">
        <w:tc>
          <w:tcPr>
            <w:tcW w:w="1668" w:type="dxa"/>
          </w:tcPr>
          <w:p w:rsidR="00CE0A88" w:rsidRPr="001A48D3" w:rsidRDefault="00CE0A88" w:rsidP="00C4701A">
            <w:pPr>
              <w:spacing w:beforeLines="40" w:before="96" w:afterLines="40" w:after="96"/>
              <w:rPr>
                <w:sz w:val="20"/>
              </w:rPr>
            </w:pPr>
            <w:r w:rsidRPr="001A48D3">
              <w:rPr>
                <w:sz w:val="20"/>
              </w:rPr>
              <w:t>MTAA</w:t>
            </w:r>
          </w:p>
        </w:tc>
        <w:tc>
          <w:tcPr>
            <w:tcW w:w="6854" w:type="dxa"/>
          </w:tcPr>
          <w:p w:rsidR="00CE0A88" w:rsidRPr="001A48D3" w:rsidRDefault="00CE0A88" w:rsidP="00C4701A">
            <w:pPr>
              <w:spacing w:beforeLines="40" w:before="96" w:afterLines="40" w:after="96"/>
              <w:rPr>
                <w:sz w:val="20"/>
              </w:rPr>
            </w:pPr>
            <w:r w:rsidRPr="001A48D3">
              <w:rPr>
                <w:sz w:val="20"/>
              </w:rPr>
              <w:t>Motor Trades Association of Australia</w:t>
            </w:r>
          </w:p>
        </w:tc>
      </w:tr>
      <w:tr w:rsidR="00CE0A88" w:rsidRPr="001A48D3" w:rsidTr="00096397">
        <w:tc>
          <w:tcPr>
            <w:tcW w:w="1668" w:type="dxa"/>
          </w:tcPr>
          <w:p w:rsidR="00CE0A88" w:rsidRPr="001A48D3" w:rsidRDefault="00CE0A88" w:rsidP="00C4701A">
            <w:pPr>
              <w:spacing w:beforeLines="40" w:before="96" w:afterLines="40" w:after="96"/>
              <w:rPr>
                <w:sz w:val="20"/>
              </w:rPr>
            </w:pPr>
            <w:r w:rsidRPr="001A48D3">
              <w:rPr>
                <w:sz w:val="20"/>
              </w:rPr>
              <w:t>NEPC</w:t>
            </w:r>
          </w:p>
        </w:tc>
        <w:tc>
          <w:tcPr>
            <w:tcW w:w="6854" w:type="dxa"/>
          </w:tcPr>
          <w:p w:rsidR="00CE0A88" w:rsidRPr="001A48D3" w:rsidRDefault="00CE0A88" w:rsidP="00C4701A">
            <w:pPr>
              <w:spacing w:beforeLines="40" w:before="96" w:afterLines="40" w:after="96"/>
              <w:rPr>
                <w:sz w:val="20"/>
              </w:rPr>
            </w:pPr>
            <w:r w:rsidRPr="001A48D3">
              <w:rPr>
                <w:sz w:val="20"/>
              </w:rPr>
              <w:t>National Environment Protection Council</w:t>
            </w:r>
          </w:p>
        </w:tc>
      </w:tr>
      <w:tr w:rsidR="00C65107" w:rsidRPr="001A48D3" w:rsidTr="00096397">
        <w:tc>
          <w:tcPr>
            <w:tcW w:w="1668" w:type="dxa"/>
          </w:tcPr>
          <w:p w:rsidR="00C65107" w:rsidRPr="001A48D3" w:rsidRDefault="00C65107" w:rsidP="00C4701A">
            <w:pPr>
              <w:spacing w:beforeLines="40" w:before="96" w:afterLines="40" w:after="96"/>
              <w:rPr>
                <w:sz w:val="20"/>
              </w:rPr>
            </w:pPr>
            <w:r w:rsidRPr="001A48D3">
              <w:rPr>
                <w:sz w:val="20"/>
              </w:rPr>
              <w:t>UN ECE</w:t>
            </w:r>
          </w:p>
        </w:tc>
        <w:tc>
          <w:tcPr>
            <w:tcW w:w="6854" w:type="dxa"/>
          </w:tcPr>
          <w:p w:rsidR="00C65107" w:rsidRPr="001A48D3" w:rsidRDefault="00C65107" w:rsidP="00C4701A">
            <w:pPr>
              <w:spacing w:beforeLines="40" w:before="96" w:afterLines="40" w:after="96"/>
              <w:rPr>
                <w:sz w:val="20"/>
              </w:rPr>
            </w:pPr>
            <w:r w:rsidRPr="001A48D3">
              <w:rPr>
                <w:sz w:val="20"/>
              </w:rPr>
              <w:t>United Nations Economic Commission for Europe</w:t>
            </w:r>
          </w:p>
        </w:tc>
      </w:tr>
    </w:tbl>
    <w:p w:rsidR="006F7116" w:rsidRPr="001A48D3" w:rsidRDefault="00F15B09" w:rsidP="00C4701A">
      <w:pPr>
        <w:pStyle w:val="Heading1"/>
      </w:pPr>
      <w:r w:rsidRPr="001A48D3">
        <w:br w:type="page"/>
      </w:r>
      <w:bookmarkStart w:id="7" w:name="_Toc430182477"/>
      <w:r w:rsidR="006F7116" w:rsidRPr="001A48D3">
        <w:lastRenderedPageBreak/>
        <w:t>EXECUTIVE SUMMARY</w:t>
      </w:r>
      <w:bookmarkEnd w:id="7"/>
    </w:p>
    <w:p w:rsidR="006F7116" w:rsidRPr="001A48D3" w:rsidRDefault="006F7116" w:rsidP="00153F3E">
      <w:pPr>
        <w:pStyle w:val="Heading2"/>
      </w:pPr>
      <w:bookmarkStart w:id="8" w:name="_Toc430182478"/>
      <w:r w:rsidRPr="001A48D3">
        <w:t>Description of the Problem</w:t>
      </w:r>
      <w:bookmarkEnd w:id="8"/>
    </w:p>
    <w:p w:rsidR="006F7116" w:rsidRPr="001A48D3" w:rsidRDefault="006F7116" w:rsidP="00C4701A">
      <w:pPr>
        <w:spacing w:after="120"/>
        <w:rPr>
          <w:szCs w:val="24"/>
          <w:lang w:val="en-US"/>
        </w:rPr>
      </w:pPr>
      <w:r w:rsidRPr="001A48D3">
        <w:rPr>
          <w:szCs w:val="24"/>
          <w:lang w:val="en-US"/>
        </w:rPr>
        <w:t xml:space="preserve">Emissions from road vehicles are significant contributors to key air pollutants which impact on human health. </w:t>
      </w:r>
      <w:r w:rsidRPr="001A48D3">
        <w:t xml:space="preserve"> The pattern and scale of urban development in parts of Australia, and the associated increase in vehicle use, will place increasing pressure on the challenge to maintain improvements in urban air quality, particularly ozone and particulates.  Vehicle</w:t>
      </w:r>
      <w:r w:rsidRPr="001A48D3">
        <w:rPr>
          <w:szCs w:val="24"/>
          <w:lang w:val="en-US"/>
        </w:rPr>
        <w:t xml:space="preserve"> emissions standards, and associated improvements in fuel quality, have been shown in both Australia and internationally to be the most cost-effective measures to reduce urban air pollution from the road transport sector.  </w:t>
      </w:r>
    </w:p>
    <w:p w:rsidR="006F7116" w:rsidRPr="001A48D3" w:rsidRDefault="006F7116" w:rsidP="00153F3E">
      <w:pPr>
        <w:pStyle w:val="Heading2"/>
      </w:pPr>
      <w:bookmarkStart w:id="9" w:name="_Toc430182479"/>
      <w:r w:rsidRPr="001A48D3">
        <w:t>Objectives</w:t>
      </w:r>
      <w:bookmarkEnd w:id="9"/>
    </w:p>
    <w:p w:rsidR="006F7116" w:rsidRPr="001A48D3" w:rsidRDefault="006F7116" w:rsidP="00C4701A">
      <w:pPr>
        <w:spacing w:after="120"/>
        <w:rPr>
          <w:szCs w:val="24"/>
          <w:lang w:val="en-US"/>
        </w:rPr>
      </w:pPr>
      <w:r w:rsidRPr="001A48D3">
        <w:rPr>
          <w:szCs w:val="24"/>
          <w:lang w:val="en-US"/>
        </w:rPr>
        <w:t xml:space="preserve">In broad terms, the objective of </w:t>
      </w:r>
      <w:r w:rsidRPr="001A48D3">
        <w:t>Government action to reduce noxious vehicle emissions is to improve urban air quality and reduce the adverse impacts of urban air pollution on human health</w:t>
      </w:r>
      <w:r w:rsidRPr="001A48D3">
        <w:rPr>
          <w:szCs w:val="24"/>
          <w:lang w:val="en-US"/>
        </w:rPr>
        <w:t xml:space="preserve">.  </w:t>
      </w:r>
      <w:r w:rsidRPr="001A48D3">
        <w:t xml:space="preserve">When considering the introduction of more stringent vehicle emissions standards, the Government has a </w:t>
      </w:r>
      <w:r w:rsidRPr="001A48D3">
        <w:rPr>
          <w:szCs w:val="24"/>
          <w:lang w:val="en-US"/>
        </w:rPr>
        <w:t xml:space="preserve">policy of </w:t>
      </w:r>
      <w:proofErr w:type="spellStart"/>
      <w:r w:rsidRPr="001A48D3">
        <w:rPr>
          <w:szCs w:val="24"/>
          <w:lang w:val="en-US"/>
        </w:rPr>
        <w:t>harmonising</w:t>
      </w:r>
      <w:proofErr w:type="spellEnd"/>
      <w:r w:rsidRPr="001A48D3">
        <w:rPr>
          <w:szCs w:val="24"/>
          <w:lang w:val="en-US"/>
        </w:rPr>
        <w:t xml:space="preserve"> Australia’s vehicle standards wherever possible with the international standards established by the United Nations Economic Commission for Europe (UN ECE).</w:t>
      </w:r>
    </w:p>
    <w:p w:rsidR="006F7116" w:rsidRPr="001A48D3" w:rsidRDefault="006F7116" w:rsidP="00C4701A">
      <w:pPr>
        <w:spacing w:after="120"/>
        <w:rPr>
          <w:szCs w:val="24"/>
          <w:lang w:val="en-US"/>
        </w:rPr>
      </w:pPr>
      <w:r w:rsidRPr="001A48D3">
        <w:t xml:space="preserve">The specific objective of this RIS is to evaluate the costs and benefits of adopting the new “Euro 5” and “Euro 6” emissions standards for light vehicles, and their capacity to deliver significant emissions reductions.  </w:t>
      </w:r>
      <w:r w:rsidRPr="001A48D3">
        <w:rPr>
          <w:szCs w:val="24"/>
          <w:lang w:val="en-US"/>
        </w:rPr>
        <w:t>The RIS does not evaluate</w:t>
      </w:r>
      <w:r w:rsidRPr="001A48D3">
        <w:t xml:space="preserve"> voluntary standards, or other approaches based on industry self-regulation, as these are unlikely to be effective in delivering reductions achievable under a standard, as there is no clear market incentive for manufacturers to provide vehicles meeting emissions outcomes that do not have a high profile in the mind of new vehicle consumers.  </w:t>
      </w:r>
    </w:p>
    <w:p w:rsidR="006F7116" w:rsidRPr="001A48D3" w:rsidRDefault="006F7116" w:rsidP="00153F3E">
      <w:pPr>
        <w:pStyle w:val="Heading2"/>
      </w:pPr>
      <w:bookmarkStart w:id="10" w:name="_Toc430182480"/>
      <w:r w:rsidRPr="001A48D3">
        <w:t>Options</w:t>
      </w:r>
      <w:bookmarkEnd w:id="10"/>
    </w:p>
    <w:p w:rsidR="006F7116" w:rsidRPr="001A48D3" w:rsidRDefault="006F7116" w:rsidP="00C4701A">
      <w:pPr>
        <w:spacing w:after="120"/>
      </w:pPr>
      <w:r w:rsidRPr="001A48D3">
        <w:rPr>
          <w:lang w:val="en-US"/>
        </w:rPr>
        <w:t>This RIS evaluates a range of options with the key considerations being</w:t>
      </w:r>
      <w:r w:rsidRPr="001A48D3">
        <w:t>:</w:t>
      </w:r>
    </w:p>
    <w:p w:rsidR="006F7116" w:rsidRPr="001A48D3" w:rsidRDefault="006F7116" w:rsidP="00C4701A">
      <w:pPr>
        <w:numPr>
          <w:ilvl w:val="0"/>
          <w:numId w:val="1"/>
        </w:numPr>
        <w:spacing w:after="120"/>
      </w:pPr>
      <w:r w:rsidRPr="001A48D3">
        <w:t>the emissions and air quality benefits expected from the emissions and fuel standards already in place;</w:t>
      </w:r>
    </w:p>
    <w:p w:rsidR="006F7116" w:rsidRPr="001A48D3" w:rsidRDefault="006F7116" w:rsidP="00C4701A">
      <w:pPr>
        <w:numPr>
          <w:ilvl w:val="0"/>
          <w:numId w:val="1"/>
        </w:numPr>
        <w:spacing w:after="120"/>
      </w:pPr>
      <w:r w:rsidRPr="001A48D3">
        <w:t>the additional benefits that would derive from the adoption of more stringent standards, specifically the Euro 5 and Euro 6 emissions standards for light vehicles;</w:t>
      </w:r>
    </w:p>
    <w:p w:rsidR="006F7116" w:rsidRPr="001A48D3" w:rsidRDefault="006F7116" w:rsidP="00C4701A">
      <w:pPr>
        <w:numPr>
          <w:ilvl w:val="0"/>
          <w:numId w:val="1"/>
        </w:numPr>
        <w:spacing w:after="120"/>
      </w:pPr>
      <w:r w:rsidRPr="001A48D3">
        <w:t>the costs associated with the adoption of the Euro 5 and Euro 6 emissions standards; and</w:t>
      </w:r>
    </w:p>
    <w:p w:rsidR="006F7116" w:rsidRPr="001A48D3" w:rsidRDefault="006F7116" w:rsidP="00C4701A">
      <w:pPr>
        <w:numPr>
          <w:ilvl w:val="0"/>
          <w:numId w:val="1"/>
        </w:numPr>
        <w:spacing w:after="120"/>
      </w:pPr>
      <w:proofErr w:type="gramStart"/>
      <w:r w:rsidRPr="001A48D3">
        <w:t>the</w:t>
      </w:r>
      <w:proofErr w:type="gramEnd"/>
      <w:r w:rsidRPr="001A48D3">
        <w:t xml:space="preserve"> most appropriate timing for the introduction of any new standards.</w:t>
      </w:r>
    </w:p>
    <w:p w:rsidR="00462CB4" w:rsidRPr="001A48D3" w:rsidRDefault="00462CB4" w:rsidP="00C4701A">
      <w:pPr>
        <w:spacing w:after="120"/>
      </w:pPr>
      <w:r w:rsidRPr="001A48D3">
        <w:t xml:space="preserve">Given the slow turnover of new vehicles in the fleet, and the long term benefits of vehicle standards, an analysis period ending in </w:t>
      </w:r>
      <w:r w:rsidR="00DD73BA" w:rsidRPr="001A48D3">
        <w:t xml:space="preserve">2029 </w:t>
      </w:r>
      <w:r w:rsidRPr="001A48D3">
        <w:t xml:space="preserve">was chosen for this RIS process.  </w:t>
      </w:r>
    </w:p>
    <w:p w:rsidR="006F7116" w:rsidRPr="001A48D3" w:rsidRDefault="006F7116" w:rsidP="00C4701A">
      <w:pPr>
        <w:spacing w:after="120"/>
      </w:pPr>
      <w:r w:rsidRPr="001A48D3">
        <w:t>In broad terms the options considered in this RIS are as follows:</w:t>
      </w:r>
    </w:p>
    <w:p w:rsidR="006F7116" w:rsidRPr="001A48D3" w:rsidRDefault="006F7116" w:rsidP="00C4701A">
      <w:pPr>
        <w:spacing w:after="120"/>
      </w:pPr>
      <w:r w:rsidRPr="001A48D3">
        <w:rPr>
          <w:i/>
        </w:rPr>
        <w:t>Option 1</w:t>
      </w:r>
      <w:r w:rsidRPr="001A48D3">
        <w:tab/>
        <w:t>No change to vehicle or fuel standards</w:t>
      </w:r>
    </w:p>
    <w:p w:rsidR="006F7116" w:rsidRPr="001A48D3" w:rsidRDefault="006F7116" w:rsidP="00C4701A">
      <w:pPr>
        <w:spacing w:after="120"/>
      </w:pPr>
      <w:r w:rsidRPr="001A48D3">
        <w:rPr>
          <w:i/>
        </w:rPr>
        <w:t>Option 2</w:t>
      </w:r>
      <w:r w:rsidRPr="001A48D3">
        <w:tab/>
        <w:t>Introduction of Euro 5/6 on earliest practical timeframes</w:t>
      </w:r>
    </w:p>
    <w:p w:rsidR="006F7116" w:rsidRPr="001A48D3" w:rsidRDefault="006F7116" w:rsidP="00C4701A">
      <w:pPr>
        <w:spacing w:after="120"/>
      </w:pPr>
      <w:r w:rsidRPr="001A48D3">
        <w:rPr>
          <w:i/>
        </w:rPr>
        <w:lastRenderedPageBreak/>
        <w:t>Option 3</w:t>
      </w:r>
      <w:r w:rsidRPr="001A48D3">
        <w:tab/>
        <w:t>As for Option 2, except delayed timeframe for petrol and LPG vehicles</w:t>
      </w:r>
    </w:p>
    <w:p w:rsidR="006F7116" w:rsidRPr="001A48D3" w:rsidRDefault="006F7116" w:rsidP="00C4701A">
      <w:pPr>
        <w:spacing w:after="120"/>
      </w:pPr>
      <w:r w:rsidRPr="001A48D3">
        <w:rPr>
          <w:i/>
        </w:rPr>
        <w:t>Option 4</w:t>
      </w:r>
      <w:r w:rsidRPr="001A48D3">
        <w:rPr>
          <w:i/>
        </w:rPr>
        <w:tab/>
      </w:r>
      <w:r w:rsidRPr="001A48D3">
        <w:t>As for Option 2, except apply to diesel vehicles only (no change to petrol standards)</w:t>
      </w:r>
    </w:p>
    <w:p w:rsidR="006F7116" w:rsidRPr="001A48D3" w:rsidRDefault="006F7116" w:rsidP="00C4701A">
      <w:pPr>
        <w:spacing w:after="120"/>
      </w:pPr>
      <w:r w:rsidRPr="001A48D3">
        <w:rPr>
          <w:i/>
        </w:rPr>
        <w:t>Option 5</w:t>
      </w:r>
      <w:r w:rsidRPr="001A48D3">
        <w:rPr>
          <w:i/>
        </w:rPr>
        <w:tab/>
      </w:r>
      <w:r w:rsidRPr="001A48D3">
        <w:t>Introduction of Euro 5 only on earliest practical timeframes</w:t>
      </w:r>
    </w:p>
    <w:p w:rsidR="006F7116" w:rsidRPr="001A48D3" w:rsidRDefault="006F7116" w:rsidP="00C4701A">
      <w:pPr>
        <w:spacing w:after="120"/>
      </w:pPr>
      <w:r w:rsidRPr="001A48D3">
        <w:rPr>
          <w:i/>
        </w:rPr>
        <w:t>Option 6</w:t>
      </w:r>
      <w:r w:rsidRPr="001A48D3">
        <w:rPr>
          <w:i/>
        </w:rPr>
        <w:tab/>
      </w:r>
      <w:r w:rsidRPr="001A48D3">
        <w:t>Introduction of Euro 6 only on earliest practical timeframes</w:t>
      </w:r>
    </w:p>
    <w:p w:rsidR="006F7116" w:rsidRPr="001A48D3" w:rsidRDefault="006F7116" w:rsidP="00C4701A">
      <w:pPr>
        <w:spacing w:after="120"/>
        <w:rPr>
          <w:szCs w:val="24"/>
          <w:lang w:val="en-US"/>
        </w:rPr>
      </w:pPr>
      <w:r w:rsidRPr="001A48D3">
        <w:rPr>
          <w:szCs w:val="24"/>
          <w:lang w:val="en-US"/>
        </w:rPr>
        <w:t>Following initial evaluation, Options 2, 3 and 4 were subject to detailed benefit cost analysis (BCA) in Section 4.  Various sensitivity analyses were also undertaken in Section 4.5, using Option 2 as the base case.</w:t>
      </w:r>
    </w:p>
    <w:p w:rsidR="006F7116" w:rsidRPr="001A48D3" w:rsidRDefault="006F7116" w:rsidP="00153F3E">
      <w:pPr>
        <w:pStyle w:val="Heading2"/>
      </w:pPr>
      <w:bookmarkStart w:id="11" w:name="_Toc430182481"/>
      <w:r w:rsidRPr="001A48D3">
        <w:t>BCA Outcomes</w:t>
      </w:r>
      <w:bookmarkEnd w:id="11"/>
    </w:p>
    <w:p w:rsidR="006F7116" w:rsidRPr="001A48D3" w:rsidRDefault="006F7116" w:rsidP="00C4701A">
      <w:pPr>
        <w:spacing w:after="120"/>
        <w:rPr>
          <w:lang w:val="en-US"/>
        </w:rPr>
      </w:pPr>
      <w:r w:rsidRPr="001A48D3">
        <w:rPr>
          <w:lang w:val="en-US"/>
        </w:rPr>
        <w:t>Options 2, 3 and 4 all deliver net benefits over the evaluation period</w:t>
      </w:r>
      <w:r w:rsidR="00462CB4" w:rsidRPr="001A48D3">
        <w:rPr>
          <w:lang w:val="en-US"/>
        </w:rPr>
        <w:t xml:space="preserve"> </w:t>
      </w:r>
      <w:r w:rsidR="00B75DB7" w:rsidRPr="001A48D3">
        <w:rPr>
          <w:lang w:val="en-US"/>
        </w:rPr>
        <w:t>ending in</w:t>
      </w:r>
      <w:r w:rsidR="00147040" w:rsidRPr="001A48D3">
        <w:rPr>
          <w:lang w:val="en-US"/>
        </w:rPr>
        <w:t xml:space="preserve"> </w:t>
      </w:r>
      <w:r w:rsidR="00DD73BA" w:rsidRPr="001A48D3">
        <w:rPr>
          <w:lang w:val="en-US"/>
        </w:rPr>
        <w:t>2029</w:t>
      </w:r>
      <w:r w:rsidRPr="001A48D3">
        <w:rPr>
          <w:lang w:val="en-US"/>
        </w:rPr>
        <w:t>.  As detailed in Section 4.4, the net benefit estimates from the BCA are as follows:</w:t>
      </w:r>
    </w:p>
    <w:p w:rsidR="006F7116" w:rsidRPr="001A48D3" w:rsidRDefault="006F7116" w:rsidP="00C4701A">
      <w:pPr>
        <w:spacing w:after="120"/>
        <w:rPr>
          <w:lang w:val="en-US"/>
        </w:rPr>
      </w:pPr>
      <w:r w:rsidRPr="001A48D3">
        <w:rPr>
          <w:lang w:val="en-US"/>
        </w:rPr>
        <w:t>Option 2:</w:t>
      </w:r>
      <w:r w:rsidRPr="001A48D3">
        <w:rPr>
          <w:lang w:val="en-US"/>
        </w:rPr>
        <w:tab/>
        <w:t>$</w:t>
      </w:r>
      <w:r w:rsidR="00DD73BA" w:rsidRPr="001A48D3">
        <w:rPr>
          <w:lang w:val="en-US"/>
        </w:rPr>
        <w:t>579</w:t>
      </w:r>
      <w:r w:rsidRPr="001A48D3">
        <w:rPr>
          <w:lang w:val="en-US"/>
        </w:rPr>
        <w:t xml:space="preserve"> million</w:t>
      </w:r>
    </w:p>
    <w:p w:rsidR="006F7116" w:rsidRPr="001A48D3" w:rsidRDefault="006F7116" w:rsidP="00C4701A">
      <w:pPr>
        <w:spacing w:after="120"/>
        <w:rPr>
          <w:lang w:val="en-US"/>
        </w:rPr>
      </w:pPr>
      <w:r w:rsidRPr="001A48D3">
        <w:rPr>
          <w:lang w:val="en-US"/>
        </w:rPr>
        <w:t>Option 3:</w:t>
      </w:r>
      <w:r w:rsidRPr="001A48D3">
        <w:rPr>
          <w:lang w:val="en-US"/>
        </w:rPr>
        <w:tab/>
        <w:t>$</w:t>
      </w:r>
      <w:r w:rsidR="00DD73BA" w:rsidRPr="001A48D3">
        <w:rPr>
          <w:lang w:val="en-US"/>
        </w:rPr>
        <w:t>604</w:t>
      </w:r>
      <w:r w:rsidRPr="001A48D3">
        <w:rPr>
          <w:lang w:val="en-US"/>
        </w:rPr>
        <w:t xml:space="preserve"> million</w:t>
      </w:r>
    </w:p>
    <w:p w:rsidR="006F7116" w:rsidRPr="001A48D3" w:rsidRDefault="006F7116" w:rsidP="00C4701A">
      <w:pPr>
        <w:spacing w:after="120"/>
        <w:rPr>
          <w:lang w:val="en-US"/>
        </w:rPr>
      </w:pPr>
      <w:proofErr w:type="gramStart"/>
      <w:r w:rsidRPr="001A48D3">
        <w:rPr>
          <w:lang w:val="en-US"/>
        </w:rPr>
        <w:t>Option 4:</w:t>
      </w:r>
      <w:r w:rsidRPr="001A48D3">
        <w:rPr>
          <w:lang w:val="en-US"/>
        </w:rPr>
        <w:tab/>
        <w:t>$</w:t>
      </w:r>
      <w:r w:rsidR="00DD73BA" w:rsidRPr="001A48D3">
        <w:rPr>
          <w:lang w:val="en-US"/>
        </w:rPr>
        <w:t>807</w:t>
      </w:r>
      <w:r w:rsidRPr="001A48D3">
        <w:rPr>
          <w:lang w:val="en-US"/>
        </w:rPr>
        <w:t xml:space="preserve"> million.</w:t>
      </w:r>
      <w:proofErr w:type="gramEnd"/>
    </w:p>
    <w:p w:rsidR="006F7116" w:rsidRPr="001A48D3" w:rsidRDefault="006F7116" w:rsidP="00C4701A">
      <w:pPr>
        <w:spacing w:after="120"/>
        <w:rPr>
          <w:lang w:val="en-US"/>
        </w:rPr>
      </w:pPr>
      <w:r w:rsidRPr="001A48D3">
        <w:rPr>
          <w:lang w:val="en-US"/>
        </w:rPr>
        <w:t>The RIS also noted that the Euro 5/6 standards delivered a range of benefits, including longer durability standards and improved on board monitoring of emission control systems, which were not quantified in the BCA.</w:t>
      </w:r>
    </w:p>
    <w:p w:rsidR="006F7116" w:rsidRPr="001A48D3" w:rsidRDefault="006F7116" w:rsidP="00153F3E">
      <w:pPr>
        <w:pStyle w:val="Heading2"/>
      </w:pPr>
      <w:bookmarkStart w:id="12" w:name="_Toc430182482"/>
      <w:r w:rsidRPr="001A48D3">
        <w:t>Public Comment</w:t>
      </w:r>
      <w:bookmarkEnd w:id="12"/>
    </w:p>
    <w:p w:rsidR="006F7116" w:rsidRPr="001A48D3" w:rsidRDefault="006F7116" w:rsidP="00C4701A">
      <w:pPr>
        <w:spacing w:after="120"/>
      </w:pPr>
      <w:r w:rsidRPr="001A48D3">
        <w:t xml:space="preserve">Some 27 submissions were received on the draft RIS, from governments, industry, motoring groups and others.  </w:t>
      </w:r>
    </w:p>
    <w:p w:rsidR="006F7116" w:rsidRPr="001A48D3" w:rsidRDefault="006F7116" w:rsidP="00C4701A">
      <w:pPr>
        <w:spacing w:after="120"/>
      </w:pPr>
      <w:r w:rsidRPr="001A48D3">
        <w:t xml:space="preserve">The responses to the recommendations in the draft RIS were mixed.  All the state governments that responded supported the recommendations in the RIS.  The NRMA, LPG Australia, AFMA, some companies and others also supported the recommendations in the RIS, with some suggesting the issue of fuel quality needs further consideration.  The FCAI and four vehicle manufacturers who made confidential individual submissions expressed a range of concerns, principally regarding lead times for implementing the new standards, vehicle cost estimates and petrol </w:t>
      </w:r>
      <w:proofErr w:type="spellStart"/>
      <w:r w:rsidRPr="001A48D3">
        <w:t>sulfur</w:t>
      </w:r>
      <w:proofErr w:type="spellEnd"/>
      <w:r w:rsidRPr="001A48D3">
        <w:t xml:space="preserve"> levels.  The AIP argued that no changes to current petrol standards were warranted to support compliance with Euro 5/6.  A brief response to the major issues is set out below (see Section 5 for more detail).</w:t>
      </w:r>
    </w:p>
    <w:p w:rsidR="006F7116" w:rsidRPr="001A48D3" w:rsidRDefault="006F7116" w:rsidP="00C4701A">
      <w:pPr>
        <w:pStyle w:val="Heading4"/>
        <w:spacing w:after="120"/>
      </w:pPr>
      <w:bookmarkStart w:id="13" w:name="_Toc430182483"/>
      <w:r w:rsidRPr="001A48D3">
        <w:t>Timeframe</w:t>
      </w:r>
      <w:bookmarkEnd w:id="13"/>
      <w:r w:rsidRPr="001A48D3">
        <w:t xml:space="preserve"> </w:t>
      </w:r>
    </w:p>
    <w:p w:rsidR="006F7116" w:rsidRPr="001A48D3" w:rsidRDefault="006F7116" w:rsidP="00C4701A">
      <w:pPr>
        <w:spacing w:after="120"/>
      </w:pPr>
      <w:r w:rsidRPr="001A48D3">
        <w:t xml:space="preserve">All timelines proposed in the RIS are at least one year later than the UN ECE timeline and manufacturers have been aware of the Government’s intention to consider the case for aligning with Euro 5/6 standards since at least the middle of 2009.  </w:t>
      </w:r>
    </w:p>
    <w:p w:rsidR="006F7116" w:rsidRPr="001A48D3" w:rsidRDefault="006F7116" w:rsidP="00C4701A">
      <w:pPr>
        <w:spacing w:after="120"/>
      </w:pPr>
      <w:r w:rsidRPr="001A48D3">
        <w:t>In discussions between DIT and FCAI following the public consultation period, the FCAI has proposed a longer alternative timeline which it considers is more appropriate than that proposed in the recommended option in the draft RIS (Option 3).  These alternative timelines have been evaluated as sensitivity analyses and the impacts are reported in Section 4.5 of the RIS.</w:t>
      </w:r>
    </w:p>
    <w:p w:rsidR="006F7116" w:rsidRPr="001A48D3" w:rsidRDefault="006F7116" w:rsidP="00C4701A">
      <w:pPr>
        <w:pStyle w:val="Heading4"/>
        <w:spacing w:after="120"/>
      </w:pPr>
      <w:bookmarkStart w:id="14" w:name="_Toc430182484"/>
      <w:r w:rsidRPr="001A48D3">
        <w:lastRenderedPageBreak/>
        <w:t>Vehicle cost estimates</w:t>
      </w:r>
      <w:bookmarkEnd w:id="14"/>
      <w:r w:rsidRPr="001A48D3">
        <w:t xml:space="preserve"> </w:t>
      </w:r>
    </w:p>
    <w:p w:rsidR="006F7116" w:rsidRPr="001A48D3" w:rsidRDefault="006F7116" w:rsidP="00C4701A">
      <w:pPr>
        <w:spacing w:after="120"/>
      </w:pPr>
      <w:r w:rsidRPr="001A48D3">
        <w:t xml:space="preserve">The draft RIS utilises the only published data that is directly related to Euro 5/6 compliance in the BCA.  Section 4.2 of the RIS acknowledges the potential limitations of such data and Section 4.5 also includes a sensitivity analysis on costs over time in the </w:t>
      </w:r>
      <w:r w:rsidR="00FD7492" w:rsidRPr="001A48D3">
        <w:t>BCA</w:t>
      </w:r>
      <w:r w:rsidRPr="001A48D3">
        <w:t>.  The RIS also specifically sought input from manufacturers on the cost estimates.  The FCAI has indicated that it was not in a position to provide cost estimates.</w:t>
      </w:r>
    </w:p>
    <w:p w:rsidR="006F7116" w:rsidRPr="001A48D3" w:rsidRDefault="006F7116" w:rsidP="00C4701A">
      <w:pPr>
        <w:pStyle w:val="Heading4"/>
        <w:spacing w:after="120"/>
      </w:pPr>
      <w:bookmarkStart w:id="15" w:name="_Toc430182485"/>
      <w:r w:rsidRPr="001A48D3">
        <w:t>Fuel (petrol) quality</w:t>
      </w:r>
      <w:bookmarkEnd w:id="15"/>
      <w:r w:rsidRPr="001A48D3">
        <w:t xml:space="preserve"> </w:t>
      </w:r>
    </w:p>
    <w:p w:rsidR="006F7116" w:rsidRPr="001A48D3" w:rsidRDefault="006F7116" w:rsidP="00C4701A">
      <w:pPr>
        <w:spacing w:after="120"/>
      </w:pPr>
      <w:r w:rsidRPr="001A48D3">
        <w:t xml:space="preserve">The 150ppm </w:t>
      </w:r>
      <w:proofErr w:type="spellStart"/>
      <w:r w:rsidRPr="001A48D3">
        <w:t>sulfur</w:t>
      </w:r>
      <w:proofErr w:type="spellEnd"/>
      <w:r w:rsidRPr="001A48D3">
        <w:t xml:space="preserve"> limit currently applying to regular unleaded petrol (91 RON) is higher than the limits now applying in most advanced markets, and the RIS sought input from stakeholders on whether this presents a barrier to compliance with Euro 5/6 standards.  </w:t>
      </w:r>
    </w:p>
    <w:p w:rsidR="006F7116" w:rsidRPr="001A48D3" w:rsidRDefault="006F7116" w:rsidP="00C4701A">
      <w:pPr>
        <w:spacing w:after="120"/>
      </w:pPr>
      <w:r w:rsidRPr="001A48D3">
        <w:t xml:space="preserve">The FCAI and all vehicle industry submissions argued that the 150ppm level was too high, while the oil industry, represented by the AIP, argued that there is no evidence that even 150ppm </w:t>
      </w:r>
      <w:proofErr w:type="spellStart"/>
      <w:r w:rsidRPr="001A48D3">
        <w:t>sulfur</w:t>
      </w:r>
      <w:proofErr w:type="spellEnd"/>
      <w:r w:rsidRPr="001A48D3">
        <w:t xml:space="preserve"> is a problem.  The </w:t>
      </w:r>
      <w:r w:rsidR="00462CB4" w:rsidRPr="001A48D3">
        <w:t xml:space="preserve">RIS did not identify </w:t>
      </w:r>
      <w:r w:rsidRPr="001A48D3">
        <w:t xml:space="preserve">any evidence that the 150ppm </w:t>
      </w:r>
      <w:proofErr w:type="spellStart"/>
      <w:r w:rsidRPr="001A48D3">
        <w:t>sulfur</w:t>
      </w:r>
      <w:proofErr w:type="spellEnd"/>
      <w:r w:rsidRPr="001A48D3">
        <w:t xml:space="preserve"> level in ULP is a </w:t>
      </w:r>
      <w:r w:rsidRPr="001A48D3">
        <w:rPr>
          <w:u w:val="single"/>
        </w:rPr>
        <w:t>barrier</w:t>
      </w:r>
      <w:r w:rsidRPr="001A48D3">
        <w:t xml:space="preserve"> to supplying Euro 5 compliant petrol vehicles to the market, and the public submissions provided no evidence to the contrary.  There is less certainty over the impact of 150ppm </w:t>
      </w:r>
      <w:proofErr w:type="spellStart"/>
      <w:r w:rsidRPr="001A48D3">
        <w:t>sulfur</w:t>
      </w:r>
      <w:proofErr w:type="spellEnd"/>
      <w:r w:rsidRPr="001A48D3">
        <w:t xml:space="preserve"> on the durability and longevity of emission control systems in petrol vehicles (such as catalysts).  </w:t>
      </w:r>
    </w:p>
    <w:p w:rsidR="006F7116" w:rsidRPr="001A48D3" w:rsidRDefault="006F7116" w:rsidP="00C4701A">
      <w:pPr>
        <w:spacing w:after="120"/>
      </w:pPr>
      <w:r w:rsidRPr="001A48D3">
        <w:t xml:space="preserve">A decision on fuel standards is outside the scope of this vehicle emissions RIS process and such matters will be referred to the relevant agency responsible for fuel quality standards.  </w:t>
      </w:r>
    </w:p>
    <w:p w:rsidR="006F7116" w:rsidRPr="001A48D3" w:rsidRDefault="006F7116" w:rsidP="00153F3E">
      <w:pPr>
        <w:pStyle w:val="Heading2"/>
      </w:pPr>
      <w:bookmarkStart w:id="16" w:name="_Toc430182486"/>
      <w:r w:rsidRPr="001A48D3">
        <w:t>Conclusions &amp; Recommendations</w:t>
      </w:r>
      <w:bookmarkEnd w:id="16"/>
    </w:p>
    <w:p w:rsidR="00357DB4" w:rsidRPr="001A48D3" w:rsidRDefault="009E66EC" w:rsidP="00C4701A">
      <w:pPr>
        <w:spacing w:after="120"/>
      </w:pPr>
      <w:r w:rsidRPr="001A48D3">
        <w:t xml:space="preserve">The draft RIS considered six options, </w:t>
      </w:r>
      <w:r w:rsidR="00FD7492" w:rsidRPr="001A48D3">
        <w:t>comprising</w:t>
      </w:r>
      <w:r w:rsidRPr="001A48D3">
        <w:t xml:space="preserve"> the status quo option, four options introducing Euro 5/6 standards on a range of timelines, and one option (Option 4) limited to diesel </w:t>
      </w:r>
      <w:proofErr w:type="spellStart"/>
      <w:r w:rsidRPr="001A48D3">
        <w:t>engined</w:t>
      </w:r>
      <w:proofErr w:type="spellEnd"/>
      <w:r w:rsidRPr="001A48D3">
        <w:t xml:space="preserve"> vehicles.  </w:t>
      </w:r>
      <w:r w:rsidR="00357DB4" w:rsidRPr="001A48D3">
        <w:t xml:space="preserve">The benefit-cost analysis (BCA) undertaken in the preparation of this RIS has demonstrated a net benefit in adopting the Euro 5/6 emissions standards for the new light vehicle fleet under all likely scenarios, although the magnitude of the benefit is heavily influenced by some key assumptions including avoided health costs, the value of a statistical life, the length of the analysis period, the start date for the standards and the discount rate.  </w:t>
      </w:r>
    </w:p>
    <w:p w:rsidR="00357DB4" w:rsidRPr="001A48D3" w:rsidRDefault="00357DB4" w:rsidP="00C4701A">
      <w:pPr>
        <w:spacing w:after="120"/>
      </w:pPr>
      <w:r w:rsidRPr="001A48D3">
        <w:t xml:space="preserve">The net benefit under base case assumptions for the </w:t>
      </w:r>
      <w:r w:rsidRPr="001A48D3">
        <w:rPr>
          <w:u w:val="single"/>
        </w:rPr>
        <w:t>whole</w:t>
      </w:r>
      <w:r w:rsidRPr="001A48D3">
        <w:t xml:space="preserve"> light vehicle fleet ranges from $579 million (Option 2) to $604 million (Option 3), depending on the start date for the standards.  The BCA also identifies that the overall net benefit in the base case is due to the PM emissions reductions from diesel vehicles meeting the new standards.  Under base case conditions, the BCA concludes that applying the Euro 5/6 standards to diesel vehicles only (Option 4) has the highest net benefit at $807</w:t>
      </w:r>
      <w:r w:rsidR="00FD7492" w:rsidRPr="001A48D3">
        <w:t xml:space="preserve"> million</w:t>
      </w:r>
      <w:r w:rsidRPr="001A48D3">
        <w:t xml:space="preserve">.  </w:t>
      </w:r>
      <w:r w:rsidR="00053E66" w:rsidRPr="001A48D3">
        <w:t>Sensitivity analyses also indicated a net benefit under all reasonable scenarios, but as noted above, changes in key assumptions led to large movements, both positive and negative, in the net benefit estimates</w:t>
      </w:r>
      <w:r w:rsidR="00FD7492" w:rsidRPr="001A48D3">
        <w:t>.</w:t>
      </w:r>
    </w:p>
    <w:p w:rsidR="0012023E" w:rsidRPr="001A48D3" w:rsidRDefault="0012023E" w:rsidP="00C4701A">
      <w:pPr>
        <w:spacing w:after="120"/>
      </w:pPr>
      <w:r w:rsidRPr="001A48D3">
        <w:t xml:space="preserve">As Option 4 delivers the largest net benefit it would normally be the recommended option.  However this RIS recommends the adoption of an option which applies the new standards to </w:t>
      </w:r>
      <w:r w:rsidR="00053E66" w:rsidRPr="001A48D3">
        <w:t>all vehicle fuel types</w:t>
      </w:r>
      <w:r w:rsidR="00FD7492" w:rsidRPr="001A48D3">
        <w:t xml:space="preserve"> (diesel, petrol, LPG and NG)</w:t>
      </w:r>
      <w:r w:rsidRPr="001A48D3">
        <w:t xml:space="preserve">.  Including petrol </w:t>
      </w:r>
      <w:r w:rsidRPr="001A48D3">
        <w:lastRenderedPageBreak/>
        <w:t xml:space="preserve">and </w:t>
      </w:r>
      <w:r w:rsidR="00FD7492" w:rsidRPr="001A48D3">
        <w:t>gas fuelled</w:t>
      </w:r>
      <w:r w:rsidRPr="001A48D3">
        <w:t xml:space="preserve"> vehicles would ensure the delivery of the additional benefits flowing from adoption of Euro 5/6 standards </w:t>
      </w:r>
      <w:r w:rsidR="00053E66" w:rsidRPr="001A48D3">
        <w:t xml:space="preserve">for these vehicles </w:t>
      </w:r>
      <w:r w:rsidRPr="001A48D3">
        <w:t xml:space="preserve">which were </w:t>
      </w:r>
      <w:r w:rsidRPr="001A48D3">
        <w:rPr>
          <w:u w:val="single"/>
        </w:rPr>
        <w:t>not</w:t>
      </w:r>
      <w:r w:rsidRPr="001A48D3">
        <w:t xml:space="preserve"> quantified in the BCA.  These include:</w:t>
      </w:r>
    </w:p>
    <w:p w:rsidR="0012023E" w:rsidRPr="001A48D3" w:rsidRDefault="0012023E" w:rsidP="00C4701A">
      <w:pPr>
        <w:numPr>
          <w:ilvl w:val="0"/>
          <w:numId w:val="10"/>
        </w:numPr>
        <w:spacing w:after="120"/>
      </w:pPr>
      <w:r w:rsidRPr="001A48D3">
        <w:t>increased durability of emissions control systems;</w:t>
      </w:r>
    </w:p>
    <w:p w:rsidR="0012023E" w:rsidRPr="001A48D3" w:rsidRDefault="0012023E" w:rsidP="00C4701A">
      <w:pPr>
        <w:numPr>
          <w:ilvl w:val="0"/>
          <w:numId w:val="10"/>
        </w:numPr>
        <w:spacing w:after="120"/>
      </w:pPr>
      <w:r w:rsidRPr="001A48D3">
        <w:t>enhanced on board diagnostic</w:t>
      </w:r>
      <w:r w:rsidR="00FD7492" w:rsidRPr="001A48D3">
        <w:t>s to manage the emissions systems</w:t>
      </w:r>
      <w:r w:rsidRPr="001A48D3">
        <w:t>;</w:t>
      </w:r>
    </w:p>
    <w:p w:rsidR="0012023E" w:rsidRPr="001A48D3" w:rsidRDefault="0012023E" w:rsidP="00C4701A">
      <w:pPr>
        <w:numPr>
          <w:ilvl w:val="0"/>
          <w:numId w:val="10"/>
        </w:numPr>
        <w:spacing w:after="120"/>
      </w:pPr>
      <w:r w:rsidRPr="001A48D3">
        <w:t>removal of current concessional provisions</w:t>
      </w:r>
      <w:r w:rsidR="00FD7492" w:rsidRPr="001A48D3">
        <w:t xml:space="preserve"> for heavy cars</w:t>
      </w:r>
      <w:r w:rsidRPr="001A48D3">
        <w:t xml:space="preserve">; and </w:t>
      </w:r>
    </w:p>
    <w:p w:rsidR="0012023E" w:rsidRPr="001A48D3" w:rsidRDefault="0012023E" w:rsidP="00C4701A">
      <w:pPr>
        <w:numPr>
          <w:ilvl w:val="0"/>
          <w:numId w:val="10"/>
        </w:numPr>
        <w:spacing w:after="120"/>
      </w:pPr>
      <w:proofErr w:type="gramStart"/>
      <w:r w:rsidRPr="001A48D3">
        <w:t>controls</w:t>
      </w:r>
      <w:proofErr w:type="gramEnd"/>
      <w:r w:rsidRPr="001A48D3">
        <w:t xml:space="preserve"> on PM emissions from direct injection petrol engines.</w:t>
      </w:r>
    </w:p>
    <w:p w:rsidR="0012023E" w:rsidRPr="001A48D3" w:rsidRDefault="0012023E" w:rsidP="00C4701A">
      <w:pPr>
        <w:spacing w:after="120"/>
      </w:pPr>
      <w:r w:rsidRPr="001A48D3">
        <w:t xml:space="preserve">While data is not available to enable the BCA to quantify the additional benefits from these elements, the RIS concludes they would improve the net benefit over the longer term.  </w:t>
      </w:r>
    </w:p>
    <w:p w:rsidR="0012023E" w:rsidRPr="001A48D3" w:rsidRDefault="0012023E" w:rsidP="00C4701A">
      <w:pPr>
        <w:spacing w:after="120"/>
      </w:pPr>
      <w:r w:rsidRPr="001A48D3">
        <w:t xml:space="preserve">In the public comment phase the vehicle industry raised further concerns about the timing </w:t>
      </w:r>
      <w:r w:rsidR="00FD7492" w:rsidRPr="001A48D3">
        <w:t>of new standards.  A</w:t>
      </w:r>
      <w:r w:rsidRPr="001A48D3">
        <w:t>dditio</w:t>
      </w:r>
      <w:r w:rsidR="00053E66" w:rsidRPr="001A48D3">
        <w:t xml:space="preserve">nal </w:t>
      </w:r>
      <w:r w:rsidRPr="001A48D3">
        <w:t xml:space="preserve">sensitivity analyses indicate that </w:t>
      </w:r>
      <w:r w:rsidR="00053E66" w:rsidRPr="001A48D3">
        <w:t xml:space="preserve">accommodating those concerns by </w:t>
      </w:r>
      <w:r w:rsidRPr="001A48D3">
        <w:t>further delay</w:t>
      </w:r>
      <w:r w:rsidR="00053E66" w:rsidRPr="001A48D3">
        <w:t>ing the start of the standards by 1-2 years</w:t>
      </w:r>
      <w:r w:rsidRPr="001A48D3">
        <w:t xml:space="preserve"> </w:t>
      </w:r>
      <w:r w:rsidR="00053E66" w:rsidRPr="001A48D3">
        <w:t>would</w:t>
      </w:r>
      <w:r w:rsidRPr="001A48D3">
        <w:t xml:space="preserve"> reduce the net benefit by around 36% over the analysis period.  Despite th</w:t>
      </w:r>
      <w:r w:rsidR="00053E66" w:rsidRPr="001A48D3">
        <w:t>is</w:t>
      </w:r>
      <w:r w:rsidRPr="001A48D3">
        <w:t xml:space="preserve"> redu</w:t>
      </w:r>
      <w:r w:rsidR="00053E66" w:rsidRPr="001A48D3">
        <w:t xml:space="preserve">ction, the RIS considers this </w:t>
      </w:r>
      <w:r w:rsidRPr="001A48D3">
        <w:t>scenario could be supported as it would assist industry in achieving compliance at reduced cost, by providing additional time to prepare for the new standards and a longer time to amortise investment costs for existing vehicles</w:t>
      </w:r>
      <w:r w:rsidR="00053E66" w:rsidRPr="001A48D3">
        <w:t>.  Over</w:t>
      </w:r>
      <w:r w:rsidRPr="001A48D3">
        <w:t xml:space="preserve"> the longer term the net benefit is </w:t>
      </w:r>
      <w:r w:rsidR="00053E66" w:rsidRPr="001A48D3">
        <w:t xml:space="preserve">also </w:t>
      </w:r>
      <w:r w:rsidRPr="001A48D3">
        <w:t xml:space="preserve">likely to </w:t>
      </w:r>
      <w:r w:rsidR="00FD7492" w:rsidRPr="001A48D3">
        <w:t>improve</w:t>
      </w:r>
      <w:r w:rsidRPr="001A48D3">
        <w:t>.</w:t>
      </w:r>
    </w:p>
    <w:p w:rsidR="00053E66" w:rsidRPr="001A48D3" w:rsidRDefault="0012023E" w:rsidP="00C4701A">
      <w:pPr>
        <w:spacing w:after="120"/>
      </w:pPr>
      <w:r w:rsidRPr="001A48D3">
        <w:t>After consideration of the public comment</w:t>
      </w:r>
      <w:r w:rsidR="00053E66" w:rsidRPr="001A48D3">
        <w:t xml:space="preserve">, </w:t>
      </w:r>
      <w:r w:rsidRPr="001A48D3">
        <w:t>the outcomes of the BCA</w:t>
      </w:r>
      <w:r w:rsidR="00053E66" w:rsidRPr="001A48D3">
        <w:t xml:space="preserve"> and the </w:t>
      </w:r>
      <w:r w:rsidRPr="001A48D3">
        <w:t xml:space="preserve">sensitivity </w:t>
      </w:r>
      <w:r w:rsidR="00053E66" w:rsidRPr="001A48D3">
        <w:t>analyses</w:t>
      </w:r>
      <w:r w:rsidR="00FD7492" w:rsidRPr="001A48D3">
        <w:t>,</w:t>
      </w:r>
      <w:r w:rsidR="00053E66" w:rsidRPr="001A48D3">
        <w:t xml:space="preserve"> and the other non-quantified benefits, this RIS recommends that for all types of new light vehicles (petrol, diesel, LPG and NG):</w:t>
      </w:r>
    </w:p>
    <w:p w:rsidR="00053E66" w:rsidRPr="001A48D3" w:rsidRDefault="00053E66" w:rsidP="00C4701A">
      <w:pPr>
        <w:numPr>
          <w:ilvl w:val="0"/>
          <w:numId w:val="11"/>
        </w:numPr>
        <w:spacing w:after="120"/>
      </w:pPr>
      <w:r w:rsidRPr="001A48D3">
        <w:t>Euro 5 emissions standards be phased in from April 2013 in accordance with the conditions specified in Section 6.2.1; and</w:t>
      </w:r>
    </w:p>
    <w:p w:rsidR="00053E66" w:rsidRPr="001A48D3" w:rsidRDefault="00053E66" w:rsidP="00C4701A">
      <w:pPr>
        <w:numPr>
          <w:ilvl w:val="0"/>
          <w:numId w:val="11"/>
        </w:numPr>
        <w:spacing w:after="120"/>
      </w:pPr>
      <w:r w:rsidRPr="001A48D3">
        <w:t xml:space="preserve">Euro 6 emissions standards </w:t>
      </w:r>
      <w:proofErr w:type="gramStart"/>
      <w:r w:rsidRPr="001A48D3">
        <w:t>be</w:t>
      </w:r>
      <w:proofErr w:type="gramEnd"/>
      <w:r w:rsidRPr="001A48D3">
        <w:t xml:space="preserve"> phased in from April 2017 in accordance with the conditions specified in Section 6.2.2.</w:t>
      </w:r>
    </w:p>
    <w:p w:rsidR="006F7116" w:rsidRPr="001A48D3" w:rsidRDefault="006F7116" w:rsidP="00C4701A">
      <w:pPr>
        <w:spacing w:after="120"/>
        <w:rPr>
          <w:szCs w:val="24"/>
          <w:lang w:val="en-US"/>
        </w:rPr>
      </w:pPr>
      <w:r w:rsidRPr="001A48D3">
        <w:t>This RIS makes no specific recommendations regarding fuel standards, but suggests that the Fuel Standards Consultative Committee consider any potential impacts for fuel quality which may arise from the adoption of Euro 5/6 standards for light vehicles.</w:t>
      </w:r>
    </w:p>
    <w:p w:rsidR="00896A37" w:rsidRPr="001A48D3" w:rsidRDefault="006F7116" w:rsidP="00C4701A">
      <w:pPr>
        <w:pStyle w:val="Heading1"/>
      </w:pPr>
      <w:r w:rsidRPr="001A48D3">
        <w:br w:type="page"/>
      </w:r>
      <w:bookmarkStart w:id="17" w:name="_Toc430182487"/>
      <w:r w:rsidR="00F15B09" w:rsidRPr="001A48D3">
        <w:lastRenderedPageBreak/>
        <w:t>INTRODUCTION</w:t>
      </w:r>
      <w:bookmarkEnd w:id="17"/>
    </w:p>
    <w:p w:rsidR="00E641AA" w:rsidRPr="001A48D3" w:rsidRDefault="00E30E96" w:rsidP="00C4701A">
      <w:pPr>
        <w:spacing w:after="120"/>
        <w:rPr>
          <w:lang w:val="en-US"/>
        </w:rPr>
      </w:pPr>
      <w:r w:rsidRPr="001A48D3">
        <w:rPr>
          <w:lang w:val="en-US"/>
        </w:rPr>
        <w:t xml:space="preserve">Emissions from road vehicles are significant contributors to key air pollutants in Australia’s cities.  </w:t>
      </w:r>
      <w:r w:rsidR="00896A37" w:rsidRPr="001A48D3">
        <w:rPr>
          <w:lang w:val="en-US"/>
        </w:rPr>
        <w:t xml:space="preserve">National actions to strengthen vehicle </w:t>
      </w:r>
      <w:r w:rsidR="00AF01A3" w:rsidRPr="001A48D3">
        <w:rPr>
          <w:lang w:val="en-US"/>
        </w:rPr>
        <w:t>emissions</w:t>
      </w:r>
      <w:r w:rsidR="00896A37" w:rsidRPr="001A48D3">
        <w:rPr>
          <w:lang w:val="en-US"/>
        </w:rPr>
        <w:t xml:space="preserve"> standards and improve fuel quality are accepted as </w:t>
      </w:r>
      <w:r w:rsidR="00A23FCD" w:rsidRPr="001A48D3">
        <w:rPr>
          <w:lang w:val="en-US"/>
        </w:rPr>
        <w:t>key measures</w:t>
      </w:r>
      <w:r w:rsidR="00896A37" w:rsidRPr="001A48D3">
        <w:rPr>
          <w:lang w:val="en-US"/>
        </w:rPr>
        <w:t xml:space="preserve"> to reduce urban air pollution </w:t>
      </w:r>
      <w:r w:rsidRPr="001A48D3">
        <w:rPr>
          <w:lang w:val="en-US"/>
        </w:rPr>
        <w:t xml:space="preserve">from the road transport sector </w:t>
      </w:r>
      <w:r w:rsidR="00896A37" w:rsidRPr="001A48D3">
        <w:rPr>
          <w:lang w:val="en-US"/>
        </w:rPr>
        <w:t xml:space="preserve">and </w:t>
      </w:r>
      <w:r w:rsidR="00E641AA" w:rsidRPr="001A48D3">
        <w:rPr>
          <w:lang w:val="en-US"/>
        </w:rPr>
        <w:t>deliver associated</w:t>
      </w:r>
      <w:r w:rsidR="00896A37" w:rsidRPr="001A48D3">
        <w:rPr>
          <w:lang w:val="en-US"/>
        </w:rPr>
        <w:t xml:space="preserve"> health benefits.  </w:t>
      </w:r>
    </w:p>
    <w:p w:rsidR="00E30E96" w:rsidRPr="001A48D3" w:rsidRDefault="00E30E96" w:rsidP="00C4701A">
      <w:pPr>
        <w:spacing w:after="120"/>
        <w:rPr>
          <w:lang w:val="en-US"/>
        </w:rPr>
      </w:pPr>
      <w:r w:rsidRPr="001A48D3">
        <w:rPr>
          <w:lang w:val="en-US"/>
        </w:rPr>
        <w:t xml:space="preserve">In Australia, </w:t>
      </w:r>
      <w:r w:rsidR="00817CEA" w:rsidRPr="001A48D3">
        <w:rPr>
          <w:lang w:val="en-US"/>
        </w:rPr>
        <w:t>vehicle</w:t>
      </w:r>
      <w:r w:rsidRPr="001A48D3">
        <w:rPr>
          <w:lang w:val="en-US"/>
        </w:rPr>
        <w:t xml:space="preserve"> emission</w:t>
      </w:r>
      <w:r w:rsidR="00F616FF" w:rsidRPr="001A48D3">
        <w:rPr>
          <w:lang w:val="en-US"/>
        </w:rPr>
        <w:t>s</w:t>
      </w:r>
      <w:r w:rsidRPr="001A48D3">
        <w:rPr>
          <w:lang w:val="en-US"/>
        </w:rPr>
        <w:t xml:space="preserve"> standards are set via the </w:t>
      </w:r>
      <w:r w:rsidRPr="001A48D3">
        <w:rPr>
          <w:rFonts w:cs="Arial"/>
          <w:lang w:val="en-US"/>
        </w:rPr>
        <w:t xml:space="preserve">Australian Design Rules, which are legislative instruments under the </w:t>
      </w:r>
      <w:r w:rsidRPr="001A48D3">
        <w:rPr>
          <w:rFonts w:cs="Arial"/>
          <w:i/>
          <w:lang w:val="en-US"/>
        </w:rPr>
        <w:t>Motor Vehicle Standards Act 1989</w:t>
      </w:r>
      <w:r w:rsidRPr="001A48D3">
        <w:rPr>
          <w:rFonts w:cs="Arial"/>
          <w:lang w:val="en-US"/>
        </w:rPr>
        <w:t xml:space="preserve">.  Fuel standards are set under the </w:t>
      </w:r>
      <w:r w:rsidRPr="001A48D3">
        <w:rPr>
          <w:rFonts w:cs="Arial"/>
          <w:i/>
          <w:lang w:val="en-US"/>
        </w:rPr>
        <w:t>Fuel Quality Standards Act 2000.</w:t>
      </w:r>
    </w:p>
    <w:p w:rsidR="00F70798" w:rsidRPr="001A48D3" w:rsidRDefault="00F70798" w:rsidP="00C4701A">
      <w:pPr>
        <w:spacing w:after="120"/>
        <w:rPr>
          <w:lang w:val="en-US"/>
        </w:rPr>
      </w:pPr>
      <w:r w:rsidRPr="001A48D3">
        <w:rPr>
          <w:lang w:val="en-US"/>
        </w:rPr>
        <w:t xml:space="preserve">The Australian Government has a policy of </w:t>
      </w:r>
      <w:proofErr w:type="spellStart"/>
      <w:r w:rsidRPr="001A48D3">
        <w:rPr>
          <w:lang w:val="en-US"/>
        </w:rPr>
        <w:t>harmonising</w:t>
      </w:r>
      <w:proofErr w:type="spellEnd"/>
      <w:r w:rsidRPr="001A48D3">
        <w:rPr>
          <w:lang w:val="en-US"/>
        </w:rPr>
        <w:t xml:space="preserve"> </w:t>
      </w:r>
      <w:r w:rsidR="00E30E96" w:rsidRPr="001A48D3">
        <w:rPr>
          <w:lang w:val="en-US"/>
        </w:rPr>
        <w:t xml:space="preserve">Australia’s vehicle standards </w:t>
      </w:r>
      <w:r w:rsidR="00A046A9" w:rsidRPr="001A48D3">
        <w:rPr>
          <w:lang w:val="en-US"/>
        </w:rPr>
        <w:t xml:space="preserve">wherever possible </w:t>
      </w:r>
      <w:r w:rsidRPr="001A48D3">
        <w:rPr>
          <w:lang w:val="en-US"/>
        </w:rPr>
        <w:t>with</w:t>
      </w:r>
      <w:r w:rsidR="00E30E96" w:rsidRPr="001A48D3">
        <w:rPr>
          <w:lang w:val="en-US"/>
        </w:rPr>
        <w:t xml:space="preserve"> the international standards established by the U</w:t>
      </w:r>
      <w:r w:rsidR="006421E9" w:rsidRPr="001A48D3">
        <w:rPr>
          <w:lang w:val="en-US"/>
        </w:rPr>
        <w:t xml:space="preserve">nited </w:t>
      </w:r>
      <w:r w:rsidR="00E30E96" w:rsidRPr="001A48D3">
        <w:rPr>
          <w:lang w:val="en-US"/>
        </w:rPr>
        <w:t>N</w:t>
      </w:r>
      <w:r w:rsidR="006421E9" w:rsidRPr="001A48D3">
        <w:rPr>
          <w:lang w:val="en-US"/>
        </w:rPr>
        <w:t>ations Economic Commission for Europe (UN ECE)</w:t>
      </w:r>
      <w:r w:rsidR="00E30E96" w:rsidRPr="001A48D3">
        <w:rPr>
          <w:lang w:val="en-US"/>
        </w:rPr>
        <w:t xml:space="preserve"> and </w:t>
      </w:r>
      <w:r w:rsidRPr="001A48D3">
        <w:rPr>
          <w:lang w:val="en-US"/>
        </w:rPr>
        <w:t xml:space="preserve">the current </w:t>
      </w:r>
      <w:r w:rsidR="00F616FF" w:rsidRPr="001A48D3">
        <w:rPr>
          <w:lang w:val="en-US"/>
        </w:rPr>
        <w:t xml:space="preserve">emissions </w:t>
      </w:r>
      <w:r w:rsidRPr="001A48D3">
        <w:rPr>
          <w:lang w:val="en-US"/>
        </w:rPr>
        <w:t>ADRs adopt the standards known as Euro 4.</w:t>
      </w:r>
      <w:r w:rsidRPr="001A48D3">
        <w:rPr>
          <w:i/>
          <w:lang w:val="en-US"/>
        </w:rPr>
        <w:t xml:space="preserve">  </w:t>
      </w:r>
      <w:r w:rsidRPr="001A48D3">
        <w:rPr>
          <w:lang w:val="en-US"/>
        </w:rPr>
        <w:t xml:space="preserve">New Euro 5 and Euro 6 standards have recently been agreed for light duty vehicles, and </w:t>
      </w:r>
      <w:r w:rsidR="00E30E96" w:rsidRPr="001A48D3">
        <w:rPr>
          <w:lang w:val="en-US"/>
        </w:rPr>
        <w:t>t</w:t>
      </w:r>
      <w:r w:rsidR="00896A37" w:rsidRPr="001A48D3">
        <w:rPr>
          <w:lang w:val="en-US"/>
        </w:rPr>
        <w:t xml:space="preserve">his </w:t>
      </w:r>
      <w:r w:rsidR="00EE2EF6" w:rsidRPr="001A48D3">
        <w:rPr>
          <w:lang w:val="en-US"/>
        </w:rPr>
        <w:t xml:space="preserve">draft </w:t>
      </w:r>
      <w:r w:rsidR="00896A37" w:rsidRPr="001A48D3">
        <w:rPr>
          <w:lang w:val="en-US"/>
        </w:rPr>
        <w:t xml:space="preserve">Regulation Impact Statement (RIS) </w:t>
      </w:r>
      <w:r w:rsidRPr="001A48D3">
        <w:rPr>
          <w:lang w:val="en-US"/>
        </w:rPr>
        <w:t xml:space="preserve">has been prepared to </w:t>
      </w:r>
      <w:r w:rsidR="00896A37" w:rsidRPr="001A48D3">
        <w:rPr>
          <w:lang w:val="en-US"/>
        </w:rPr>
        <w:t xml:space="preserve">consider the </w:t>
      </w:r>
      <w:r w:rsidR="00EE2EF6" w:rsidRPr="001A48D3">
        <w:rPr>
          <w:lang w:val="en-US"/>
        </w:rPr>
        <w:t>merits of adopting the</w:t>
      </w:r>
      <w:r w:rsidRPr="001A48D3">
        <w:rPr>
          <w:lang w:val="en-US"/>
        </w:rPr>
        <w:t>se</w:t>
      </w:r>
      <w:r w:rsidR="00EE2EF6" w:rsidRPr="001A48D3">
        <w:rPr>
          <w:lang w:val="en-US"/>
        </w:rPr>
        <w:t xml:space="preserve"> latest </w:t>
      </w:r>
      <w:r w:rsidR="001C4AC6" w:rsidRPr="001A48D3">
        <w:rPr>
          <w:lang w:val="en-US"/>
        </w:rPr>
        <w:t xml:space="preserve">standards </w:t>
      </w:r>
      <w:r w:rsidRPr="001A48D3">
        <w:rPr>
          <w:lang w:val="en-US"/>
        </w:rPr>
        <w:t>in Australia.</w:t>
      </w:r>
    </w:p>
    <w:p w:rsidR="00945CBA" w:rsidRPr="001A48D3" w:rsidRDefault="009E52F7" w:rsidP="00C4701A">
      <w:pPr>
        <w:spacing w:after="120"/>
        <w:rPr>
          <w:lang w:val="en-US"/>
        </w:rPr>
      </w:pPr>
      <w:r w:rsidRPr="001A48D3">
        <w:rPr>
          <w:lang w:val="en-US"/>
        </w:rPr>
        <w:t xml:space="preserve">This </w:t>
      </w:r>
      <w:r w:rsidR="009947EF" w:rsidRPr="001A48D3">
        <w:rPr>
          <w:lang w:val="en-US"/>
        </w:rPr>
        <w:t xml:space="preserve">final </w:t>
      </w:r>
      <w:r w:rsidRPr="001A48D3">
        <w:rPr>
          <w:lang w:val="en-US"/>
        </w:rPr>
        <w:t>RIS has been prepared by the Department of Infrastructure</w:t>
      </w:r>
      <w:r w:rsidR="003D38EC" w:rsidRPr="001A48D3">
        <w:rPr>
          <w:lang w:val="en-US"/>
        </w:rPr>
        <w:t xml:space="preserve"> and </w:t>
      </w:r>
      <w:r w:rsidRPr="001A48D3">
        <w:rPr>
          <w:lang w:val="en-US"/>
        </w:rPr>
        <w:t>Transport (</w:t>
      </w:r>
      <w:r w:rsidR="006F7116" w:rsidRPr="001A48D3">
        <w:rPr>
          <w:lang w:val="en-US"/>
        </w:rPr>
        <w:t>DIT</w:t>
      </w:r>
      <w:r w:rsidR="00DC0439" w:rsidRPr="001A48D3">
        <w:rPr>
          <w:lang w:val="en-US"/>
        </w:rPr>
        <w:t>)</w:t>
      </w:r>
      <w:r w:rsidR="00F15B09" w:rsidRPr="001A48D3">
        <w:rPr>
          <w:lang w:val="en-US"/>
        </w:rPr>
        <w:t>, following the release of a draft RIS in January 2010 for 60</w:t>
      </w:r>
      <w:r w:rsidR="003D38EC" w:rsidRPr="001A48D3">
        <w:rPr>
          <w:lang w:val="en-US"/>
        </w:rPr>
        <w:t>+</w:t>
      </w:r>
      <w:r w:rsidR="00F15B09" w:rsidRPr="001A48D3">
        <w:rPr>
          <w:lang w:val="en-US"/>
        </w:rPr>
        <w:t xml:space="preserve"> day public comment</w:t>
      </w:r>
      <w:r w:rsidR="00945CBA" w:rsidRPr="001A48D3">
        <w:rPr>
          <w:snapToGrid w:val="0"/>
        </w:rPr>
        <w:t xml:space="preserve">.  </w:t>
      </w:r>
      <w:r w:rsidR="00817CEA" w:rsidRPr="001A48D3">
        <w:rPr>
          <w:lang w:val="en-US"/>
        </w:rPr>
        <w:t>The RIS incorporates a</w:t>
      </w:r>
      <w:r w:rsidR="00896A37" w:rsidRPr="001A48D3">
        <w:rPr>
          <w:lang w:val="en-US"/>
        </w:rPr>
        <w:t xml:space="preserve"> </w:t>
      </w:r>
      <w:r w:rsidR="00F616FF" w:rsidRPr="001A48D3">
        <w:rPr>
          <w:lang w:val="en-US"/>
        </w:rPr>
        <w:t>benefit-</w:t>
      </w:r>
      <w:r w:rsidR="00896A37" w:rsidRPr="001A48D3">
        <w:rPr>
          <w:lang w:val="en-US"/>
        </w:rPr>
        <w:t xml:space="preserve">cost analysis undertaken </w:t>
      </w:r>
      <w:r w:rsidR="00FE6701" w:rsidRPr="001A48D3">
        <w:rPr>
          <w:lang w:val="en-US"/>
        </w:rPr>
        <w:t xml:space="preserve">by </w:t>
      </w:r>
      <w:r w:rsidR="00FE6701" w:rsidRPr="001A48D3">
        <w:t>Bureau of Infrastructure, Transport and Regional Economics</w:t>
      </w:r>
      <w:r w:rsidR="00FE6701" w:rsidRPr="001A48D3">
        <w:rPr>
          <w:lang w:val="en-US"/>
        </w:rPr>
        <w:t xml:space="preserve"> (BITRE)</w:t>
      </w:r>
      <w:r w:rsidR="00896A37" w:rsidRPr="001A48D3">
        <w:rPr>
          <w:lang w:val="en-US"/>
        </w:rPr>
        <w:t>.</w:t>
      </w:r>
      <w:r w:rsidR="00945CBA" w:rsidRPr="001A48D3">
        <w:rPr>
          <w:lang w:val="en-US"/>
        </w:rPr>
        <w:t xml:space="preserve"> </w:t>
      </w:r>
      <w:r w:rsidR="00945CBA" w:rsidRPr="001A48D3">
        <w:rPr>
          <w:snapToGrid w:val="0"/>
        </w:rPr>
        <w:t xml:space="preserve"> </w:t>
      </w:r>
      <w:r w:rsidR="006F7116" w:rsidRPr="001A48D3">
        <w:rPr>
          <w:snapToGrid w:val="0"/>
        </w:rPr>
        <w:t>DIT</w:t>
      </w:r>
      <w:r w:rsidR="00945CBA" w:rsidRPr="001A48D3">
        <w:rPr>
          <w:snapToGrid w:val="0"/>
        </w:rPr>
        <w:t xml:space="preserve"> also acknowledges the </w:t>
      </w:r>
      <w:r w:rsidR="00945CBA" w:rsidRPr="001A48D3">
        <w:rPr>
          <w:lang w:val="en-US"/>
        </w:rPr>
        <w:t xml:space="preserve">assistance of the Department of </w:t>
      </w:r>
      <w:r w:rsidR="00A0173B" w:rsidRPr="001A48D3">
        <w:rPr>
          <w:color w:val="000000"/>
        </w:rPr>
        <w:t xml:space="preserve">Sustainability, Environment, </w:t>
      </w:r>
      <w:proofErr w:type="gramStart"/>
      <w:r w:rsidR="00A0173B" w:rsidRPr="001A48D3">
        <w:rPr>
          <w:color w:val="000000"/>
        </w:rPr>
        <w:t>Water</w:t>
      </w:r>
      <w:proofErr w:type="gramEnd"/>
      <w:r w:rsidR="00A0173B" w:rsidRPr="001A48D3">
        <w:rPr>
          <w:color w:val="000000"/>
        </w:rPr>
        <w:t xml:space="preserve">, Population and Communities </w:t>
      </w:r>
      <w:r w:rsidR="00945CBA" w:rsidRPr="001A48D3">
        <w:rPr>
          <w:lang w:val="en-US"/>
        </w:rPr>
        <w:t>(D</w:t>
      </w:r>
      <w:r w:rsidR="00A0173B" w:rsidRPr="001A48D3">
        <w:rPr>
          <w:lang w:val="en-US"/>
        </w:rPr>
        <w:t>SEWPC</w:t>
      </w:r>
      <w:r w:rsidR="00945CBA" w:rsidRPr="001A48D3">
        <w:rPr>
          <w:lang w:val="en-US"/>
        </w:rPr>
        <w:t>) and a number of State environment agencies in the preparation of the RIS.</w:t>
      </w:r>
    </w:p>
    <w:p w:rsidR="00A23FCD" w:rsidRPr="001A48D3" w:rsidRDefault="00F15B09" w:rsidP="00C4701A">
      <w:pPr>
        <w:spacing w:after="120"/>
        <w:rPr>
          <w:lang w:val="en-US"/>
        </w:rPr>
      </w:pPr>
      <w:r w:rsidRPr="001A48D3">
        <w:rPr>
          <w:lang w:val="en-US"/>
        </w:rPr>
        <w:t xml:space="preserve">The public comment received is discussed </w:t>
      </w:r>
      <w:r w:rsidR="001364D2" w:rsidRPr="001A48D3">
        <w:rPr>
          <w:lang w:val="en-US"/>
        </w:rPr>
        <w:t>in Section 5 (Consultation)</w:t>
      </w:r>
      <w:r w:rsidR="009947EF" w:rsidRPr="001A48D3">
        <w:rPr>
          <w:lang w:val="en-US"/>
        </w:rPr>
        <w:t>, with public comments included at other appropriate locations in the final RIS</w:t>
      </w:r>
      <w:r w:rsidR="00A23FCD" w:rsidRPr="001A48D3">
        <w:rPr>
          <w:lang w:val="en-US"/>
        </w:rPr>
        <w:t>.</w:t>
      </w:r>
      <w:r w:rsidR="00F90A86" w:rsidRPr="001A48D3">
        <w:rPr>
          <w:lang w:val="en-US"/>
        </w:rPr>
        <w:t xml:space="preserve">  All non-confidential submissions are available at </w:t>
      </w:r>
      <w:hyperlink r:id="rId13" w:history="1">
        <w:r w:rsidR="00F90A86" w:rsidRPr="001A48D3">
          <w:rPr>
            <w:rStyle w:val="Hyperlink"/>
            <w:lang w:val="en-US"/>
          </w:rPr>
          <w:t>http://www.infrastructure.gov.au/roads/environment/euro.aspx</w:t>
        </w:r>
      </w:hyperlink>
      <w:r w:rsidR="00F90A86" w:rsidRPr="001A48D3">
        <w:rPr>
          <w:lang w:val="en-US"/>
        </w:rPr>
        <w:t xml:space="preserve">.  </w:t>
      </w:r>
    </w:p>
    <w:p w:rsidR="002F1602" w:rsidRPr="001A48D3" w:rsidRDefault="002F1602" w:rsidP="00C4701A">
      <w:pPr>
        <w:spacing w:after="120"/>
      </w:pPr>
      <w:r w:rsidRPr="001A48D3">
        <w:t xml:space="preserve">The following matters are </w:t>
      </w:r>
      <w:r w:rsidRPr="00096397">
        <w:rPr>
          <w:rStyle w:val="Strong"/>
        </w:rPr>
        <w:t>outside</w:t>
      </w:r>
      <w:r w:rsidRPr="001A48D3">
        <w:t xml:space="preserve"> the scope of this RIS:</w:t>
      </w:r>
    </w:p>
    <w:p w:rsidR="002F1602" w:rsidRPr="001A48D3" w:rsidRDefault="002F1602" w:rsidP="00C4701A">
      <w:pPr>
        <w:numPr>
          <w:ilvl w:val="0"/>
          <w:numId w:val="12"/>
        </w:numPr>
        <w:spacing w:after="120"/>
      </w:pPr>
      <w:r w:rsidRPr="001A48D3">
        <w:t xml:space="preserve">in-service vehicle emissions measures, which are primarily the responsibility of State and Territory Governments ; </w:t>
      </w:r>
    </w:p>
    <w:p w:rsidR="00A842CD" w:rsidRPr="001A48D3" w:rsidRDefault="002F1602" w:rsidP="00C4701A">
      <w:pPr>
        <w:numPr>
          <w:ilvl w:val="0"/>
          <w:numId w:val="12"/>
        </w:numPr>
        <w:spacing w:after="120"/>
      </w:pPr>
      <w:r w:rsidRPr="001A48D3">
        <w:t>the parameters of existing vehicle and fuel standards, except to the extent that the impact of existing standards are evaluated to establish a base case</w:t>
      </w:r>
      <w:r w:rsidR="00A842CD" w:rsidRPr="001A48D3">
        <w:t>; and</w:t>
      </w:r>
    </w:p>
    <w:p w:rsidR="00B93FC4" w:rsidRPr="001A48D3" w:rsidRDefault="00A842CD" w:rsidP="00C4701A">
      <w:pPr>
        <w:numPr>
          <w:ilvl w:val="0"/>
          <w:numId w:val="12"/>
        </w:numPr>
        <w:spacing w:after="120"/>
      </w:pPr>
      <w:proofErr w:type="gramStart"/>
      <w:r w:rsidRPr="001A48D3">
        <w:t>consideration</w:t>
      </w:r>
      <w:proofErr w:type="gramEnd"/>
      <w:r w:rsidRPr="001A48D3">
        <w:t xml:space="preserve"> of carbon dioxide (CO</w:t>
      </w:r>
      <w:r w:rsidRPr="001A48D3">
        <w:rPr>
          <w:vertAlign w:val="subscript"/>
        </w:rPr>
        <w:t>2</w:t>
      </w:r>
      <w:r w:rsidRPr="001A48D3">
        <w:t xml:space="preserve">) </w:t>
      </w:r>
      <w:r w:rsidR="00AF01A3" w:rsidRPr="001A48D3">
        <w:t>emissions</w:t>
      </w:r>
      <w:r w:rsidRPr="001A48D3">
        <w:t xml:space="preserve"> standards, which are the subject of a separate regulatory assessment process agreed by </w:t>
      </w:r>
      <w:r w:rsidRPr="001A48D3">
        <w:rPr>
          <w:rFonts w:cs="Arial"/>
        </w:rPr>
        <w:t>Council of Australian Governments</w:t>
      </w:r>
      <w:r w:rsidRPr="001A48D3">
        <w:t xml:space="preserve"> in July 2009</w:t>
      </w:r>
      <w:r w:rsidR="002F1602" w:rsidRPr="001A48D3">
        <w:t>.</w:t>
      </w:r>
    </w:p>
    <w:p w:rsidR="00896A37" w:rsidRPr="001A48D3" w:rsidRDefault="00B93FC4" w:rsidP="00B52F7D">
      <w:pPr>
        <w:pStyle w:val="Heading1"/>
      </w:pPr>
      <w:r w:rsidRPr="001A48D3">
        <w:rPr>
          <w:szCs w:val="24"/>
        </w:rPr>
        <w:br w:type="page"/>
      </w:r>
      <w:bookmarkStart w:id="18" w:name="_Toc430182488"/>
      <w:r w:rsidR="00636785">
        <w:rPr>
          <w:szCs w:val="24"/>
        </w:rPr>
        <w:lastRenderedPageBreak/>
        <w:t>1.</w:t>
      </w:r>
      <w:r w:rsidR="00636785">
        <w:rPr>
          <w:szCs w:val="24"/>
        </w:rPr>
        <w:tab/>
      </w:r>
      <w:r w:rsidR="00387CAB" w:rsidRPr="001A48D3">
        <w:t>ASSESSING THE</w:t>
      </w:r>
      <w:r w:rsidR="00E9650D" w:rsidRPr="001A48D3">
        <w:t xml:space="preserve"> </w:t>
      </w:r>
      <w:r w:rsidR="00387CAB" w:rsidRPr="001A48D3">
        <w:t>PROBLEM</w:t>
      </w:r>
      <w:bookmarkEnd w:id="18"/>
    </w:p>
    <w:p w:rsidR="00387CAB" w:rsidRPr="001A48D3" w:rsidRDefault="00636785" w:rsidP="00153F3E">
      <w:pPr>
        <w:pStyle w:val="Heading2"/>
      </w:pPr>
      <w:bookmarkStart w:id="19" w:name="_Toc89846616"/>
      <w:bookmarkStart w:id="20" w:name="_Toc430182489"/>
      <w:r>
        <w:t>1.1</w:t>
      </w:r>
      <w:r>
        <w:tab/>
      </w:r>
      <w:r w:rsidR="00387CAB" w:rsidRPr="001A48D3">
        <w:t>The Nature of the Problem - Urban Air Pollution</w:t>
      </w:r>
      <w:bookmarkEnd w:id="19"/>
      <w:bookmarkEnd w:id="20"/>
    </w:p>
    <w:p w:rsidR="001D14AD" w:rsidRPr="001A48D3" w:rsidRDefault="001D14AD" w:rsidP="00C4701A">
      <w:pPr>
        <w:spacing w:after="120"/>
      </w:pPr>
      <w:r w:rsidRPr="001A48D3">
        <w:t>While urban air quality in Australia is generally good, there are still significant health concerns in relation to the concentrations of air pollutants</w:t>
      </w:r>
      <w:r w:rsidR="003007DB" w:rsidRPr="001A48D3">
        <w:t>.  The air pollutants relevant to this RIS are particulate matter (PM) - especially fine and ultrafine particles - nitrogen oxides,</w:t>
      </w:r>
      <w:r w:rsidRPr="001A48D3">
        <w:t xml:space="preserve"> and ground level ozone</w:t>
      </w:r>
      <w:r w:rsidR="003007DB" w:rsidRPr="001A48D3">
        <w:t xml:space="preserve"> - </w:t>
      </w:r>
      <w:r w:rsidRPr="001A48D3">
        <w:t>an indicator of photochemical smog.</w:t>
      </w:r>
      <w:r w:rsidR="00E94969" w:rsidRPr="001A48D3">
        <w:t xml:space="preserve"> </w:t>
      </w:r>
      <w:r w:rsidRPr="001A48D3">
        <w:t xml:space="preserve"> Motor vehicles are a major contributor to these pollutants in urban air, and vehicle numbers and usage continue to rise. </w:t>
      </w:r>
    </w:p>
    <w:p w:rsidR="008720DC" w:rsidRPr="001A48D3" w:rsidRDefault="001D14AD" w:rsidP="00C4701A">
      <w:pPr>
        <w:spacing w:after="120"/>
      </w:pPr>
      <w:r w:rsidRPr="001A48D3">
        <w:t xml:space="preserve">PM from motor vehicle exhaust in particular </w:t>
      </w:r>
      <w:r w:rsidR="008720DC" w:rsidRPr="001A48D3">
        <w:t>is</w:t>
      </w:r>
      <w:r w:rsidRPr="001A48D3">
        <w:t xml:space="preserve"> the subject of increasing concern amongst health researchers, with linkages between adverse health effects and PM exposure being demonstrated at increasingly lower levels of PM in the atmosphere.  These associations are observed even when air pollutant concentrations are below national standards. </w:t>
      </w:r>
      <w:r w:rsidR="004E66E5" w:rsidRPr="001A48D3">
        <w:t xml:space="preserve"> </w:t>
      </w:r>
      <w:r w:rsidR="00616027" w:rsidRPr="001A48D3">
        <w:t>New research suggests the risks of cardiovascular effects may be particularly great for exposure to fine (&lt;2.5</w:t>
      </w:r>
      <w:r w:rsidR="00616027" w:rsidRPr="001A48D3">
        <w:rPr>
          <w:szCs w:val="24"/>
        </w:rPr>
        <w:sym w:font="Symbol" w:char="F06D"/>
      </w:r>
      <w:r w:rsidR="00616027" w:rsidRPr="001A48D3">
        <w:t>m) and ultrafine (&lt;0.1</w:t>
      </w:r>
      <w:r w:rsidR="00616027" w:rsidRPr="001A48D3">
        <w:rPr>
          <w:szCs w:val="24"/>
        </w:rPr>
        <w:sym w:font="Symbol" w:char="F06D"/>
      </w:r>
      <w:r w:rsidR="00616027" w:rsidRPr="001A48D3">
        <w:t>m)</w:t>
      </w:r>
      <w:r w:rsidR="00616027" w:rsidRPr="001A48D3">
        <w:rPr>
          <w:rFonts w:cs="Trebuchet MS"/>
        </w:rPr>
        <w:t xml:space="preserve"> </w:t>
      </w:r>
      <w:r w:rsidR="00616027" w:rsidRPr="001A48D3">
        <w:t xml:space="preserve">exhaust </w:t>
      </w:r>
      <w:r w:rsidR="00616027" w:rsidRPr="001A48D3">
        <w:rPr>
          <w:rFonts w:cs="Trebuchet MS"/>
        </w:rPr>
        <w:t>particles</w:t>
      </w:r>
      <w:r w:rsidR="00616027" w:rsidRPr="001A48D3">
        <w:rPr>
          <w:rStyle w:val="FootnoteReference"/>
          <w:rFonts w:cs="Trebuchet MS"/>
        </w:rPr>
        <w:footnoteReference w:id="1"/>
      </w:r>
      <w:r w:rsidR="00616027" w:rsidRPr="001A48D3">
        <w:t xml:space="preserve">.  </w:t>
      </w:r>
      <w:r w:rsidR="008720DC" w:rsidRPr="001A48D3">
        <w:t>The current consensus is that there is no safe level of exposure to PM and that any reduction in particle concentrations would improve population health outcomes</w:t>
      </w:r>
      <w:r w:rsidR="008720DC" w:rsidRPr="001A48D3">
        <w:rPr>
          <w:rStyle w:val="FootnoteReference"/>
        </w:rPr>
        <w:footnoteReference w:id="2"/>
      </w:r>
      <w:proofErr w:type="gramStart"/>
      <w:r w:rsidR="008720DC" w:rsidRPr="001A48D3">
        <w:rPr>
          <w:vertAlign w:val="superscript"/>
        </w:rPr>
        <w:t>,</w:t>
      </w:r>
      <w:r w:rsidR="008720DC" w:rsidRPr="001A48D3">
        <w:rPr>
          <w:rStyle w:val="FootnoteReference"/>
        </w:rPr>
        <w:footnoteReference w:id="3"/>
      </w:r>
      <w:r w:rsidR="008720DC" w:rsidRPr="001A48D3">
        <w:rPr>
          <w:vertAlign w:val="superscript"/>
        </w:rPr>
        <w:t>,</w:t>
      </w:r>
      <w:r w:rsidR="008720DC" w:rsidRPr="001A48D3">
        <w:rPr>
          <w:rStyle w:val="FootnoteReference"/>
        </w:rPr>
        <w:footnoteReference w:id="4"/>
      </w:r>
      <w:r w:rsidR="008720DC" w:rsidRPr="001A48D3">
        <w:rPr>
          <w:vertAlign w:val="superscript"/>
        </w:rPr>
        <w:t>,</w:t>
      </w:r>
      <w:r w:rsidR="008720DC" w:rsidRPr="001A48D3">
        <w:rPr>
          <w:rStyle w:val="FootnoteReference"/>
        </w:rPr>
        <w:footnoteReference w:id="5"/>
      </w:r>
      <w:r w:rsidR="008720DC" w:rsidRPr="001A48D3">
        <w:t>.</w:t>
      </w:r>
      <w:proofErr w:type="gramEnd"/>
      <w:r w:rsidR="004E66E5" w:rsidRPr="001A48D3">
        <w:t xml:space="preserve">  </w:t>
      </w:r>
    </w:p>
    <w:p w:rsidR="001D14AD" w:rsidRPr="001A48D3" w:rsidRDefault="001D14AD" w:rsidP="00C4701A">
      <w:pPr>
        <w:spacing w:after="120"/>
      </w:pPr>
      <w:r w:rsidRPr="001A48D3">
        <w:t xml:space="preserve">Ozone is a secondary pollutant formed from the interaction of hydrocarbons (HCs), often referred to as volatile organic compounds (VOCs), and NOx. </w:t>
      </w:r>
      <w:r w:rsidR="00F24F30" w:rsidRPr="001A48D3">
        <w:t xml:space="preserve"> </w:t>
      </w:r>
      <w:r w:rsidRPr="001A48D3">
        <w:t xml:space="preserve">As with particulates, it is not possible to detect a distinct threshold for ozone, below which no individual would experience a given adverse health </w:t>
      </w:r>
      <w:proofErr w:type="gramStart"/>
      <w:r w:rsidRPr="001A48D3">
        <w:t xml:space="preserve">effect, especially </w:t>
      </w:r>
      <w:r w:rsidR="00AC48C1" w:rsidRPr="001A48D3">
        <w:t>given</w:t>
      </w:r>
      <w:r w:rsidRPr="001A48D3">
        <w:t xml:space="preserve"> some members of a population are</w:t>
      </w:r>
      <w:proofErr w:type="gramEnd"/>
      <w:r w:rsidRPr="001A48D3">
        <w:t xml:space="preserve"> sensitive even </w:t>
      </w:r>
      <w:r w:rsidR="00574026" w:rsidRPr="001A48D3">
        <w:t>at</w:t>
      </w:r>
      <w:r w:rsidRPr="001A48D3">
        <w:t xml:space="preserve"> very low concentrations</w:t>
      </w:r>
      <w:r w:rsidR="0043545D" w:rsidRPr="001A48D3">
        <w:rPr>
          <w:rStyle w:val="FootnoteReference"/>
        </w:rPr>
        <w:footnoteReference w:id="6"/>
      </w:r>
      <w:r w:rsidRPr="001A48D3">
        <w:t>.</w:t>
      </w:r>
    </w:p>
    <w:p w:rsidR="001D14AD" w:rsidRPr="001A48D3" w:rsidRDefault="001D14AD" w:rsidP="00C4701A">
      <w:pPr>
        <w:spacing w:after="120"/>
      </w:pPr>
      <w:r w:rsidRPr="001A48D3">
        <w:t>There are also strong associations between levels of oxides of nitrogen, (usually measured as NO</w:t>
      </w:r>
      <w:r w:rsidRPr="001A48D3">
        <w:rPr>
          <w:vertAlign w:val="subscript"/>
        </w:rPr>
        <w:t>2</w:t>
      </w:r>
      <w:r w:rsidRPr="001A48D3">
        <w:t xml:space="preserve">) and daily mortality, hospital admissions for asthma, chronic obstructive pulmonary disease and heart disease.  </w:t>
      </w:r>
    </w:p>
    <w:p w:rsidR="00616027" w:rsidRPr="001A48D3" w:rsidRDefault="00616027" w:rsidP="00C4701A">
      <w:pPr>
        <w:spacing w:after="120"/>
        <w:rPr>
          <w:rFonts w:cs="Trebuchet MS"/>
        </w:rPr>
      </w:pPr>
      <w:r w:rsidRPr="001A48D3">
        <w:t>A more detailed discussion of the health effects of these urban air pollutants is at Appendix A.</w:t>
      </w:r>
    </w:p>
    <w:p w:rsidR="001D14AD" w:rsidRPr="001A48D3" w:rsidRDefault="001D14AD" w:rsidP="00C4701A">
      <w:pPr>
        <w:spacing w:after="120"/>
      </w:pPr>
      <w:r w:rsidRPr="001A48D3">
        <w:t xml:space="preserve">In June 1998, the NEPC made the National Environment Protection Measure for Ambient Air Quality (the </w:t>
      </w:r>
      <w:r w:rsidR="008720DC" w:rsidRPr="001A48D3">
        <w:t>AAQ</w:t>
      </w:r>
      <w:r w:rsidRPr="001A48D3">
        <w:t xml:space="preserve"> NEPM), which set Australia’s first national ambient air quality standards.  The </w:t>
      </w:r>
      <w:r w:rsidR="008720DC" w:rsidRPr="001A48D3">
        <w:t>AAQ</w:t>
      </w:r>
      <w:r w:rsidRPr="001A48D3">
        <w:t xml:space="preserve"> NEPM sets national standards for the six criteria pollutants specified in Table 1.  The goals for each pollutant set out in Table 1 apply </w:t>
      </w:r>
      <w:r w:rsidRPr="001A48D3">
        <w:lastRenderedPageBreak/>
        <w:t>in the Commonwealth and each State and Territory of Australia and must be met by the year 2008.</w:t>
      </w:r>
    </w:p>
    <w:p w:rsidR="00387CAB" w:rsidRPr="00B52F7D" w:rsidRDefault="00387CAB" w:rsidP="00B52F7D">
      <w:pPr>
        <w:pStyle w:val="Heading5"/>
        <w:spacing w:after="120"/>
        <w:rPr>
          <w:b/>
          <w:sz w:val="24"/>
        </w:rPr>
      </w:pPr>
      <w:bookmarkStart w:id="21" w:name="_Toc430182490"/>
      <w:r w:rsidRPr="00B52F7D">
        <w:rPr>
          <w:b/>
          <w:sz w:val="24"/>
        </w:rPr>
        <w:t>Table 1</w:t>
      </w:r>
      <w:r w:rsidRPr="00B52F7D">
        <w:rPr>
          <w:b/>
          <w:sz w:val="24"/>
        </w:rPr>
        <w:tab/>
      </w:r>
      <w:r w:rsidR="008720DC" w:rsidRPr="00B52F7D">
        <w:rPr>
          <w:b/>
          <w:sz w:val="24"/>
        </w:rPr>
        <w:t xml:space="preserve">Australia’s </w:t>
      </w:r>
      <w:r w:rsidRPr="00B52F7D">
        <w:rPr>
          <w:b/>
          <w:sz w:val="24"/>
        </w:rPr>
        <w:t>Ambient Air Quality NEPM Standards</w:t>
      </w:r>
      <w:bookmarkEnd w:id="21"/>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20" w:firstRow="1" w:lastRow="0" w:firstColumn="0" w:lastColumn="0" w:noHBand="0" w:noVBand="0"/>
      </w:tblPr>
      <w:tblGrid>
        <w:gridCol w:w="2325"/>
        <w:gridCol w:w="1452"/>
        <w:gridCol w:w="2379"/>
        <w:gridCol w:w="3282"/>
      </w:tblGrid>
      <w:tr w:rsidR="001D14AD" w:rsidRPr="001A48D3" w:rsidTr="00C4701A">
        <w:tc>
          <w:tcPr>
            <w:tcW w:w="2325" w:type="dxa"/>
            <w:shd w:val="clear" w:color="auto" w:fill="FFC000"/>
            <w:vAlign w:val="center"/>
          </w:tcPr>
          <w:p w:rsidR="001D14AD" w:rsidRPr="001A48D3" w:rsidRDefault="001D14AD" w:rsidP="00C4701A">
            <w:pPr>
              <w:keepNext/>
              <w:keepLines/>
              <w:spacing w:before="120" w:after="120"/>
              <w:jc w:val="center"/>
              <w:rPr>
                <w:rFonts w:eastAsia="Arial Unicode MS"/>
                <w:b/>
                <w:sz w:val="22"/>
                <w:szCs w:val="22"/>
              </w:rPr>
            </w:pPr>
            <w:r w:rsidRPr="001A48D3">
              <w:rPr>
                <w:b/>
                <w:sz w:val="22"/>
                <w:szCs w:val="22"/>
              </w:rPr>
              <w:t>Criteria Pollutant</w:t>
            </w:r>
          </w:p>
        </w:tc>
        <w:tc>
          <w:tcPr>
            <w:tcW w:w="1452" w:type="dxa"/>
            <w:shd w:val="clear" w:color="auto" w:fill="FFC000"/>
            <w:vAlign w:val="center"/>
          </w:tcPr>
          <w:p w:rsidR="001D14AD" w:rsidRPr="001A48D3" w:rsidRDefault="001D14AD" w:rsidP="00C4701A">
            <w:pPr>
              <w:keepNext/>
              <w:keepLines/>
              <w:spacing w:before="120" w:after="120"/>
              <w:jc w:val="center"/>
              <w:rPr>
                <w:rFonts w:eastAsia="Arial Unicode MS"/>
                <w:b/>
                <w:sz w:val="22"/>
                <w:szCs w:val="22"/>
              </w:rPr>
            </w:pPr>
            <w:r w:rsidRPr="001A48D3">
              <w:rPr>
                <w:b/>
                <w:sz w:val="22"/>
                <w:szCs w:val="22"/>
              </w:rPr>
              <w:t>Averaging Period</w:t>
            </w:r>
          </w:p>
        </w:tc>
        <w:tc>
          <w:tcPr>
            <w:tcW w:w="2379" w:type="dxa"/>
            <w:shd w:val="clear" w:color="auto" w:fill="FFC000"/>
            <w:vAlign w:val="center"/>
          </w:tcPr>
          <w:p w:rsidR="001D14AD" w:rsidRPr="001A48D3" w:rsidRDefault="001D14AD" w:rsidP="00C4701A">
            <w:pPr>
              <w:keepNext/>
              <w:keepLines/>
              <w:spacing w:before="120" w:after="120"/>
              <w:jc w:val="center"/>
              <w:rPr>
                <w:rFonts w:eastAsia="Arial Unicode MS"/>
                <w:b/>
                <w:sz w:val="22"/>
                <w:szCs w:val="22"/>
              </w:rPr>
            </w:pPr>
            <w:r w:rsidRPr="001A48D3">
              <w:rPr>
                <w:b/>
                <w:sz w:val="22"/>
                <w:szCs w:val="22"/>
              </w:rPr>
              <w:t>Maximum (ambient) Concentration</w:t>
            </w:r>
          </w:p>
        </w:tc>
        <w:tc>
          <w:tcPr>
            <w:tcW w:w="3282" w:type="dxa"/>
            <w:shd w:val="clear" w:color="auto" w:fill="FFC000"/>
            <w:vAlign w:val="center"/>
          </w:tcPr>
          <w:p w:rsidR="001D14AD" w:rsidRPr="001A48D3" w:rsidRDefault="001D14AD" w:rsidP="00C4701A">
            <w:pPr>
              <w:keepNext/>
              <w:keepLines/>
              <w:spacing w:before="120" w:after="120"/>
              <w:jc w:val="center"/>
              <w:rPr>
                <w:rFonts w:eastAsia="Arial Unicode MS"/>
                <w:b/>
                <w:sz w:val="22"/>
                <w:szCs w:val="22"/>
              </w:rPr>
            </w:pPr>
            <w:r w:rsidRPr="001A48D3">
              <w:rPr>
                <w:b/>
                <w:sz w:val="22"/>
                <w:szCs w:val="22"/>
              </w:rPr>
              <w:t xml:space="preserve">Air Quality Goal </w:t>
            </w:r>
            <w:r w:rsidRPr="001A48D3">
              <w:rPr>
                <w:b/>
                <w:sz w:val="22"/>
                <w:szCs w:val="22"/>
              </w:rPr>
              <w:br/>
              <w:t xml:space="preserve">(maximum allowable </w:t>
            </w:r>
            <w:proofErr w:type="spellStart"/>
            <w:r w:rsidRPr="001A48D3">
              <w:rPr>
                <w:b/>
                <w:sz w:val="22"/>
                <w:szCs w:val="22"/>
              </w:rPr>
              <w:t>exceedences</w:t>
            </w:r>
            <w:proofErr w:type="spellEnd"/>
            <w:r w:rsidRPr="001A48D3">
              <w:rPr>
                <w:b/>
                <w:sz w:val="22"/>
                <w:szCs w:val="22"/>
              </w:rPr>
              <w:t>)</w:t>
            </w:r>
          </w:p>
        </w:tc>
      </w:tr>
      <w:tr w:rsidR="001D14AD" w:rsidRPr="001A48D3" w:rsidTr="00C4701A">
        <w:tc>
          <w:tcPr>
            <w:tcW w:w="2325" w:type="dxa"/>
            <w:vAlign w:val="center"/>
          </w:tcPr>
          <w:p w:rsidR="001D14AD" w:rsidRPr="001A48D3" w:rsidRDefault="001D14AD" w:rsidP="00C4701A">
            <w:pPr>
              <w:keepNext/>
              <w:spacing w:before="40" w:after="120"/>
              <w:rPr>
                <w:rFonts w:eastAsia="Arial Unicode MS"/>
                <w:sz w:val="22"/>
                <w:szCs w:val="22"/>
              </w:rPr>
            </w:pPr>
            <w:r w:rsidRPr="001A48D3">
              <w:rPr>
                <w:sz w:val="22"/>
                <w:szCs w:val="22"/>
              </w:rPr>
              <w:t>Carbon monoxide (CO)</w:t>
            </w:r>
          </w:p>
        </w:tc>
        <w:tc>
          <w:tcPr>
            <w:tcW w:w="1452" w:type="dxa"/>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8 hours</w:t>
            </w:r>
          </w:p>
        </w:tc>
        <w:tc>
          <w:tcPr>
            <w:tcW w:w="2379" w:type="dxa"/>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9.0ppm</w:t>
            </w:r>
          </w:p>
        </w:tc>
        <w:tc>
          <w:tcPr>
            <w:tcW w:w="3282" w:type="dxa"/>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day a year</w:t>
            </w:r>
          </w:p>
        </w:tc>
      </w:tr>
      <w:tr w:rsidR="001D14AD" w:rsidRPr="001A48D3" w:rsidTr="00C4701A">
        <w:tc>
          <w:tcPr>
            <w:tcW w:w="2325" w:type="dxa"/>
            <w:vMerge w:val="restart"/>
            <w:vAlign w:val="center"/>
          </w:tcPr>
          <w:p w:rsidR="001D14AD" w:rsidRPr="001A48D3" w:rsidRDefault="001D14AD" w:rsidP="00C4701A">
            <w:pPr>
              <w:keepNext/>
              <w:spacing w:before="40" w:after="120"/>
              <w:rPr>
                <w:rFonts w:eastAsia="Arial Unicode MS"/>
                <w:sz w:val="22"/>
                <w:szCs w:val="22"/>
              </w:rPr>
            </w:pPr>
            <w:r w:rsidRPr="001A48D3">
              <w:rPr>
                <w:sz w:val="22"/>
                <w:szCs w:val="22"/>
              </w:rPr>
              <w:t>Nitrogen dioxide (NO</w:t>
            </w:r>
            <w:r w:rsidRPr="001A48D3">
              <w:rPr>
                <w:sz w:val="22"/>
                <w:szCs w:val="22"/>
                <w:vertAlign w:val="subscript"/>
              </w:rPr>
              <w:t>2</w:t>
            </w:r>
            <w:r w:rsidRPr="001A48D3">
              <w:rPr>
                <w:sz w:val="22"/>
                <w:szCs w:val="22"/>
              </w:rPr>
              <w:t>)</w:t>
            </w:r>
          </w:p>
        </w:tc>
        <w:tc>
          <w:tcPr>
            <w:tcW w:w="1452" w:type="dxa"/>
            <w:tcBorders>
              <w:bottom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hour</w:t>
            </w:r>
          </w:p>
        </w:tc>
        <w:tc>
          <w:tcPr>
            <w:tcW w:w="2379" w:type="dxa"/>
            <w:tcBorders>
              <w:bottom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0.12ppm</w:t>
            </w:r>
          </w:p>
        </w:tc>
        <w:tc>
          <w:tcPr>
            <w:tcW w:w="3282" w:type="dxa"/>
            <w:tcBorders>
              <w:bottom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day a year</w:t>
            </w:r>
          </w:p>
        </w:tc>
      </w:tr>
      <w:tr w:rsidR="001D14AD" w:rsidRPr="001A48D3" w:rsidTr="00C4701A">
        <w:tc>
          <w:tcPr>
            <w:tcW w:w="2325" w:type="dxa"/>
            <w:vMerge/>
            <w:vAlign w:val="center"/>
          </w:tcPr>
          <w:p w:rsidR="001D14AD" w:rsidRPr="001A48D3" w:rsidRDefault="001D14AD" w:rsidP="00C4701A">
            <w:pPr>
              <w:keepNext/>
              <w:spacing w:before="40" w:after="120"/>
              <w:rPr>
                <w:rFonts w:eastAsia="Arial Unicode MS"/>
                <w:sz w:val="22"/>
                <w:szCs w:val="22"/>
              </w:rPr>
            </w:pPr>
          </w:p>
        </w:tc>
        <w:tc>
          <w:tcPr>
            <w:tcW w:w="1452" w:type="dxa"/>
            <w:tcBorders>
              <w:top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year</w:t>
            </w:r>
          </w:p>
        </w:tc>
        <w:tc>
          <w:tcPr>
            <w:tcW w:w="2379" w:type="dxa"/>
            <w:tcBorders>
              <w:top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0.03ppm</w:t>
            </w:r>
          </w:p>
        </w:tc>
        <w:tc>
          <w:tcPr>
            <w:tcW w:w="3282" w:type="dxa"/>
            <w:tcBorders>
              <w:top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None</w:t>
            </w:r>
          </w:p>
        </w:tc>
      </w:tr>
      <w:tr w:rsidR="001D14AD" w:rsidRPr="001A48D3" w:rsidTr="00C4701A">
        <w:tc>
          <w:tcPr>
            <w:tcW w:w="2325" w:type="dxa"/>
            <w:vMerge w:val="restart"/>
            <w:vAlign w:val="center"/>
          </w:tcPr>
          <w:p w:rsidR="001D14AD" w:rsidRPr="001A48D3" w:rsidRDefault="001D14AD" w:rsidP="00C4701A">
            <w:pPr>
              <w:keepNext/>
              <w:spacing w:before="40" w:after="120"/>
              <w:rPr>
                <w:rFonts w:eastAsia="Arial Unicode MS"/>
                <w:sz w:val="22"/>
                <w:szCs w:val="22"/>
              </w:rPr>
            </w:pPr>
            <w:r w:rsidRPr="001A48D3">
              <w:rPr>
                <w:sz w:val="22"/>
                <w:szCs w:val="22"/>
              </w:rPr>
              <w:t>Photochemical oxidants (as ozone)</w:t>
            </w:r>
          </w:p>
        </w:tc>
        <w:tc>
          <w:tcPr>
            <w:tcW w:w="1452" w:type="dxa"/>
            <w:tcBorders>
              <w:bottom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hour</w:t>
            </w:r>
          </w:p>
        </w:tc>
        <w:tc>
          <w:tcPr>
            <w:tcW w:w="2379" w:type="dxa"/>
            <w:tcBorders>
              <w:bottom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0.10ppm</w:t>
            </w:r>
          </w:p>
        </w:tc>
        <w:tc>
          <w:tcPr>
            <w:tcW w:w="3282" w:type="dxa"/>
            <w:tcBorders>
              <w:bottom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day a year</w:t>
            </w:r>
          </w:p>
        </w:tc>
      </w:tr>
      <w:tr w:rsidR="001D14AD" w:rsidRPr="001A48D3" w:rsidTr="00C4701A">
        <w:tc>
          <w:tcPr>
            <w:tcW w:w="2325" w:type="dxa"/>
            <w:vMerge/>
            <w:vAlign w:val="center"/>
          </w:tcPr>
          <w:p w:rsidR="001D14AD" w:rsidRPr="001A48D3" w:rsidRDefault="001D14AD" w:rsidP="00C4701A">
            <w:pPr>
              <w:keepNext/>
              <w:spacing w:before="40" w:after="120"/>
              <w:rPr>
                <w:rFonts w:eastAsia="Arial Unicode MS"/>
                <w:sz w:val="22"/>
                <w:szCs w:val="22"/>
              </w:rPr>
            </w:pPr>
          </w:p>
        </w:tc>
        <w:tc>
          <w:tcPr>
            <w:tcW w:w="1452" w:type="dxa"/>
            <w:tcBorders>
              <w:top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4 hours</w:t>
            </w:r>
          </w:p>
        </w:tc>
        <w:tc>
          <w:tcPr>
            <w:tcW w:w="2379" w:type="dxa"/>
            <w:tcBorders>
              <w:top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0.08ppm</w:t>
            </w:r>
          </w:p>
        </w:tc>
        <w:tc>
          <w:tcPr>
            <w:tcW w:w="3282" w:type="dxa"/>
            <w:tcBorders>
              <w:top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day a year</w:t>
            </w:r>
          </w:p>
        </w:tc>
      </w:tr>
      <w:tr w:rsidR="001D14AD" w:rsidRPr="001A48D3" w:rsidTr="00C4701A">
        <w:tc>
          <w:tcPr>
            <w:tcW w:w="2325" w:type="dxa"/>
            <w:vMerge w:val="restart"/>
            <w:vAlign w:val="center"/>
          </w:tcPr>
          <w:p w:rsidR="001D14AD" w:rsidRPr="001A48D3" w:rsidRDefault="001D14AD" w:rsidP="00C4701A">
            <w:pPr>
              <w:keepNext/>
              <w:spacing w:before="40" w:after="120"/>
              <w:rPr>
                <w:rFonts w:eastAsia="Arial Unicode MS"/>
                <w:sz w:val="22"/>
                <w:szCs w:val="22"/>
              </w:rPr>
            </w:pPr>
            <w:proofErr w:type="spellStart"/>
            <w:r w:rsidRPr="001A48D3">
              <w:rPr>
                <w:sz w:val="22"/>
                <w:szCs w:val="22"/>
              </w:rPr>
              <w:t>Sulfur</w:t>
            </w:r>
            <w:proofErr w:type="spellEnd"/>
            <w:r w:rsidRPr="001A48D3">
              <w:rPr>
                <w:sz w:val="22"/>
                <w:szCs w:val="22"/>
              </w:rPr>
              <w:t xml:space="preserve"> dioxide (SO</w:t>
            </w:r>
            <w:r w:rsidRPr="001A48D3">
              <w:rPr>
                <w:sz w:val="22"/>
                <w:szCs w:val="22"/>
                <w:vertAlign w:val="subscript"/>
              </w:rPr>
              <w:t>2</w:t>
            </w:r>
            <w:r w:rsidRPr="001A48D3">
              <w:rPr>
                <w:sz w:val="22"/>
                <w:szCs w:val="22"/>
              </w:rPr>
              <w:t>)</w:t>
            </w:r>
          </w:p>
        </w:tc>
        <w:tc>
          <w:tcPr>
            <w:tcW w:w="1452" w:type="dxa"/>
            <w:tcBorders>
              <w:bottom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hour</w:t>
            </w:r>
          </w:p>
        </w:tc>
        <w:tc>
          <w:tcPr>
            <w:tcW w:w="2379" w:type="dxa"/>
            <w:tcBorders>
              <w:bottom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0.20ppm</w:t>
            </w:r>
          </w:p>
        </w:tc>
        <w:tc>
          <w:tcPr>
            <w:tcW w:w="3282" w:type="dxa"/>
            <w:tcBorders>
              <w:bottom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day a year</w:t>
            </w:r>
          </w:p>
        </w:tc>
      </w:tr>
      <w:tr w:rsidR="001D14AD" w:rsidRPr="001A48D3" w:rsidTr="00C4701A">
        <w:tc>
          <w:tcPr>
            <w:tcW w:w="2325" w:type="dxa"/>
            <w:vMerge/>
            <w:vAlign w:val="center"/>
          </w:tcPr>
          <w:p w:rsidR="001D14AD" w:rsidRPr="001A48D3" w:rsidRDefault="001D14AD" w:rsidP="00C4701A">
            <w:pPr>
              <w:keepNext/>
              <w:spacing w:before="40" w:after="120"/>
              <w:rPr>
                <w:rFonts w:eastAsia="Arial Unicode MS"/>
                <w:sz w:val="22"/>
                <w:szCs w:val="22"/>
              </w:rPr>
            </w:pPr>
          </w:p>
        </w:tc>
        <w:tc>
          <w:tcPr>
            <w:tcW w:w="1452" w:type="dxa"/>
            <w:tcBorders>
              <w:top w:val="nil"/>
              <w:bottom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day</w:t>
            </w:r>
          </w:p>
        </w:tc>
        <w:tc>
          <w:tcPr>
            <w:tcW w:w="2379" w:type="dxa"/>
            <w:tcBorders>
              <w:top w:val="nil"/>
              <w:bottom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0.08ppm</w:t>
            </w:r>
          </w:p>
        </w:tc>
        <w:tc>
          <w:tcPr>
            <w:tcW w:w="3282" w:type="dxa"/>
            <w:tcBorders>
              <w:top w:val="nil"/>
              <w:bottom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day a year</w:t>
            </w:r>
          </w:p>
        </w:tc>
      </w:tr>
      <w:tr w:rsidR="001D14AD" w:rsidRPr="001A48D3" w:rsidTr="00C4701A">
        <w:tc>
          <w:tcPr>
            <w:tcW w:w="2325" w:type="dxa"/>
            <w:vMerge/>
            <w:vAlign w:val="center"/>
          </w:tcPr>
          <w:p w:rsidR="001D14AD" w:rsidRPr="001A48D3" w:rsidRDefault="001D14AD" w:rsidP="00C4701A">
            <w:pPr>
              <w:keepNext/>
              <w:spacing w:before="40" w:after="120"/>
              <w:rPr>
                <w:rFonts w:eastAsia="Arial Unicode MS"/>
                <w:sz w:val="22"/>
                <w:szCs w:val="22"/>
              </w:rPr>
            </w:pPr>
          </w:p>
        </w:tc>
        <w:tc>
          <w:tcPr>
            <w:tcW w:w="1452" w:type="dxa"/>
            <w:tcBorders>
              <w:top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year</w:t>
            </w:r>
          </w:p>
        </w:tc>
        <w:tc>
          <w:tcPr>
            <w:tcW w:w="2379" w:type="dxa"/>
            <w:tcBorders>
              <w:top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0.02ppm</w:t>
            </w:r>
          </w:p>
        </w:tc>
        <w:tc>
          <w:tcPr>
            <w:tcW w:w="3282" w:type="dxa"/>
            <w:tcBorders>
              <w:top w:val="nil"/>
            </w:tcBorders>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None</w:t>
            </w:r>
          </w:p>
        </w:tc>
      </w:tr>
      <w:tr w:rsidR="001D14AD" w:rsidRPr="001A48D3" w:rsidTr="00C4701A">
        <w:tc>
          <w:tcPr>
            <w:tcW w:w="2325" w:type="dxa"/>
            <w:vAlign w:val="center"/>
          </w:tcPr>
          <w:p w:rsidR="001D14AD" w:rsidRPr="001A48D3" w:rsidRDefault="001D14AD" w:rsidP="00C4701A">
            <w:pPr>
              <w:keepNext/>
              <w:spacing w:before="40" w:after="120"/>
              <w:rPr>
                <w:rFonts w:eastAsia="Arial Unicode MS"/>
                <w:sz w:val="22"/>
                <w:szCs w:val="22"/>
              </w:rPr>
            </w:pPr>
            <w:r w:rsidRPr="001A48D3">
              <w:rPr>
                <w:sz w:val="22"/>
                <w:szCs w:val="22"/>
              </w:rPr>
              <w:t>Lead</w:t>
            </w:r>
          </w:p>
        </w:tc>
        <w:tc>
          <w:tcPr>
            <w:tcW w:w="1452" w:type="dxa"/>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year</w:t>
            </w:r>
          </w:p>
        </w:tc>
        <w:tc>
          <w:tcPr>
            <w:tcW w:w="2379" w:type="dxa"/>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0.50 µg/m3</w:t>
            </w:r>
          </w:p>
        </w:tc>
        <w:tc>
          <w:tcPr>
            <w:tcW w:w="3282" w:type="dxa"/>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None</w:t>
            </w:r>
          </w:p>
        </w:tc>
      </w:tr>
      <w:tr w:rsidR="001D14AD" w:rsidRPr="001A48D3" w:rsidTr="00C4701A">
        <w:tc>
          <w:tcPr>
            <w:tcW w:w="2325" w:type="dxa"/>
            <w:vAlign w:val="center"/>
          </w:tcPr>
          <w:p w:rsidR="001D14AD" w:rsidRPr="001A48D3" w:rsidRDefault="001D14AD" w:rsidP="00C4701A">
            <w:pPr>
              <w:keepNext/>
              <w:spacing w:before="40" w:after="120"/>
              <w:rPr>
                <w:rFonts w:eastAsia="Arial Unicode MS"/>
                <w:sz w:val="22"/>
                <w:szCs w:val="22"/>
              </w:rPr>
            </w:pPr>
            <w:r w:rsidRPr="001A48D3">
              <w:rPr>
                <w:sz w:val="22"/>
                <w:szCs w:val="22"/>
              </w:rPr>
              <w:t>Particles as PM</w:t>
            </w:r>
            <w:r w:rsidRPr="001A48D3">
              <w:rPr>
                <w:sz w:val="22"/>
                <w:szCs w:val="22"/>
                <w:vertAlign w:val="subscript"/>
              </w:rPr>
              <w:t>10</w:t>
            </w:r>
            <w:r w:rsidRPr="001A48D3">
              <w:rPr>
                <w:sz w:val="22"/>
                <w:szCs w:val="22"/>
              </w:rPr>
              <w:t xml:space="preserve"> </w:t>
            </w:r>
          </w:p>
        </w:tc>
        <w:tc>
          <w:tcPr>
            <w:tcW w:w="1452" w:type="dxa"/>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1 day</w:t>
            </w:r>
          </w:p>
        </w:tc>
        <w:tc>
          <w:tcPr>
            <w:tcW w:w="2379" w:type="dxa"/>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50 µg/m3</w:t>
            </w:r>
          </w:p>
        </w:tc>
        <w:tc>
          <w:tcPr>
            <w:tcW w:w="3282" w:type="dxa"/>
            <w:vAlign w:val="center"/>
          </w:tcPr>
          <w:p w:rsidR="001D14AD" w:rsidRPr="001A48D3" w:rsidRDefault="001D14AD" w:rsidP="00C4701A">
            <w:pPr>
              <w:keepNext/>
              <w:spacing w:before="40" w:after="120"/>
              <w:jc w:val="center"/>
              <w:rPr>
                <w:rFonts w:eastAsia="Arial Unicode MS"/>
                <w:sz w:val="22"/>
                <w:szCs w:val="22"/>
              </w:rPr>
            </w:pPr>
            <w:r w:rsidRPr="001A48D3">
              <w:rPr>
                <w:sz w:val="22"/>
                <w:szCs w:val="22"/>
              </w:rPr>
              <w:t>5 days a year</w:t>
            </w:r>
          </w:p>
        </w:tc>
      </w:tr>
      <w:tr w:rsidR="001D14AD" w:rsidRPr="001A48D3" w:rsidTr="00C4701A">
        <w:tc>
          <w:tcPr>
            <w:tcW w:w="2325" w:type="dxa"/>
            <w:vAlign w:val="center"/>
          </w:tcPr>
          <w:p w:rsidR="001D14AD" w:rsidRPr="001A48D3" w:rsidRDefault="001D14AD" w:rsidP="00C4701A">
            <w:pPr>
              <w:keepNext/>
              <w:spacing w:before="40" w:after="120"/>
              <w:rPr>
                <w:sz w:val="22"/>
                <w:szCs w:val="22"/>
              </w:rPr>
            </w:pPr>
            <w:r w:rsidRPr="001A48D3">
              <w:rPr>
                <w:sz w:val="22"/>
                <w:szCs w:val="22"/>
              </w:rPr>
              <w:t>Particles as PM</w:t>
            </w:r>
            <w:r w:rsidRPr="001A48D3">
              <w:rPr>
                <w:sz w:val="22"/>
                <w:szCs w:val="22"/>
                <w:vertAlign w:val="subscript"/>
              </w:rPr>
              <w:t>2.5</w:t>
            </w:r>
          </w:p>
        </w:tc>
        <w:tc>
          <w:tcPr>
            <w:tcW w:w="1452" w:type="dxa"/>
            <w:vAlign w:val="center"/>
          </w:tcPr>
          <w:p w:rsidR="001D14AD" w:rsidRPr="001A48D3" w:rsidRDefault="001D14AD" w:rsidP="00C4701A">
            <w:pPr>
              <w:keepNext/>
              <w:spacing w:before="40" w:after="120"/>
              <w:jc w:val="center"/>
              <w:rPr>
                <w:sz w:val="22"/>
                <w:szCs w:val="22"/>
              </w:rPr>
            </w:pPr>
            <w:r w:rsidRPr="001A48D3">
              <w:rPr>
                <w:sz w:val="22"/>
                <w:szCs w:val="22"/>
              </w:rPr>
              <w:t>1 day</w:t>
            </w:r>
            <w:r w:rsidRPr="001A48D3">
              <w:rPr>
                <w:sz w:val="22"/>
                <w:szCs w:val="22"/>
              </w:rPr>
              <w:br/>
              <w:t>1 year</w:t>
            </w:r>
          </w:p>
        </w:tc>
        <w:tc>
          <w:tcPr>
            <w:tcW w:w="2379" w:type="dxa"/>
            <w:vAlign w:val="center"/>
          </w:tcPr>
          <w:p w:rsidR="001D14AD" w:rsidRPr="001A48D3" w:rsidRDefault="001D14AD" w:rsidP="00C4701A">
            <w:pPr>
              <w:keepNext/>
              <w:spacing w:before="40" w:after="120"/>
              <w:jc w:val="center"/>
              <w:rPr>
                <w:sz w:val="22"/>
                <w:szCs w:val="22"/>
              </w:rPr>
            </w:pPr>
            <w:r w:rsidRPr="001A48D3">
              <w:rPr>
                <w:sz w:val="22"/>
                <w:szCs w:val="22"/>
              </w:rPr>
              <w:t>25 µg/m3</w:t>
            </w:r>
            <w:r w:rsidRPr="001A48D3">
              <w:rPr>
                <w:sz w:val="22"/>
                <w:szCs w:val="22"/>
              </w:rPr>
              <w:br/>
              <w:t>8 µg/m3</w:t>
            </w:r>
          </w:p>
        </w:tc>
        <w:tc>
          <w:tcPr>
            <w:tcW w:w="3282" w:type="dxa"/>
            <w:vAlign w:val="center"/>
          </w:tcPr>
          <w:p w:rsidR="001D14AD" w:rsidRPr="001A48D3" w:rsidRDefault="001D14AD" w:rsidP="00C4701A">
            <w:pPr>
              <w:pStyle w:val="xl23"/>
              <w:keepNext/>
              <w:pBdr>
                <w:bottom w:val="none" w:sz="0" w:space="0" w:color="auto"/>
              </w:pBdr>
              <w:spacing w:before="40" w:beforeAutospacing="0" w:after="120" w:afterAutospacing="0"/>
              <w:rPr>
                <w:rFonts w:ascii="Calibri" w:hAnsi="Calibri" w:cs="Times New Roman"/>
                <w:sz w:val="22"/>
                <w:szCs w:val="22"/>
                <w:lang w:val="en-AU"/>
              </w:rPr>
            </w:pPr>
            <w:r w:rsidRPr="001A48D3">
              <w:rPr>
                <w:rFonts w:ascii="Calibri" w:hAnsi="Calibri" w:cs="Times New Roman"/>
                <w:sz w:val="22"/>
                <w:szCs w:val="22"/>
                <w:lang w:val="en-AU"/>
              </w:rPr>
              <w:t>Goal is to gather sufficient data nationally to facilitate a review of the standard as part of the review of this Measure, which commenced in 2005.</w:t>
            </w:r>
          </w:p>
        </w:tc>
      </w:tr>
    </w:tbl>
    <w:p w:rsidR="00C4701A" w:rsidRDefault="00C4701A" w:rsidP="00C4701A">
      <w:pPr>
        <w:spacing w:after="120"/>
      </w:pPr>
    </w:p>
    <w:p w:rsidR="001D14AD" w:rsidRPr="001A48D3" w:rsidRDefault="001D14AD" w:rsidP="00C4701A">
      <w:pPr>
        <w:spacing w:after="120"/>
      </w:pPr>
      <w:r w:rsidRPr="001A48D3">
        <w:t>A review of the AAQ NEPM standards is underway</w:t>
      </w:r>
      <w:r w:rsidR="00E34A09" w:rsidRPr="001A48D3">
        <w:t>, with a discussion paper issued for public comment in July 2010</w:t>
      </w:r>
      <w:r w:rsidR="00320142" w:rsidRPr="001A48D3">
        <w:rPr>
          <w:rStyle w:val="FootnoteReference"/>
        </w:rPr>
        <w:footnoteReference w:id="7"/>
      </w:r>
      <w:r w:rsidR="005C4930" w:rsidRPr="001A48D3">
        <w:t xml:space="preserve">.  </w:t>
      </w:r>
      <w:r w:rsidR="00E34A09" w:rsidRPr="001A48D3">
        <w:t xml:space="preserve">The overall purpose of the review is to evaluate the performance of the current NEPM in achieving the desired environmental outcome, and to recommend any required changes to the NEPM.  While the review is not complete, the discussion paper notes that “there is a large body of information worldwide that identifies that there are health effects associated with exposure to air pollution at levels below the current NEPM standards.”  Consideration of this information </w:t>
      </w:r>
      <w:r w:rsidR="00E34A09" w:rsidRPr="001A48D3">
        <w:rPr>
          <w:u w:val="single"/>
        </w:rPr>
        <w:t>may</w:t>
      </w:r>
      <w:r w:rsidR="00E34A09" w:rsidRPr="001A48D3">
        <w:t xml:space="preserve"> lead to a tightening of the NEPM standards in the future.  While such a change </w:t>
      </w:r>
      <w:r w:rsidR="00C177DD" w:rsidRPr="001A48D3">
        <w:t>would</w:t>
      </w:r>
      <w:r w:rsidR="00E34A09" w:rsidRPr="001A48D3">
        <w:t xml:space="preserve"> not affect the consideration of new vehicle standards directly, </w:t>
      </w:r>
      <w:r w:rsidR="00C177DD" w:rsidRPr="001A48D3">
        <w:t>it would be expected to increase the valuation of health benefits from reductions in air pollutants.</w:t>
      </w:r>
    </w:p>
    <w:p w:rsidR="00387CAB" w:rsidRPr="001A48D3" w:rsidRDefault="00387CAB" w:rsidP="00C4701A">
      <w:pPr>
        <w:spacing w:after="120"/>
      </w:pPr>
    </w:p>
    <w:p w:rsidR="00387CAB" w:rsidRPr="001A48D3" w:rsidRDefault="00636785" w:rsidP="00153F3E">
      <w:pPr>
        <w:pStyle w:val="Heading2"/>
      </w:pPr>
      <w:bookmarkStart w:id="22" w:name="_Toc89846618"/>
      <w:bookmarkStart w:id="23" w:name="_Toc430182491"/>
      <w:r>
        <w:lastRenderedPageBreak/>
        <w:t>1.2</w:t>
      </w:r>
      <w:r>
        <w:tab/>
      </w:r>
      <w:r w:rsidR="00387CAB" w:rsidRPr="001A48D3">
        <w:t>Current Status of Urban Air Quality in Australia</w:t>
      </w:r>
      <w:bookmarkEnd w:id="22"/>
      <w:bookmarkEnd w:id="23"/>
    </w:p>
    <w:p w:rsidR="001D14AD" w:rsidRPr="001A48D3" w:rsidRDefault="00CF7412" w:rsidP="00C4701A">
      <w:pPr>
        <w:spacing w:after="120"/>
      </w:pPr>
      <w:r w:rsidRPr="001A48D3">
        <w:t>As noted earlier, t</w:t>
      </w:r>
      <w:r w:rsidR="001D14AD" w:rsidRPr="001A48D3">
        <w:t xml:space="preserve">he quality of air in Australian cities is generally </w:t>
      </w:r>
      <w:r w:rsidRPr="001A48D3">
        <w:t xml:space="preserve">good, </w:t>
      </w:r>
      <w:r w:rsidR="001D14AD" w:rsidRPr="001A48D3">
        <w:t xml:space="preserve">but some pollutants remain a concern, including some </w:t>
      </w:r>
      <w:r w:rsidRPr="001A48D3">
        <w:t xml:space="preserve">of those </w:t>
      </w:r>
      <w:r w:rsidR="001D14AD" w:rsidRPr="001A48D3">
        <w:t xml:space="preserve">derived from motor vehicle emissions.  The status of </w:t>
      </w:r>
      <w:r w:rsidR="008720DC" w:rsidRPr="001A48D3">
        <w:t>those AAQ</w:t>
      </w:r>
      <w:r w:rsidR="001D14AD" w:rsidRPr="001A48D3">
        <w:t xml:space="preserve"> NEPM criteria pollutants </w:t>
      </w:r>
      <w:r w:rsidR="008720DC" w:rsidRPr="001A48D3">
        <w:t xml:space="preserve">which are </w:t>
      </w:r>
      <w:r w:rsidR="001D14AD" w:rsidRPr="001A48D3">
        <w:t>relevant to the standards being considered in this RIS (</w:t>
      </w:r>
      <w:proofErr w:type="spellStart"/>
      <w:r w:rsidR="008720DC" w:rsidRPr="001A48D3">
        <w:rPr>
          <w:i/>
        </w:rPr>
        <w:t>viz</w:t>
      </w:r>
      <w:proofErr w:type="spellEnd"/>
      <w:r w:rsidR="008720DC" w:rsidRPr="001A48D3">
        <w:t xml:space="preserve"> </w:t>
      </w:r>
      <w:r w:rsidR="001D14AD" w:rsidRPr="001A48D3">
        <w:t xml:space="preserve">ozone and PM) are summarised below.  </w:t>
      </w:r>
    </w:p>
    <w:p w:rsidR="001D14AD" w:rsidRPr="001A48D3" w:rsidRDefault="001D14AD" w:rsidP="00C4701A">
      <w:pPr>
        <w:spacing w:after="120"/>
        <w:rPr>
          <w:u w:val="single"/>
        </w:rPr>
      </w:pPr>
      <w:r w:rsidRPr="001A48D3">
        <w:rPr>
          <w:u w:val="single"/>
        </w:rPr>
        <w:t>Ozone</w:t>
      </w:r>
    </w:p>
    <w:p w:rsidR="001D14AD" w:rsidRPr="001A48D3" w:rsidRDefault="001D14AD" w:rsidP="00C4701A">
      <w:pPr>
        <w:spacing w:after="120"/>
      </w:pPr>
      <w:r w:rsidRPr="001A48D3">
        <w:t xml:space="preserve">High </w:t>
      </w:r>
      <w:r w:rsidR="005C4930" w:rsidRPr="001A48D3">
        <w:t xml:space="preserve">solar </w:t>
      </w:r>
      <w:r w:rsidRPr="001A48D3">
        <w:t xml:space="preserve">radiation levels, high summer temperatures and location in coastal basins surrounded by hills make Australia’s largest urban areas susceptible to photochemical smog and to its recirculation over areas of the </w:t>
      </w:r>
      <w:proofErr w:type="spellStart"/>
      <w:r w:rsidRPr="001A48D3">
        <w:t>airshed</w:t>
      </w:r>
      <w:proofErr w:type="spellEnd"/>
      <w:r w:rsidRPr="001A48D3">
        <w:t xml:space="preserve">.  Ozone concentrations are monitored under </w:t>
      </w:r>
      <w:r w:rsidR="008720DC" w:rsidRPr="001A48D3">
        <w:t>the AAQ</w:t>
      </w:r>
      <w:r w:rsidRPr="001A48D3">
        <w:t xml:space="preserve"> NEPM as an indicator of photochemical smog.  Ozone is not directly emitted from motor vehicles, but direct emissions of HCs and NOx react in the presence of sunlight to form ozone.  Ozone levels remain a problem in Sydney and represent a potential problem in some of our other larger cities.</w:t>
      </w:r>
      <w:r w:rsidR="00E61A06" w:rsidRPr="001A48D3">
        <w:t xml:space="preserve"> </w:t>
      </w:r>
      <w:r w:rsidRPr="001A48D3">
        <w:t xml:space="preserve"> Under unfavourable meteorological conditions, Sydney, Melbourne, Brisbane and Perth can experience ozone levels above the NEPM standards.  </w:t>
      </w:r>
    </w:p>
    <w:p w:rsidR="001D14AD" w:rsidRPr="001A48D3" w:rsidRDefault="001D14AD" w:rsidP="00C4701A">
      <w:pPr>
        <w:spacing w:after="120"/>
        <w:rPr>
          <w:u w:val="single"/>
        </w:rPr>
      </w:pPr>
      <w:r w:rsidRPr="001A48D3">
        <w:rPr>
          <w:u w:val="single"/>
        </w:rPr>
        <w:t>Particulates</w:t>
      </w:r>
    </w:p>
    <w:p w:rsidR="005C4930" w:rsidRPr="001A48D3" w:rsidRDefault="001D14AD" w:rsidP="00B52F7D">
      <w:pPr>
        <w:spacing w:after="120"/>
      </w:pPr>
      <w:r w:rsidRPr="001A48D3">
        <w:t>Particle emissions are monitored in Australian cities, and some regional areas</w:t>
      </w:r>
      <w:r w:rsidR="008720DC" w:rsidRPr="001A48D3">
        <w:t xml:space="preserve"> (</w:t>
      </w:r>
      <w:r w:rsidRPr="001A48D3">
        <w:t>as both PM</w:t>
      </w:r>
      <w:r w:rsidRPr="001A48D3">
        <w:rPr>
          <w:vertAlign w:val="subscript"/>
        </w:rPr>
        <w:t>10</w:t>
      </w:r>
      <w:r w:rsidRPr="001A48D3">
        <w:t xml:space="preserve"> and PM</w:t>
      </w:r>
      <w:r w:rsidRPr="001A48D3">
        <w:rPr>
          <w:vertAlign w:val="subscript"/>
        </w:rPr>
        <w:t>2.5</w:t>
      </w:r>
      <w:r w:rsidR="008720DC" w:rsidRPr="001A48D3">
        <w:t>)</w:t>
      </w:r>
      <w:r w:rsidRPr="001A48D3">
        <w:t xml:space="preserve">.  Multiple </w:t>
      </w:r>
      <w:proofErr w:type="spellStart"/>
      <w:r w:rsidRPr="001A48D3">
        <w:t>exceedences</w:t>
      </w:r>
      <w:proofErr w:type="spellEnd"/>
      <w:r w:rsidRPr="001A48D3">
        <w:t xml:space="preserve"> of the PM</w:t>
      </w:r>
      <w:r w:rsidRPr="001A48D3">
        <w:rPr>
          <w:vertAlign w:val="subscript"/>
        </w:rPr>
        <w:t>10</w:t>
      </w:r>
      <w:r w:rsidRPr="001A48D3">
        <w:t xml:space="preserve"> standard occur every year in many cities in Australia.  In most cases </w:t>
      </w:r>
      <w:r w:rsidR="00CF7412" w:rsidRPr="001A48D3">
        <w:t xml:space="preserve">vehicles are not the </w:t>
      </w:r>
      <w:r w:rsidRPr="001A48D3">
        <w:t xml:space="preserve">principal contributors to the </w:t>
      </w:r>
      <w:r w:rsidR="00096397" w:rsidRPr="001A48D3">
        <w:t>exceedances</w:t>
      </w:r>
      <w:r w:rsidRPr="001A48D3">
        <w:t xml:space="preserve">, </w:t>
      </w:r>
      <w:r w:rsidR="00CF7412" w:rsidRPr="001A48D3">
        <w:t>which are triggered by</w:t>
      </w:r>
      <w:r w:rsidRPr="001A48D3">
        <w:t xml:space="preserve"> extreme weather events such as bushfires and dust storms.  Nevertheless, vehicle emissions, particularly from diesel vehicles, significantly elevate the background level of particulates in the urban atmosphere and can be a significant contributing factor to </w:t>
      </w:r>
      <w:r w:rsidR="00096397" w:rsidRPr="001A48D3">
        <w:t>exceedances</w:t>
      </w:r>
      <w:r w:rsidRPr="001A48D3">
        <w:t xml:space="preserve"> of the standards.  </w:t>
      </w:r>
    </w:p>
    <w:p w:rsidR="00387CAB" w:rsidRPr="001A48D3" w:rsidRDefault="00636785" w:rsidP="00153F3E">
      <w:pPr>
        <w:pStyle w:val="Heading2"/>
      </w:pPr>
      <w:bookmarkStart w:id="24" w:name="_Toc89846619"/>
      <w:bookmarkStart w:id="25" w:name="_Toc430182492"/>
      <w:r>
        <w:t>1.3</w:t>
      </w:r>
      <w:r>
        <w:tab/>
      </w:r>
      <w:r w:rsidR="00387CAB" w:rsidRPr="001A48D3">
        <w:t>Contribution of Motor Vehicles to Air Pollution</w:t>
      </w:r>
      <w:bookmarkEnd w:id="24"/>
      <w:bookmarkEnd w:id="25"/>
      <w:r w:rsidR="00387CAB" w:rsidRPr="001A48D3">
        <w:t xml:space="preserve"> </w:t>
      </w:r>
    </w:p>
    <w:p w:rsidR="001D14AD" w:rsidRPr="001A48D3" w:rsidRDefault="001D14AD" w:rsidP="00C4701A">
      <w:pPr>
        <w:spacing w:after="120"/>
      </w:pPr>
      <w:r w:rsidRPr="001A48D3">
        <w:t>Motor vehicles are one of the major emitters of air pollutants in urban Australia, contributing more than 80% of the CO emissions, 60-70% of the NOx and up to 40% of the HCs.  Light petrol vehicles are the major transport contributors to CO, HC and NOx emissions</w:t>
      </w:r>
      <w:r w:rsidR="00CF4F72" w:rsidRPr="001A48D3">
        <w:t xml:space="preserve">.  Light diesel vehicles, while smaller in number than petrol light vehicles, tend to emit NOx at a higher rate per vehicle relative to petrol vehicles (and are permitted to do so under vehicle emissions standards).  </w:t>
      </w:r>
    </w:p>
    <w:p w:rsidR="00CF7412" w:rsidRPr="001A48D3" w:rsidRDefault="001D14AD" w:rsidP="00C4701A">
      <w:pPr>
        <w:spacing w:after="120"/>
      </w:pPr>
      <w:r w:rsidRPr="001A48D3">
        <w:t xml:space="preserve">While vehicles are not the major source of particle emissions in most urban </w:t>
      </w:r>
      <w:proofErr w:type="spellStart"/>
      <w:r w:rsidRPr="001A48D3">
        <w:t>airsheds</w:t>
      </w:r>
      <w:proofErr w:type="spellEnd"/>
      <w:r w:rsidRPr="001A48D3">
        <w:t xml:space="preserve">, fuel combustion sources such as motor vehicles are a significant contributor to the overall particle load in urban </w:t>
      </w:r>
      <w:proofErr w:type="spellStart"/>
      <w:r w:rsidRPr="001A48D3">
        <w:t>airsheds</w:t>
      </w:r>
      <w:proofErr w:type="spellEnd"/>
      <w:r w:rsidR="00CF7412" w:rsidRPr="001A48D3">
        <w:t>.  I</w:t>
      </w:r>
      <w:r w:rsidRPr="001A48D3">
        <w:t>n Sydney for example, it is estimated that road transport contributes around 12% of annual anthropogenic PM</w:t>
      </w:r>
      <w:r w:rsidRPr="001A48D3">
        <w:rPr>
          <w:vertAlign w:val="subscript"/>
        </w:rPr>
        <w:t>10</w:t>
      </w:r>
      <w:r w:rsidRPr="001A48D3">
        <w:t xml:space="preserve"> emissions</w:t>
      </w:r>
      <w:r w:rsidRPr="001A48D3">
        <w:rPr>
          <w:rStyle w:val="FootnoteReference"/>
        </w:rPr>
        <w:footnoteReference w:id="8"/>
      </w:r>
      <w:r w:rsidRPr="001A48D3">
        <w:t xml:space="preserve">.  </w:t>
      </w:r>
      <w:r w:rsidR="00CF7412" w:rsidRPr="001A48D3">
        <w:t xml:space="preserve">A recent study found motor vehicles contribute about 30% of particulate pollution in </w:t>
      </w:r>
      <w:r w:rsidR="00CF7412" w:rsidRPr="001A48D3">
        <w:lastRenderedPageBreak/>
        <w:t>Melbourne.  PM levels tend to be highest near busy roads and levels sometimes do not meet the PM standards</w:t>
      </w:r>
      <w:r w:rsidR="00CF7412" w:rsidRPr="001A48D3">
        <w:rPr>
          <w:rStyle w:val="FootnoteReference"/>
        </w:rPr>
        <w:footnoteReference w:id="9"/>
      </w:r>
      <w:r w:rsidR="00CF7412" w:rsidRPr="001A48D3">
        <w:t xml:space="preserve">. </w:t>
      </w:r>
    </w:p>
    <w:p w:rsidR="00387CAB" w:rsidRPr="001A48D3" w:rsidRDefault="001D14AD" w:rsidP="00B52F7D">
      <w:pPr>
        <w:spacing w:after="120"/>
      </w:pPr>
      <w:r w:rsidRPr="001A48D3">
        <w:t xml:space="preserve">Significantly, particulate emissions from diesel vehicles are almost all from the </w:t>
      </w:r>
      <w:r w:rsidR="00616027" w:rsidRPr="001A48D3">
        <w:t>ultrafine</w:t>
      </w:r>
      <w:r w:rsidR="00CF7412" w:rsidRPr="001A48D3">
        <w:t xml:space="preserve"> fraction</w:t>
      </w:r>
      <w:r w:rsidRPr="001A48D3">
        <w:t>, and</w:t>
      </w:r>
      <w:r w:rsidR="00CF7412" w:rsidRPr="001A48D3">
        <w:t>, as noted earlier,</w:t>
      </w:r>
      <w:r w:rsidRPr="001A48D3">
        <w:t xml:space="preserve"> it is these fine particles that are considered to present the most significant human health risk.  </w:t>
      </w:r>
    </w:p>
    <w:p w:rsidR="00387CAB" w:rsidRPr="001A48D3" w:rsidRDefault="00636785" w:rsidP="00153F3E">
      <w:pPr>
        <w:pStyle w:val="Heading2"/>
      </w:pPr>
      <w:bookmarkStart w:id="26" w:name="_Toc89846620"/>
      <w:bookmarkStart w:id="27" w:name="_Toc430182493"/>
      <w:r>
        <w:t>1.4</w:t>
      </w:r>
      <w:r>
        <w:tab/>
      </w:r>
      <w:r w:rsidR="00387CAB" w:rsidRPr="001A48D3">
        <w:t xml:space="preserve">Future </w:t>
      </w:r>
      <w:r w:rsidR="00A359D1" w:rsidRPr="001A48D3">
        <w:t xml:space="preserve">Air Pollution </w:t>
      </w:r>
      <w:r w:rsidR="00387CAB" w:rsidRPr="001A48D3">
        <w:t>Trends</w:t>
      </w:r>
      <w:bookmarkEnd w:id="26"/>
      <w:bookmarkEnd w:id="27"/>
    </w:p>
    <w:p w:rsidR="001D14AD" w:rsidRPr="001A48D3" w:rsidRDefault="001D14AD" w:rsidP="00C4701A">
      <w:pPr>
        <w:spacing w:after="120"/>
      </w:pPr>
      <w:r w:rsidRPr="001A48D3">
        <w:t xml:space="preserve">Although there have been considerable improvements in emissions performance of the vehicle fleet in Australia, motor vehicles continue to be </w:t>
      </w:r>
      <w:r w:rsidRPr="001A48D3">
        <w:rPr>
          <w:szCs w:val="24"/>
        </w:rPr>
        <w:t>an ongoing threat to Australian urban air quality, principally due to the growth in vehicle numbers and use.  Recent Bureau of Infrastructure, Transport and Regional Economics estimates (</w:t>
      </w:r>
      <w:r w:rsidR="00AC48C1" w:rsidRPr="001A48D3">
        <w:rPr>
          <w:szCs w:val="24"/>
        </w:rPr>
        <w:t xml:space="preserve">BITRE, </w:t>
      </w:r>
      <w:r w:rsidRPr="001A48D3">
        <w:rPr>
          <w:szCs w:val="24"/>
        </w:rPr>
        <w:t xml:space="preserve">unpublished) imply growth in total motor vehicle travel (VKT) of 45% between 2000 and 2020 under business as usual conditions, with passenger car VKT growth at 37% and light commercials at 73%.  This VKT growth is expected to occur even though projections of car ownership rates (number of cars per person) are predicted to essentially plateau by around 2015. </w:t>
      </w:r>
      <w:r w:rsidR="008D0748" w:rsidRPr="001A48D3">
        <w:rPr>
          <w:szCs w:val="24"/>
        </w:rPr>
        <w:t xml:space="preserve"> </w:t>
      </w:r>
      <w:r w:rsidRPr="001A48D3">
        <w:rPr>
          <w:szCs w:val="24"/>
        </w:rPr>
        <w:t>Some urban regions face</w:t>
      </w:r>
      <w:r w:rsidRPr="001A48D3">
        <w:t xml:space="preserve"> more rapid growth rates, with increasing VKT putting pressure on the capacity to meet some NEPM air quality standards in certain urban </w:t>
      </w:r>
      <w:proofErr w:type="spellStart"/>
      <w:r w:rsidRPr="001A48D3">
        <w:t>airsheds</w:t>
      </w:r>
      <w:proofErr w:type="spellEnd"/>
      <w:r w:rsidRPr="001A48D3">
        <w:t xml:space="preserve">. </w:t>
      </w:r>
    </w:p>
    <w:p w:rsidR="001D14AD" w:rsidRPr="001A48D3" w:rsidRDefault="001D14AD" w:rsidP="00C4701A">
      <w:pPr>
        <w:spacing w:after="120"/>
      </w:pPr>
      <w:r w:rsidRPr="001A48D3">
        <w:t xml:space="preserve">The BITRE emissions projections undertaken for this RIS concluded that under a “business as usual” scenario, which includes the </w:t>
      </w:r>
      <w:r w:rsidR="00AF01A3" w:rsidRPr="001A48D3">
        <w:t>emissions</w:t>
      </w:r>
      <w:r w:rsidRPr="001A48D3">
        <w:t xml:space="preserve"> standards being introduced over the 2006-2010 period, emissions of ozone precursors (HC and NOx) from the light vehicle sector will decline significantly until about 2025, after which they stabilise and then trend slightly upward.  In contrast, PM emissions from light vehicles are expected to fall significantly until about 2016, </w:t>
      </w:r>
      <w:proofErr w:type="gramStart"/>
      <w:r w:rsidRPr="001A48D3">
        <w:t>then</w:t>
      </w:r>
      <w:proofErr w:type="gramEnd"/>
      <w:r w:rsidRPr="001A48D3">
        <w:t xml:space="preserve"> trend steeply upward.  Refer to </w:t>
      </w:r>
      <w:r w:rsidR="00CE0A88" w:rsidRPr="001A48D3">
        <w:t>Section</w:t>
      </w:r>
      <w:r w:rsidRPr="001A48D3">
        <w:t xml:space="preserve"> 3.2 </w:t>
      </w:r>
      <w:r w:rsidR="00CF4F72" w:rsidRPr="001A48D3">
        <w:t xml:space="preserve">for an explanation of these trends and </w:t>
      </w:r>
      <w:r w:rsidRPr="001A48D3">
        <w:t>to view the relevant charts for NOx and PM.</w:t>
      </w:r>
    </w:p>
    <w:p w:rsidR="0067682F" w:rsidRDefault="001D14AD" w:rsidP="00B52F7D">
      <w:pPr>
        <w:spacing w:after="120"/>
      </w:pPr>
      <w:r w:rsidRPr="001A48D3">
        <w:t xml:space="preserve">While these emissions projections demonstrate the benefits of new vehicle emissions standards, the pattern and scale of urban development in parts of Australia, and the associated increase in vehicle use, is clearly having an effect on the long term trends and will place increasing pressure on the challenge to maintain improvements in urban air quality, particularly ozone and PM. </w:t>
      </w:r>
      <w:r w:rsidR="00E61A06" w:rsidRPr="001A48D3">
        <w:t xml:space="preserve"> More specific information on particular </w:t>
      </w:r>
      <w:proofErr w:type="spellStart"/>
      <w:r w:rsidR="00E61A06" w:rsidRPr="001A48D3">
        <w:t>airsheds</w:t>
      </w:r>
      <w:proofErr w:type="spellEnd"/>
      <w:r w:rsidR="00E61A06" w:rsidRPr="001A48D3">
        <w:t xml:space="preserve"> can be found in Appendix A.</w:t>
      </w:r>
    </w:p>
    <w:p w:rsidR="00143FBF" w:rsidRDefault="00143FBF">
      <w:pPr>
        <w:rPr>
          <w:b/>
          <w:sz w:val="28"/>
        </w:rPr>
      </w:pPr>
      <w:r>
        <w:br w:type="page"/>
      </w:r>
    </w:p>
    <w:p w:rsidR="00A359D1" w:rsidRPr="001A48D3" w:rsidRDefault="00143FBF" w:rsidP="00B52F7D">
      <w:pPr>
        <w:pStyle w:val="Heading2"/>
      </w:pPr>
      <w:bookmarkStart w:id="28" w:name="_Toc430182494"/>
      <w:r>
        <w:lastRenderedPageBreak/>
        <w:t>1.5</w:t>
      </w:r>
      <w:r>
        <w:tab/>
      </w:r>
      <w:r w:rsidR="00A359D1" w:rsidRPr="001A48D3">
        <w:t xml:space="preserve">Current </w:t>
      </w:r>
      <w:r w:rsidR="002F1602" w:rsidRPr="001A48D3">
        <w:t xml:space="preserve">Vehicle and Fuel </w:t>
      </w:r>
      <w:r w:rsidR="00A359D1" w:rsidRPr="001A48D3">
        <w:t>Standards</w:t>
      </w:r>
      <w:bookmarkEnd w:id="28"/>
      <w:r w:rsidR="00A359D1" w:rsidRPr="001A48D3">
        <w:t xml:space="preserve"> </w:t>
      </w:r>
    </w:p>
    <w:p w:rsidR="00A359D1" w:rsidRPr="001A48D3" w:rsidRDefault="00143FBF" w:rsidP="00B52F7D">
      <w:pPr>
        <w:pStyle w:val="Heading3"/>
        <w:spacing w:after="120"/>
      </w:pPr>
      <w:bookmarkStart w:id="29" w:name="_Toc430182495"/>
      <w:r>
        <w:t>1.5.1</w:t>
      </w:r>
      <w:r>
        <w:tab/>
      </w:r>
      <w:r w:rsidR="00A359D1" w:rsidRPr="0067682F">
        <w:t xml:space="preserve">Australian </w:t>
      </w:r>
      <w:r w:rsidR="002F1602" w:rsidRPr="0067682F">
        <w:t xml:space="preserve">Vehicle </w:t>
      </w:r>
      <w:r w:rsidR="00A359D1" w:rsidRPr="0067682F">
        <w:t>Standards</w:t>
      </w:r>
      <w:bookmarkEnd w:id="29"/>
    </w:p>
    <w:p w:rsidR="00A359D1" w:rsidRPr="001A48D3" w:rsidRDefault="00A359D1" w:rsidP="00C4701A">
      <w:pPr>
        <w:spacing w:after="120"/>
      </w:pPr>
      <w:r w:rsidRPr="001A48D3">
        <w:t xml:space="preserve">Australia regulates its vehicle emissions through Australian Design Rules (ADRs).  The ADRs set the standards that new vehicles are required to meet prior to their first supply to the Australian market.  The ADRs are enforced as national standards under the </w:t>
      </w:r>
      <w:r w:rsidRPr="001A48D3">
        <w:rPr>
          <w:i/>
        </w:rPr>
        <w:t>Motor Vehicle Standards Act 1989</w:t>
      </w:r>
      <w:r w:rsidRPr="001A48D3">
        <w:t xml:space="preserve"> and set standards for both safety and environmental performance.</w:t>
      </w:r>
    </w:p>
    <w:p w:rsidR="00A359D1" w:rsidRPr="001A48D3" w:rsidRDefault="00A359D1" w:rsidP="00C4701A">
      <w:pPr>
        <w:spacing w:after="120"/>
      </w:pPr>
      <w:r w:rsidRPr="001A48D3">
        <w:t>Australia’s motor vehicle emissions standards have been highly effective in reducing air pollution for more than 30 years.  Over that period, emissions standards have been periodically tightened in response to:</w:t>
      </w:r>
    </w:p>
    <w:p w:rsidR="00A359D1" w:rsidRPr="001A48D3" w:rsidRDefault="00A359D1" w:rsidP="00C4701A">
      <w:pPr>
        <w:numPr>
          <w:ilvl w:val="0"/>
          <w:numId w:val="6"/>
        </w:numPr>
        <w:spacing w:after="120"/>
      </w:pPr>
      <w:r w:rsidRPr="001A48D3">
        <w:t>vehicle technology advances and availability of suitable fuels;</w:t>
      </w:r>
    </w:p>
    <w:p w:rsidR="00A359D1" w:rsidRPr="001A48D3" w:rsidRDefault="00A359D1" w:rsidP="00C4701A">
      <w:pPr>
        <w:numPr>
          <w:ilvl w:val="0"/>
          <w:numId w:val="6"/>
        </w:numPr>
        <w:spacing w:after="120"/>
      </w:pPr>
      <w:r w:rsidRPr="001A48D3">
        <w:t>increasing international concern over air pollution problems, as more scientific knowledge has highlighted detrimental effects on human health; and</w:t>
      </w:r>
    </w:p>
    <w:p w:rsidR="00A359D1" w:rsidRPr="001A48D3" w:rsidRDefault="00A359D1" w:rsidP="00C4701A">
      <w:pPr>
        <w:numPr>
          <w:ilvl w:val="0"/>
          <w:numId w:val="6"/>
        </w:numPr>
        <w:spacing w:after="120"/>
      </w:pPr>
      <w:proofErr w:type="gramStart"/>
      <w:r w:rsidRPr="001A48D3">
        <w:t>increases</w:t>
      </w:r>
      <w:proofErr w:type="gramEnd"/>
      <w:r w:rsidRPr="001A48D3">
        <w:t xml:space="preserve"> in the size of vehicle fleets and vehicle usage, particularly in urban areas. </w:t>
      </w:r>
    </w:p>
    <w:p w:rsidR="00A359D1" w:rsidRPr="001A48D3" w:rsidRDefault="00A359D1" w:rsidP="00C4701A">
      <w:pPr>
        <w:spacing w:after="120"/>
      </w:pPr>
      <w:r w:rsidRPr="001A48D3">
        <w:t>In recent years there has been a greater international alignment with the vehicle emissions standards set by the UN ECE</w:t>
      </w:r>
      <w:r w:rsidRPr="001A48D3">
        <w:rPr>
          <w:rStyle w:val="FootnoteReference"/>
        </w:rPr>
        <w:footnoteReference w:id="10"/>
      </w:r>
      <w:r w:rsidRPr="001A48D3">
        <w:t xml:space="preserve">.  The Australian Government has committed to adopting UN ECE standards as this approach provides the desired environmental outcome and facilitates international trade in motor vehicles.  Globalisation of the motor vehicle </w:t>
      </w:r>
      <w:proofErr w:type="gramStart"/>
      <w:r w:rsidRPr="001A48D3">
        <w:t>industry,</w:t>
      </w:r>
      <w:proofErr w:type="gramEnd"/>
      <w:r w:rsidRPr="001A48D3">
        <w:t xml:space="preserve"> and the small size of the vehicle market in Australia make the development of unique Australian standards undesirable from both a government and manufacturing perspective.  </w:t>
      </w:r>
    </w:p>
    <w:p w:rsidR="00CE2EE7" w:rsidRPr="001A48D3" w:rsidRDefault="007F2C81" w:rsidP="00C4701A">
      <w:pPr>
        <w:spacing w:after="120"/>
      </w:pPr>
      <w:r w:rsidRPr="001A48D3">
        <w:t xml:space="preserve">The UN ECE is the only body for vehicle safety and </w:t>
      </w:r>
      <w:r w:rsidR="00AF01A3" w:rsidRPr="001A48D3">
        <w:t>emissions</w:t>
      </w:r>
      <w:r w:rsidRPr="001A48D3">
        <w:t xml:space="preserve"> regulations that meets the definition of an international standardising body under the World Trade Organisation’s Agreement on Technical Barriers to Trade.  </w:t>
      </w:r>
      <w:r w:rsidR="00A359D1" w:rsidRPr="001A48D3">
        <w:t xml:space="preserve">In April 2000, the Australian Government made a commitment to harmonising with UN ECE vehicle standards by acceding to the UN ECE’s international agreement on harmonised automotive safety and emissions standards (known as the </w:t>
      </w:r>
      <w:r w:rsidR="00A359D1" w:rsidRPr="001A48D3">
        <w:rPr>
          <w:i/>
        </w:rPr>
        <w:t>1958 Agreement</w:t>
      </w:r>
      <w:r w:rsidR="00A359D1" w:rsidRPr="001A48D3">
        <w:t xml:space="preserve">).  </w:t>
      </w:r>
      <w:r w:rsidRPr="001A48D3">
        <w:t xml:space="preserve">The Agreement provides a framework for mutual recognition of automotive product (including vehicles) approved by contracting parties that have adopted the ECE Regulations.  </w:t>
      </w:r>
      <w:r w:rsidR="00CE2EE7" w:rsidRPr="001A48D3">
        <w:t>This agreement does not require Australia to adopt particular UN ECE standards in Australia, but in considering the case for vehicle standards regulation, UN ECE regulations are the preferred approach.</w:t>
      </w:r>
    </w:p>
    <w:p w:rsidR="00A359D1" w:rsidRPr="001A48D3" w:rsidRDefault="007F2C81" w:rsidP="00C4701A">
      <w:pPr>
        <w:spacing w:after="120"/>
      </w:pPr>
      <w:r w:rsidRPr="001A48D3">
        <w:t xml:space="preserve">Through its participation in international activities, the Australian government </w:t>
      </w:r>
      <w:r w:rsidR="00CE2EE7" w:rsidRPr="001A48D3">
        <w:t xml:space="preserve">also </w:t>
      </w:r>
      <w:r w:rsidRPr="001A48D3">
        <w:t xml:space="preserve">promotes the UN ECE as </w:t>
      </w:r>
      <w:r w:rsidRPr="001A48D3">
        <w:rPr>
          <w:i/>
        </w:rPr>
        <w:t>the</w:t>
      </w:r>
      <w:r w:rsidRPr="001A48D3">
        <w:t xml:space="preserve"> international technical regulations setting body for the global automotive industry and encourages other APEC economies to harmonise their national technical regulations with the ECE Regulations.  </w:t>
      </w:r>
      <w:r w:rsidR="00A359D1" w:rsidRPr="001A48D3">
        <w:t>It is not proposed to revisit the arguments regarding the decision to align with UN ECE standards</w:t>
      </w:r>
      <w:r w:rsidR="00B816DA" w:rsidRPr="001A48D3">
        <w:t xml:space="preserve"> in this RIS</w:t>
      </w:r>
      <w:r w:rsidR="00A359D1" w:rsidRPr="001A48D3">
        <w:t xml:space="preserve">, as this has previously been addressed in the 1999 RIS accompanying the package </w:t>
      </w:r>
      <w:r w:rsidR="004E66E5" w:rsidRPr="001A48D3">
        <w:t>of</w:t>
      </w:r>
      <w:r w:rsidR="00A359D1" w:rsidRPr="001A48D3">
        <w:t xml:space="preserve"> 2002/3 standards. </w:t>
      </w:r>
      <w:r w:rsidR="0089586A" w:rsidRPr="001A48D3">
        <w:t xml:space="preserve"> </w:t>
      </w:r>
    </w:p>
    <w:p w:rsidR="00A359D1" w:rsidRPr="001A48D3" w:rsidRDefault="00A359D1" w:rsidP="00C4701A">
      <w:pPr>
        <w:spacing w:after="120"/>
      </w:pPr>
      <w:r w:rsidRPr="001A48D3">
        <w:lastRenderedPageBreak/>
        <w:t>The current ADR for light vehicle emissions set limits on the emissions of hydrocarbons (HCs), oxides of nitrogen (NOx), carbon monoxide (CO) and particulate matter (PM).</w:t>
      </w:r>
    </w:p>
    <w:p w:rsidR="00A359D1" w:rsidRPr="001A48D3" w:rsidRDefault="00A359D1" w:rsidP="00C4701A">
      <w:pPr>
        <w:spacing w:after="120"/>
      </w:pPr>
      <w:r w:rsidRPr="001A48D3">
        <w:t>In 2005, the Australian Government gazetted a package of new emissions ADRs for light and heavy vehicles.  While aligned with the technical requirements of the UN ECE</w:t>
      </w:r>
      <w:r w:rsidRPr="001A48D3">
        <w:rPr>
          <w:i/>
        </w:rPr>
        <w:t xml:space="preserve"> </w:t>
      </w:r>
      <w:r w:rsidRPr="001A48D3">
        <w:t xml:space="preserve">standards, the Australian emissions standards have delayed introduction dates.  </w:t>
      </w:r>
    </w:p>
    <w:p w:rsidR="00A359D1" w:rsidRPr="001A48D3" w:rsidRDefault="00A359D1" w:rsidP="00B52F7D">
      <w:pPr>
        <w:spacing w:after="120"/>
      </w:pPr>
      <w:r w:rsidRPr="001A48D3">
        <w:t>The commencement dates for ADRs commonly involve a 1 year phase in period, which usually requires new models to comply with the standard from the implementation date of 1 January of the first year, with existing models complying by 1 January of the following year.</w:t>
      </w:r>
    </w:p>
    <w:p w:rsidR="00A359D1" w:rsidRPr="001A48D3" w:rsidRDefault="00143FBF" w:rsidP="00C4701A">
      <w:pPr>
        <w:pStyle w:val="Heading3"/>
        <w:spacing w:after="120"/>
      </w:pPr>
      <w:bookmarkStart w:id="30" w:name="_Toc430182496"/>
      <w:r>
        <w:t>1.5.2</w:t>
      </w:r>
      <w:r>
        <w:tab/>
      </w:r>
      <w:r w:rsidR="00A359D1" w:rsidRPr="001A48D3">
        <w:t xml:space="preserve">International </w:t>
      </w:r>
      <w:r w:rsidR="002F1602" w:rsidRPr="001A48D3">
        <w:t>Vehicle Standards</w:t>
      </w:r>
      <w:bookmarkEnd w:id="30"/>
    </w:p>
    <w:p w:rsidR="00024C7C" w:rsidRPr="001A48D3" w:rsidRDefault="00A359D1" w:rsidP="00B52F7D">
      <w:pPr>
        <w:spacing w:after="120"/>
      </w:pPr>
      <w:r w:rsidRPr="001A48D3">
        <w:t>Given Australia’s policy to harmonise with UN ECE vehicle standards, the focus of this analysis is on the costs and benefits of the Euro 5 and Euro 6 emissions standards for light vehicles which will begin to take effect in the EU from September 2009</w:t>
      </w:r>
      <w:r w:rsidRPr="001A48D3">
        <w:rPr>
          <w:rStyle w:val="FootnoteReference"/>
        </w:rPr>
        <w:footnoteReference w:id="11"/>
      </w:r>
      <w:r w:rsidRPr="001A48D3">
        <w:t>.  Table 2 illustrates the planned introduction dates for the Euro 5/6 standards in the EU</w:t>
      </w:r>
      <w:r w:rsidRPr="001A48D3">
        <w:rPr>
          <w:rStyle w:val="FootnoteReference"/>
        </w:rPr>
        <w:footnoteReference w:id="12"/>
      </w:r>
      <w:r w:rsidRPr="001A48D3">
        <w:t>.</w:t>
      </w:r>
    </w:p>
    <w:p w:rsidR="00A359D1" w:rsidRPr="00B52F7D" w:rsidRDefault="00A359D1" w:rsidP="00BF02CD">
      <w:pPr>
        <w:pStyle w:val="Heading5"/>
        <w:spacing w:after="120"/>
        <w:rPr>
          <w:b/>
          <w:sz w:val="24"/>
        </w:rPr>
      </w:pPr>
      <w:bookmarkStart w:id="31" w:name="_Toc430182497"/>
      <w:r w:rsidRPr="00B52F7D">
        <w:rPr>
          <w:b/>
          <w:sz w:val="24"/>
        </w:rPr>
        <w:t>Table 2</w:t>
      </w:r>
      <w:r w:rsidRPr="00B52F7D">
        <w:rPr>
          <w:b/>
          <w:sz w:val="24"/>
        </w:rPr>
        <w:tab/>
        <w:t>Implementation Dates for Euro 5/6 Standards in Europe</w:t>
      </w:r>
      <w:bookmarkEnd w:id="31"/>
    </w:p>
    <w:p w:rsidR="00A359D1" w:rsidRPr="001A48D3" w:rsidRDefault="00A359D1" w:rsidP="00C4701A">
      <w:pPr>
        <w:pBdr>
          <w:top w:val="single" w:sz="4" w:space="1" w:color="auto"/>
          <w:left w:val="single" w:sz="4" w:space="0" w:color="auto"/>
          <w:bottom w:val="single" w:sz="4" w:space="1" w:color="auto"/>
          <w:right w:val="single" w:sz="4" w:space="4" w:color="auto"/>
        </w:pBdr>
        <w:spacing w:after="120"/>
        <w:rPr>
          <w:b/>
          <w:bCs/>
          <w:sz w:val="22"/>
          <w:szCs w:val="22"/>
        </w:rPr>
      </w:pPr>
      <w:r w:rsidRPr="001A48D3">
        <w:rPr>
          <w:b/>
          <w:bCs/>
          <w:sz w:val="22"/>
          <w:szCs w:val="22"/>
        </w:rPr>
        <w:t>Euro 5</w:t>
      </w:r>
    </w:p>
    <w:p w:rsidR="00A359D1" w:rsidRPr="001A48D3" w:rsidRDefault="00A359D1" w:rsidP="00C4701A">
      <w:pPr>
        <w:pBdr>
          <w:top w:val="single" w:sz="4" w:space="1" w:color="auto"/>
          <w:left w:val="single" w:sz="4" w:space="0" w:color="auto"/>
          <w:bottom w:val="single" w:sz="4" w:space="1" w:color="auto"/>
          <w:right w:val="single" w:sz="4" w:space="4" w:color="auto"/>
        </w:pBdr>
        <w:spacing w:after="120"/>
        <w:rPr>
          <w:sz w:val="22"/>
          <w:szCs w:val="22"/>
        </w:rPr>
      </w:pPr>
      <w:r w:rsidRPr="001A48D3">
        <w:rPr>
          <w:sz w:val="22"/>
          <w:szCs w:val="22"/>
        </w:rPr>
        <w:t>1/9/09 – new model passenger cars and N1* vehicles &lt; 1305kg ref mass</w:t>
      </w:r>
    </w:p>
    <w:p w:rsidR="00A359D1" w:rsidRPr="001A48D3" w:rsidRDefault="00A359D1" w:rsidP="00C4701A">
      <w:pPr>
        <w:pBdr>
          <w:top w:val="single" w:sz="4" w:space="1" w:color="auto"/>
          <w:left w:val="single" w:sz="4" w:space="0" w:color="auto"/>
          <w:bottom w:val="single" w:sz="4" w:space="1" w:color="auto"/>
          <w:right w:val="single" w:sz="4" w:space="4" w:color="auto"/>
        </w:pBdr>
        <w:spacing w:after="120"/>
        <w:rPr>
          <w:sz w:val="22"/>
          <w:szCs w:val="22"/>
        </w:rPr>
      </w:pPr>
      <w:r w:rsidRPr="001A48D3">
        <w:rPr>
          <w:sz w:val="22"/>
          <w:szCs w:val="22"/>
        </w:rPr>
        <w:t>1/9/10 – new model commercial vehicles (N1 &gt;1305kg ref mass)</w:t>
      </w:r>
    </w:p>
    <w:p w:rsidR="00A359D1" w:rsidRPr="001A48D3" w:rsidRDefault="00A359D1" w:rsidP="00C4701A">
      <w:pPr>
        <w:pBdr>
          <w:top w:val="single" w:sz="4" w:space="1" w:color="auto"/>
          <w:left w:val="single" w:sz="4" w:space="0" w:color="auto"/>
          <w:bottom w:val="single" w:sz="4" w:space="1" w:color="auto"/>
          <w:right w:val="single" w:sz="4" w:space="4" w:color="auto"/>
        </w:pBdr>
        <w:spacing w:after="120"/>
        <w:rPr>
          <w:sz w:val="22"/>
          <w:szCs w:val="22"/>
        </w:rPr>
      </w:pPr>
      <w:r w:rsidRPr="001A48D3">
        <w:rPr>
          <w:sz w:val="22"/>
          <w:szCs w:val="22"/>
        </w:rPr>
        <w:t>1/1/11 – all model passenger cars and N1 vehicles &lt; 1305kg ref mass</w:t>
      </w:r>
    </w:p>
    <w:p w:rsidR="00A359D1" w:rsidRPr="001A48D3" w:rsidRDefault="00A359D1" w:rsidP="00C4701A">
      <w:pPr>
        <w:pBdr>
          <w:top w:val="single" w:sz="4" w:space="1" w:color="auto"/>
          <w:left w:val="single" w:sz="4" w:space="0" w:color="auto"/>
          <w:bottom w:val="single" w:sz="4" w:space="1" w:color="auto"/>
          <w:right w:val="single" w:sz="4" w:space="4" w:color="auto"/>
        </w:pBdr>
        <w:spacing w:after="120"/>
        <w:rPr>
          <w:sz w:val="22"/>
          <w:szCs w:val="22"/>
        </w:rPr>
      </w:pPr>
      <w:r w:rsidRPr="001A48D3">
        <w:rPr>
          <w:sz w:val="22"/>
          <w:szCs w:val="22"/>
        </w:rPr>
        <w:t>1/1/12 – all model commercial vehicles (N1 &gt;1305kg ref mass)</w:t>
      </w:r>
    </w:p>
    <w:p w:rsidR="00A359D1" w:rsidRPr="001A48D3" w:rsidRDefault="00A359D1" w:rsidP="00C4701A">
      <w:pPr>
        <w:pBdr>
          <w:top w:val="single" w:sz="4" w:space="1" w:color="auto"/>
          <w:left w:val="single" w:sz="4" w:space="0" w:color="auto"/>
          <w:bottom w:val="single" w:sz="4" w:space="1" w:color="auto"/>
          <w:right w:val="single" w:sz="4" w:space="4" w:color="auto"/>
        </w:pBdr>
        <w:spacing w:after="120"/>
        <w:rPr>
          <w:b/>
          <w:bCs/>
          <w:sz w:val="22"/>
          <w:szCs w:val="22"/>
        </w:rPr>
      </w:pPr>
      <w:r w:rsidRPr="001A48D3">
        <w:rPr>
          <w:b/>
          <w:bCs/>
          <w:sz w:val="22"/>
          <w:szCs w:val="22"/>
        </w:rPr>
        <w:t>Euro 6</w:t>
      </w:r>
    </w:p>
    <w:p w:rsidR="00A359D1" w:rsidRPr="001A48D3" w:rsidRDefault="00A359D1" w:rsidP="00C4701A">
      <w:pPr>
        <w:pBdr>
          <w:top w:val="single" w:sz="4" w:space="1" w:color="auto"/>
          <w:left w:val="single" w:sz="4" w:space="0" w:color="auto"/>
          <w:bottom w:val="single" w:sz="4" w:space="1" w:color="auto"/>
          <w:right w:val="single" w:sz="4" w:space="4" w:color="auto"/>
        </w:pBdr>
        <w:spacing w:after="120"/>
        <w:rPr>
          <w:sz w:val="22"/>
          <w:szCs w:val="22"/>
        </w:rPr>
      </w:pPr>
      <w:r w:rsidRPr="001A48D3">
        <w:rPr>
          <w:sz w:val="22"/>
          <w:szCs w:val="22"/>
        </w:rPr>
        <w:t>1/9/14 – new model passenger cars and N1 vehicles &lt; 1305kg ref mass</w:t>
      </w:r>
    </w:p>
    <w:p w:rsidR="00A359D1" w:rsidRPr="001A48D3" w:rsidRDefault="00A359D1" w:rsidP="00C4701A">
      <w:pPr>
        <w:pBdr>
          <w:top w:val="single" w:sz="4" w:space="1" w:color="auto"/>
          <w:left w:val="single" w:sz="4" w:space="0" w:color="auto"/>
          <w:bottom w:val="single" w:sz="4" w:space="1" w:color="auto"/>
          <w:right w:val="single" w:sz="4" w:space="4" w:color="auto"/>
        </w:pBdr>
        <w:spacing w:after="120"/>
        <w:rPr>
          <w:sz w:val="22"/>
          <w:szCs w:val="22"/>
        </w:rPr>
      </w:pPr>
      <w:r w:rsidRPr="001A48D3">
        <w:rPr>
          <w:sz w:val="22"/>
          <w:szCs w:val="22"/>
        </w:rPr>
        <w:t>1/9/15 – new model commercial vehicles (N1 &gt;1305kg ref mass)</w:t>
      </w:r>
    </w:p>
    <w:p w:rsidR="00A359D1" w:rsidRPr="001A48D3" w:rsidRDefault="00A359D1" w:rsidP="00C4701A">
      <w:pPr>
        <w:pBdr>
          <w:top w:val="single" w:sz="4" w:space="1" w:color="auto"/>
          <w:left w:val="single" w:sz="4" w:space="0" w:color="auto"/>
          <w:bottom w:val="single" w:sz="4" w:space="1" w:color="auto"/>
          <w:right w:val="single" w:sz="4" w:space="4" w:color="auto"/>
        </w:pBdr>
        <w:spacing w:after="120"/>
        <w:rPr>
          <w:sz w:val="22"/>
          <w:szCs w:val="22"/>
        </w:rPr>
      </w:pPr>
      <w:r w:rsidRPr="001A48D3">
        <w:rPr>
          <w:sz w:val="22"/>
          <w:szCs w:val="22"/>
        </w:rPr>
        <w:t>1/9/15 – all model passenger cars and N1 vehicles &lt; 1305kg ref mass</w:t>
      </w:r>
    </w:p>
    <w:p w:rsidR="00A359D1" w:rsidRPr="001A48D3" w:rsidRDefault="00A359D1" w:rsidP="00C4701A">
      <w:pPr>
        <w:pBdr>
          <w:top w:val="single" w:sz="4" w:space="1" w:color="auto"/>
          <w:left w:val="single" w:sz="4" w:space="0" w:color="auto"/>
          <w:bottom w:val="single" w:sz="4" w:space="1" w:color="auto"/>
          <w:right w:val="single" w:sz="4" w:space="4" w:color="auto"/>
        </w:pBdr>
        <w:spacing w:after="120"/>
        <w:rPr>
          <w:sz w:val="22"/>
          <w:szCs w:val="22"/>
        </w:rPr>
      </w:pPr>
      <w:r w:rsidRPr="001A48D3">
        <w:rPr>
          <w:sz w:val="22"/>
          <w:szCs w:val="22"/>
        </w:rPr>
        <w:t>1/9/16 – all model commercial vehicles (N1 &gt;1305kg ref mass)</w:t>
      </w:r>
    </w:p>
    <w:p w:rsidR="00A359D1" w:rsidRPr="001A48D3" w:rsidRDefault="00A359D1" w:rsidP="00C4701A">
      <w:pPr>
        <w:spacing w:before="40" w:after="120"/>
        <w:rPr>
          <w:sz w:val="18"/>
          <w:szCs w:val="18"/>
        </w:rPr>
      </w:pPr>
      <w:r w:rsidRPr="001A48D3">
        <w:rPr>
          <w:sz w:val="18"/>
          <w:szCs w:val="18"/>
        </w:rPr>
        <w:t>*N1 = light commercial (goods carrying) vehicles</w:t>
      </w:r>
    </w:p>
    <w:p w:rsidR="00A359D1" w:rsidRPr="001A48D3" w:rsidRDefault="00A359D1" w:rsidP="00C4701A">
      <w:pPr>
        <w:spacing w:after="120"/>
      </w:pPr>
    </w:p>
    <w:p w:rsidR="00A359D1" w:rsidRPr="001A48D3" w:rsidRDefault="00A359D1" w:rsidP="00C4701A">
      <w:pPr>
        <w:spacing w:after="120"/>
      </w:pPr>
      <w:r w:rsidRPr="001A48D3">
        <w:t xml:space="preserve">Table 3 compares the emissions limits in the Euro 5/6 light vehicle standards relative to Euro 4 (the current standard).  </w:t>
      </w:r>
    </w:p>
    <w:p w:rsidR="00F616FF" w:rsidRPr="001A48D3" w:rsidRDefault="00F616FF" w:rsidP="00C4701A">
      <w:pPr>
        <w:spacing w:after="120"/>
        <w:rPr>
          <w:b/>
          <w:sz w:val="22"/>
          <w:szCs w:val="22"/>
        </w:rPr>
      </w:pPr>
    </w:p>
    <w:p w:rsidR="00A359D1" w:rsidRPr="001A48D3" w:rsidRDefault="00A359D1" w:rsidP="00C4701A">
      <w:pPr>
        <w:pStyle w:val="Heading5"/>
        <w:spacing w:after="120"/>
      </w:pPr>
      <w:bookmarkStart w:id="32" w:name="_Toc430182498"/>
      <w:r w:rsidRPr="00B52F7D">
        <w:rPr>
          <w:b/>
          <w:sz w:val="24"/>
        </w:rPr>
        <w:lastRenderedPageBreak/>
        <w:t>Table 3</w:t>
      </w:r>
      <w:r w:rsidRPr="00B52F7D">
        <w:rPr>
          <w:b/>
          <w:sz w:val="24"/>
        </w:rPr>
        <w:tab/>
        <w:t>Comparison of Euro 4, 5 and 6 re: HC, NOx and PM Emission Limits under the Type I Test for Passenger Cars</w:t>
      </w:r>
      <w:r w:rsidRPr="001A48D3">
        <w:rPr>
          <w:rStyle w:val="FootnoteReference"/>
          <w:b/>
          <w:sz w:val="22"/>
          <w:szCs w:val="22"/>
        </w:rPr>
        <w:footnoteReference w:id="13"/>
      </w:r>
      <w:bookmarkEnd w:id="32"/>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1417"/>
        <w:gridCol w:w="1418"/>
        <w:gridCol w:w="992"/>
        <w:gridCol w:w="1134"/>
        <w:gridCol w:w="850"/>
        <w:gridCol w:w="1134"/>
      </w:tblGrid>
      <w:tr w:rsidR="00A359D1" w:rsidRPr="001A48D3" w:rsidTr="00153F3E">
        <w:tc>
          <w:tcPr>
            <w:tcW w:w="1560" w:type="dxa"/>
            <w:vMerge w:val="restart"/>
            <w:shd w:val="clear" w:color="auto" w:fill="FFC000"/>
          </w:tcPr>
          <w:p w:rsidR="00A359D1" w:rsidRPr="001A48D3" w:rsidRDefault="00A359D1" w:rsidP="00C4701A">
            <w:pPr>
              <w:spacing w:after="120"/>
              <w:rPr>
                <w:b/>
              </w:rPr>
            </w:pPr>
            <w:r w:rsidRPr="001A48D3">
              <w:rPr>
                <w:b/>
              </w:rPr>
              <w:t>Standard</w:t>
            </w:r>
          </w:p>
        </w:tc>
        <w:tc>
          <w:tcPr>
            <w:tcW w:w="6945" w:type="dxa"/>
            <w:gridSpan w:val="6"/>
            <w:shd w:val="clear" w:color="auto" w:fill="FFC000"/>
          </w:tcPr>
          <w:p w:rsidR="00A359D1" w:rsidRPr="001A48D3" w:rsidRDefault="00A359D1" w:rsidP="00C4701A">
            <w:pPr>
              <w:spacing w:after="120"/>
              <w:rPr>
                <w:b/>
              </w:rPr>
            </w:pPr>
            <w:r w:rsidRPr="001A48D3">
              <w:rPr>
                <w:b/>
              </w:rPr>
              <w:t>Limits on Emissions (Type I Test)</w:t>
            </w:r>
          </w:p>
        </w:tc>
      </w:tr>
      <w:tr w:rsidR="00A359D1" w:rsidRPr="001A48D3" w:rsidTr="00153F3E">
        <w:tc>
          <w:tcPr>
            <w:tcW w:w="1560" w:type="dxa"/>
            <w:vMerge/>
            <w:shd w:val="clear" w:color="auto" w:fill="FFC000"/>
          </w:tcPr>
          <w:p w:rsidR="00A359D1" w:rsidRPr="001A48D3" w:rsidRDefault="00A359D1" w:rsidP="00C4701A">
            <w:pPr>
              <w:spacing w:after="120"/>
            </w:pPr>
          </w:p>
        </w:tc>
        <w:tc>
          <w:tcPr>
            <w:tcW w:w="2835" w:type="dxa"/>
            <w:gridSpan w:val="2"/>
            <w:shd w:val="clear" w:color="auto" w:fill="FFC000"/>
          </w:tcPr>
          <w:p w:rsidR="00A359D1" w:rsidRPr="001A48D3" w:rsidRDefault="00A359D1" w:rsidP="00C4701A">
            <w:pPr>
              <w:spacing w:after="120"/>
              <w:rPr>
                <w:b/>
              </w:rPr>
            </w:pPr>
            <w:r w:rsidRPr="001A48D3">
              <w:rPr>
                <w:b/>
              </w:rPr>
              <w:t>Petrol, LPG &amp; NG Vehicles</w:t>
            </w:r>
          </w:p>
        </w:tc>
        <w:tc>
          <w:tcPr>
            <w:tcW w:w="4110" w:type="dxa"/>
            <w:gridSpan w:val="4"/>
            <w:shd w:val="clear" w:color="auto" w:fill="FFC000"/>
          </w:tcPr>
          <w:p w:rsidR="00A359D1" w:rsidRPr="001A48D3" w:rsidRDefault="00A359D1" w:rsidP="00C4701A">
            <w:pPr>
              <w:spacing w:after="120"/>
              <w:rPr>
                <w:b/>
              </w:rPr>
            </w:pPr>
            <w:r w:rsidRPr="001A48D3">
              <w:rPr>
                <w:b/>
              </w:rPr>
              <w:t>Diesel Vehicles</w:t>
            </w:r>
          </w:p>
        </w:tc>
      </w:tr>
      <w:tr w:rsidR="00A359D1" w:rsidRPr="001A48D3" w:rsidTr="00153F3E">
        <w:tc>
          <w:tcPr>
            <w:tcW w:w="1560" w:type="dxa"/>
            <w:vMerge/>
          </w:tcPr>
          <w:p w:rsidR="00A359D1" w:rsidRPr="001A48D3" w:rsidRDefault="00A359D1" w:rsidP="00C4701A">
            <w:pPr>
              <w:spacing w:after="120"/>
            </w:pPr>
          </w:p>
        </w:tc>
        <w:tc>
          <w:tcPr>
            <w:tcW w:w="1417" w:type="dxa"/>
            <w:shd w:val="clear" w:color="auto" w:fill="FFC000"/>
          </w:tcPr>
          <w:p w:rsidR="00A359D1" w:rsidRPr="001A48D3" w:rsidRDefault="00A359D1" w:rsidP="00C4701A">
            <w:pPr>
              <w:spacing w:after="120"/>
              <w:rPr>
                <w:b/>
              </w:rPr>
            </w:pPr>
            <w:r w:rsidRPr="001A48D3">
              <w:rPr>
                <w:b/>
              </w:rPr>
              <w:t>HC</w:t>
            </w:r>
          </w:p>
          <w:p w:rsidR="00A359D1" w:rsidRPr="001A48D3" w:rsidRDefault="00A359D1" w:rsidP="00C4701A">
            <w:pPr>
              <w:spacing w:after="120"/>
              <w:rPr>
                <w:b/>
              </w:rPr>
            </w:pPr>
            <w:r w:rsidRPr="001A48D3">
              <w:rPr>
                <w:b/>
              </w:rPr>
              <w:t>(g/km)</w:t>
            </w:r>
          </w:p>
        </w:tc>
        <w:tc>
          <w:tcPr>
            <w:tcW w:w="1418" w:type="dxa"/>
            <w:shd w:val="clear" w:color="auto" w:fill="FFC000"/>
          </w:tcPr>
          <w:p w:rsidR="00A359D1" w:rsidRPr="001A48D3" w:rsidRDefault="00A359D1" w:rsidP="00C4701A">
            <w:pPr>
              <w:spacing w:after="120"/>
              <w:rPr>
                <w:b/>
              </w:rPr>
            </w:pPr>
            <w:r w:rsidRPr="001A48D3">
              <w:rPr>
                <w:b/>
              </w:rPr>
              <w:t>NOx</w:t>
            </w:r>
          </w:p>
          <w:p w:rsidR="00A359D1" w:rsidRPr="001A48D3" w:rsidRDefault="00A359D1" w:rsidP="00C4701A">
            <w:pPr>
              <w:spacing w:after="120"/>
              <w:rPr>
                <w:b/>
              </w:rPr>
            </w:pPr>
            <w:r w:rsidRPr="001A48D3">
              <w:rPr>
                <w:b/>
              </w:rPr>
              <w:t>(g/km)</w:t>
            </w:r>
          </w:p>
        </w:tc>
        <w:tc>
          <w:tcPr>
            <w:tcW w:w="992" w:type="dxa"/>
            <w:shd w:val="clear" w:color="auto" w:fill="FFC000"/>
          </w:tcPr>
          <w:p w:rsidR="00A359D1" w:rsidRPr="001A48D3" w:rsidRDefault="00A359D1" w:rsidP="00C4701A">
            <w:pPr>
              <w:spacing w:after="120"/>
              <w:rPr>
                <w:b/>
              </w:rPr>
            </w:pPr>
            <w:r w:rsidRPr="001A48D3">
              <w:rPr>
                <w:b/>
              </w:rPr>
              <w:t>HC</w:t>
            </w:r>
          </w:p>
          <w:p w:rsidR="00A359D1" w:rsidRPr="001A48D3" w:rsidRDefault="00A359D1" w:rsidP="00C4701A">
            <w:pPr>
              <w:spacing w:after="120"/>
              <w:rPr>
                <w:b/>
              </w:rPr>
            </w:pPr>
            <w:r w:rsidRPr="001A48D3">
              <w:rPr>
                <w:b/>
              </w:rPr>
              <w:t>(g/km)</w:t>
            </w:r>
          </w:p>
        </w:tc>
        <w:tc>
          <w:tcPr>
            <w:tcW w:w="1134" w:type="dxa"/>
            <w:shd w:val="clear" w:color="auto" w:fill="FFC000"/>
          </w:tcPr>
          <w:p w:rsidR="00A359D1" w:rsidRPr="001A48D3" w:rsidRDefault="00A359D1" w:rsidP="00C4701A">
            <w:pPr>
              <w:spacing w:after="120"/>
              <w:rPr>
                <w:b/>
              </w:rPr>
            </w:pPr>
            <w:r w:rsidRPr="001A48D3">
              <w:rPr>
                <w:b/>
              </w:rPr>
              <w:t>NOx</w:t>
            </w:r>
          </w:p>
          <w:p w:rsidR="00A359D1" w:rsidRPr="001A48D3" w:rsidRDefault="00A359D1" w:rsidP="00C4701A">
            <w:pPr>
              <w:spacing w:after="120"/>
              <w:rPr>
                <w:b/>
              </w:rPr>
            </w:pPr>
            <w:r w:rsidRPr="001A48D3">
              <w:rPr>
                <w:b/>
              </w:rPr>
              <w:t>(g/km)</w:t>
            </w:r>
          </w:p>
        </w:tc>
        <w:tc>
          <w:tcPr>
            <w:tcW w:w="850" w:type="dxa"/>
            <w:shd w:val="clear" w:color="auto" w:fill="FFC000"/>
          </w:tcPr>
          <w:p w:rsidR="00A359D1" w:rsidRPr="001A48D3" w:rsidRDefault="00A359D1" w:rsidP="00C4701A">
            <w:pPr>
              <w:spacing w:after="120"/>
              <w:rPr>
                <w:b/>
              </w:rPr>
            </w:pPr>
            <w:r w:rsidRPr="001A48D3">
              <w:rPr>
                <w:b/>
              </w:rPr>
              <w:t>PM (g/km)</w:t>
            </w:r>
          </w:p>
        </w:tc>
        <w:tc>
          <w:tcPr>
            <w:tcW w:w="1134" w:type="dxa"/>
            <w:shd w:val="clear" w:color="auto" w:fill="FFC000"/>
          </w:tcPr>
          <w:p w:rsidR="00A359D1" w:rsidRPr="001A48D3" w:rsidRDefault="00A359D1" w:rsidP="00C4701A">
            <w:pPr>
              <w:spacing w:after="120"/>
              <w:rPr>
                <w:b/>
              </w:rPr>
            </w:pPr>
            <w:r w:rsidRPr="001A48D3">
              <w:rPr>
                <w:b/>
              </w:rPr>
              <w:t>Particles (no.)</w:t>
            </w:r>
          </w:p>
        </w:tc>
      </w:tr>
      <w:tr w:rsidR="00A359D1" w:rsidRPr="001A48D3" w:rsidTr="00153F3E">
        <w:tc>
          <w:tcPr>
            <w:tcW w:w="1560" w:type="dxa"/>
          </w:tcPr>
          <w:p w:rsidR="00A359D1" w:rsidRPr="001A48D3" w:rsidRDefault="00A359D1" w:rsidP="00C4701A">
            <w:pPr>
              <w:spacing w:after="120"/>
            </w:pPr>
            <w:r w:rsidRPr="001A48D3">
              <w:rPr>
                <w:i/>
              </w:rPr>
              <w:t>Euro 4</w:t>
            </w:r>
          </w:p>
        </w:tc>
        <w:tc>
          <w:tcPr>
            <w:tcW w:w="1417" w:type="dxa"/>
          </w:tcPr>
          <w:p w:rsidR="00A359D1" w:rsidRPr="001A48D3" w:rsidRDefault="00A359D1" w:rsidP="00C4701A">
            <w:pPr>
              <w:spacing w:after="120"/>
            </w:pPr>
            <w:r w:rsidRPr="001A48D3">
              <w:t>0.1</w:t>
            </w:r>
          </w:p>
        </w:tc>
        <w:tc>
          <w:tcPr>
            <w:tcW w:w="1418" w:type="dxa"/>
          </w:tcPr>
          <w:p w:rsidR="00A359D1" w:rsidRPr="001A48D3" w:rsidRDefault="00A359D1" w:rsidP="00C4701A">
            <w:pPr>
              <w:spacing w:after="120"/>
            </w:pPr>
            <w:r w:rsidRPr="001A48D3">
              <w:t>0.08</w:t>
            </w:r>
          </w:p>
        </w:tc>
        <w:tc>
          <w:tcPr>
            <w:tcW w:w="992" w:type="dxa"/>
          </w:tcPr>
          <w:p w:rsidR="00A359D1" w:rsidRPr="001A48D3" w:rsidRDefault="00A359D1" w:rsidP="00C4701A">
            <w:pPr>
              <w:spacing w:after="120"/>
            </w:pPr>
            <w:r w:rsidRPr="001A48D3">
              <w:t>0.045</w:t>
            </w:r>
          </w:p>
        </w:tc>
        <w:tc>
          <w:tcPr>
            <w:tcW w:w="1134" w:type="dxa"/>
          </w:tcPr>
          <w:p w:rsidR="00A359D1" w:rsidRPr="001A48D3" w:rsidRDefault="00A359D1" w:rsidP="00C4701A">
            <w:pPr>
              <w:spacing w:after="120"/>
            </w:pPr>
            <w:r w:rsidRPr="001A48D3">
              <w:t>0.25</w:t>
            </w:r>
          </w:p>
        </w:tc>
        <w:tc>
          <w:tcPr>
            <w:tcW w:w="850" w:type="dxa"/>
          </w:tcPr>
          <w:p w:rsidR="00A359D1" w:rsidRPr="001A48D3" w:rsidRDefault="00A359D1" w:rsidP="00C4701A">
            <w:pPr>
              <w:spacing w:after="120"/>
            </w:pPr>
            <w:r w:rsidRPr="001A48D3">
              <w:t>0.25</w:t>
            </w:r>
          </w:p>
        </w:tc>
        <w:tc>
          <w:tcPr>
            <w:tcW w:w="1134" w:type="dxa"/>
          </w:tcPr>
          <w:p w:rsidR="00A359D1" w:rsidRPr="001A48D3" w:rsidRDefault="00A359D1" w:rsidP="00C4701A">
            <w:pPr>
              <w:spacing w:after="120"/>
            </w:pPr>
            <w:r w:rsidRPr="001A48D3">
              <w:t>NA</w:t>
            </w:r>
          </w:p>
        </w:tc>
      </w:tr>
      <w:tr w:rsidR="00A359D1" w:rsidRPr="001A48D3" w:rsidTr="00153F3E">
        <w:tc>
          <w:tcPr>
            <w:tcW w:w="1560" w:type="dxa"/>
          </w:tcPr>
          <w:p w:rsidR="00A359D1" w:rsidRPr="001A48D3" w:rsidRDefault="00A359D1" w:rsidP="00C4701A">
            <w:pPr>
              <w:spacing w:after="120"/>
            </w:pPr>
            <w:r w:rsidRPr="001A48D3">
              <w:rPr>
                <w:i/>
              </w:rPr>
              <w:t>Euro 5</w:t>
            </w:r>
          </w:p>
        </w:tc>
        <w:tc>
          <w:tcPr>
            <w:tcW w:w="1417" w:type="dxa"/>
          </w:tcPr>
          <w:p w:rsidR="00A359D1" w:rsidRPr="001A48D3" w:rsidRDefault="00A359D1" w:rsidP="00C4701A">
            <w:pPr>
              <w:spacing w:after="120"/>
            </w:pPr>
            <w:r w:rsidRPr="001A48D3">
              <w:t>0.1</w:t>
            </w:r>
          </w:p>
        </w:tc>
        <w:tc>
          <w:tcPr>
            <w:tcW w:w="1418" w:type="dxa"/>
          </w:tcPr>
          <w:p w:rsidR="00A359D1" w:rsidRPr="001A48D3" w:rsidRDefault="00A359D1" w:rsidP="00C4701A">
            <w:pPr>
              <w:spacing w:after="120"/>
            </w:pPr>
            <w:r w:rsidRPr="001A48D3">
              <w:t>0.06</w:t>
            </w:r>
          </w:p>
        </w:tc>
        <w:tc>
          <w:tcPr>
            <w:tcW w:w="992" w:type="dxa"/>
          </w:tcPr>
          <w:p w:rsidR="00A359D1" w:rsidRPr="001A48D3" w:rsidRDefault="00A359D1" w:rsidP="00C4701A">
            <w:pPr>
              <w:spacing w:after="120"/>
            </w:pPr>
            <w:r w:rsidRPr="001A48D3">
              <w:t>0.035</w:t>
            </w:r>
          </w:p>
        </w:tc>
        <w:tc>
          <w:tcPr>
            <w:tcW w:w="1134" w:type="dxa"/>
          </w:tcPr>
          <w:p w:rsidR="00A359D1" w:rsidRPr="001A48D3" w:rsidRDefault="00A359D1" w:rsidP="00C4701A">
            <w:pPr>
              <w:spacing w:after="120"/>
            </w:pPr>
            <w:r w:rsidRPr="001A48D3">
              <w:t>0.18</w:t>
            </w:r>
          </w:p>
        </w:tc>
        <w:tc>
          <w:tcPr>
            <w:tcW w:w="850" w:type="dxa"/>
          </w:tcPr>
          <w:p w:rsidR="00A359D1" w:rsidRPr="001A48D3" w:rsidRDefault="00A359D1" w:rsidP="00C4701A">
            <w:pPr>
              <w:spacing w:after="120"/>
            </w:pPr>
            <w:r w:rsidRPr="001A48D3">
              <w:t>0.005</w:t>
            </w:r>
          </w:p>
        </w:tc>
        <w:tc>
          <w:tcPr>
            <w:tcW w:w="1134" w:type="dxa"/>
          </w:tcPr>
          <w:p w:rsidR="00A359D1" w:rsidRPr="001A48D3" w:rsidRDefault="00A359D1" w:rsidP="00C4701A">
            <w:pPr>
              <w:spacing w:after="120"/>
            </w:pPr>
            <w:r w:rsidRPr="001A48D3">
              <w:t>6x10</w:t>
            </w:r>
            <w:r w:rsidRPr="001A48D3">
              <w:rPr>
                <w:vertAlign w:val="superscript"/>
              </w:rPr>
              <w:t>11</w:t>
            </w:r>
          </w:p>
        </w:tc>
      </w:tr>
      <w:tr w:rsidR="00A359D1" w:rsidRPr="001A48D3" w:rsidTr="00153F3E">
        <w:tc>
          <w:tcPr>
            <w:tcW w:w="1560" w:type="dxa"/>
          </w:tcPr>
          <w:p w:rsidR="00A359D1" w:rsidRPr="001A48D3" w:rsidRDefault="00A359D1" w:rsidP="00C4701A">
            <w:pPr>
              <w:spacing w:after="120"/>
              <w:rPr>
                <w:i/>
              </w:rPr>
            </w:pPr>
            <w:r w:rsidRPr="001A48D3">
              <w:rPr>
                <w:i/>
              </w:rPr>
              <w:t>Euro 6</w:t>
            </w:r>
          </w:p>
        </w:tc>
        <w:tc>
          <w:tcPr>
            <w:tcW w:w="1417" w:type="dxa"/>
          </w:tcPr>
          <w:p w:rsidR="00A359D1" w:rsidRPr="001A48D3" w:rsidRDefault="00A359D1" w:rsidP="00C4701A">
            <w:pPr>
              <w:spacing w:after="120"/>
            </w:pPr>
            <w:r w:rsidRPr="001A48D3">
              <w:t>0.1</w:t>
            </w:r>
          </w:p>
        </w:tc>
        <w:tc>
          <w:tcPr>
            <w:tcW w:w="1418" w:type="dxa"/>
          </w:tcPr>
          <w:p w:rsidR="00A359D1" w:rsidRPr="001A48D3" w:rsidRDefault="00A359D1" w:rsidP="00C4701A">
            <w:pPr>
              <w:spacing w:after="120"/>
            </w:pPr>
            <w:r w:rsidRPr="001A48D3">
              <w:t>0.06</w:t>
            </w:r>
          </w:p>
        </w:tc>
        <w:tc>
          <w:tcPr>
            <w:tcW w:w="992" w:type="dxa"/>
          </w:tcPr>
          <w:p w:rsidR="00A359D1" w:rsidRPr="001A48D3" w:rsidRDefault="00A359D1" w:rsidP="00C4701A">
            <w:pPr>
              <w:spacing w:after="120"/>
            </w:pPr>
            <w:r w:rsidRPr="001A48D3">
              <w:t>0.026</w:t>
            </w:r>
          </w:p>
        </w:tc>
        <w:tc>
          <w:tcPr>
            <w:tcW w:w="1134" w:type="dxa"/>
          </w:tcPr>
          <w:p w:rsidR="00A359D1" w:rsidRPr="001A48D3" w:rsidRDefault="00A359D1" w:rsidP="00C4701A">
            <w:pPr>
              <w:spacing w:after="120"/>
            </w:pPr>
            <w:r w:rsidRPr="001A48D3">
              <w:t>0.08</w:t>
            </w:r>
          </w:p>
        </w:tc>
        <w:tc>
          <w:tcPr>
            <w:tcW w:w="850" w:type="dxa"/>
          </w:tcPr>
          <w:p w:rsidR="00A359D1" w:rsidRPr="001A48D3" w:rsidRDefault="00A359D1" w:rsidP="00C4701A">
            <w:pPr>
              <w:spacing w:after="120"/>
            </w:pPr>
            <w:r w:rsidRPr="001A48D3">
              <w:t>0.005</w:t>
            </w:r>
          </w:p>
        </w:tc>
        <w:tc>
          <w:tcPr>
            <w:tcW w:w="1134" w:type="dxa"/>
          </w:tcPr>
          <w:p w:rsidR="00A359D1" w:rsidRPr="001A48D3" w:rsidRDefault="00A359D1" w:rsidP="00C4701A">
            <w:pPr>
              <w:spacing w:after="120"/>
            </w:pPr>
            <w:r w:rsidRPr="001A48D3">
              <w:t>6x10</w:t>
            </w:r>
            <w:r w:rsidRPr="001A48D3">
              <w:rPr>
                <w:vertAlign w:val="superscript"/>
              </w:rPr>
              <w:t>11</w:t>
            </w:r>
          </w:p>
        </w:tc>
      </w:tr>
    </w:tbl>
    <w:p w:rsidR="00BA1B94" w:rsidRDefault="00BA1B94" w:rsidP="00C4701A">
      <w:pPr>
        <w:spacing w:after="120"/>
      </w:pPr>
    </w:p>
    <w:p w:rsidR="00A359D1" w:rsidRPr="001A48D3" w:rsidRDefault="00A359D1" w:rsidP="00C4701A">
      <w:pPr>
        <w:spacing w:after="120"/>
      </w:pPr>
      <w:r w:rsidRPr="001A48D3">
        <w:t>In addition to lowering the HC, NOX and PM emissions limits under the Type I test, the Euro 5/6 standards:</w:t>
      </w:r>
    </w:p>
    <w:p w:rsidR="00A359D1" w:rsidRPr="001A48D3" w:rsidRDefault="00A359D1" w:rsidP="00C4701A">
      <w:pPr>
        <w:numPr>
          <w:ilvl w:val="0"/>
          <w:numId w:val="13"/>
        </w:numPr>
        <w:spacing w:after="120"/>
      </w:pPr>
      <w:r w:rsidRPr="001A48D3">
        <w:t xml:space="preserve">apply longer durability requirements for </w:t>
      </w:r>
      <w:r w:rsidR="00AF01A3" w:rsidRPr="001A48D3">
        <w:t>emissions</w:t>
      </w:r>
      <w:r w:rsidRPr="001A48D3">
        <w:t xml:space="preserve"> control systems (increased to 160,000km from 100,000km in Euro 4) which are designed to more closely align with the expected life of vehicles and ensure that these systems continue to function throughout the life of the vehicle;</w:t>
      </w:r>
    </w:p>
    <w:p w:rsidR="00A359D1" w:rsidRPr="001A48D3" w:rsidRDefault="00A359D1" w:rsidP="00C4701A">
      <w:pPr>
        <w:numPr>
          <w:ilvl w:val="0"/>
          <w:numId w:val="13"/>
        </w:numPr>
        <w:spacing w:after="120"/>
      </w:pPr>
      <w:r w:rsidRPr="001A48D3">
        <w:t>enhance the on-board diagnostics (OBD) requirements to provide greater assurance of in-service compliance;</w:t>
      </w:r>
    </w:p>
    <w:p w:rsidR="00A359D1" w:rsidRPr="001A48D3" w:rsidRDefault="00A359D1" w:rsidP="00C4701A">
      <w:pPr>
        <w:numPr>
          <w:ilvl w:val="0"/>
          <w:numId w:val="13"/>
        </w:numPr>
        <w:spacing w:after="120"/>
      </w:pPr>
      <w:proofErr w:type="gramStart"/>
      <w:r w:rsidRPr="001A48D3">
        <w:t>extend</w:t>
      </w:r>
      <w:proofErr w:type="gramEnd"/>
      <w:r w:rsidRPr="001A48D3">
        <w:t xml:space="preserve"> the low temperature emissions (Type VI) test (albeit with less stringent </w:t>
      </w:r>
      <w:r w:rsidR="00AF01A3" w:rsidRPr="001A48D3">
        <w:t>emissions</w:t>
      </w:r>
      <w:r w:rsidRPr="001A48D3">
        <w:t xml:space="preserve"> limits) to all light vehicle categories - Euro 4 only applies this test to passenger vehicles and the lighter categories of goods vehicles.  This test ensures quicker catalyst operation on vehicles which are started from a cold condition (not just at the -7</w:t>
      </w:r>
      <w:r w:rsidRPr="001A48D3">
        <w:rPr>
          <w:vertAlign w:val="superscript"/>
        </w:rPr>
        <w:t>o</w:t>
      </w:r>
      <w:r w:rsidRPr="001A48D3">
        <w:t>C test condition);</w:t>
      </w:r>
    </w:p>
    <w:p w:rsidR="00A359D1" w:rsidRPr="001A48D3" w:rsidRDefault="00A359D1" w:rsidP="00C4701A">
      <w:pPr>
        <w:numPr>
          <w:ilvl w:val="0"/>
          <w:numId w:val="13"/>
        </w:numPr>
        <w:spacing w:after="120"/>
      </w:pPr>
      <w:r w:rsidRPr="001A48D3">
        <w:t xml:space="preserve">require all passenger vehicles, regardless of mass, to meet the same </w:t>
      </w:r>
      <w:r w:rsidR="00AF01A3" w:rsidRPr="001A48D3">
        <w:t>emissions</w:t>
      </w:r>
      <w:r w:rsidRPr="001A48D3">
        <w:t xml:space="preserve"> limits under the Type I test (Euro 4 allowed vehicles over 2,500 kg to meet the more lenient standards applicable to the heaviest category of light goods vehicles); </w:t>
      </w:r>
    </w:p>
    <w:p w:rsidR="00A359D1" w:rsidRPr="001A48D3" w:rsidRDefault="00A359D1" w:rsidP="00C4701A">
      <w:pPr>
        <w:numPr>
          <w:ilvl w:val="0"/>
          <w:numId w:val="13"/>
        </w:numPr>
        <w:spacing w:after="120"/>
      </w:pPr>
      <w:proofErr w:type="gramStart"/>
      <w:r w:rsidRPr="001A48D3">
        <w:t>introduce</w:t>
      </w:r>
      <w:proofErr w:type="gramEnd"/>
      <w:r w:rsidRPr="001A48D3">
        <w:t xml:space="preserve"> a particle number standard (on a delayed timeframe), which is designed to reduce the emissions of ultrafine particles which are of greatest health concern.  The introduction of this new requirement is expected to ensure that manufacturers fit high efficiency particulate traps to diesel vehicles; and</w:t>
      </w:r>
    </w:p>
    <w:p w:rsidR="00A359D1" w:rsidRPr="001A48D3" w:rsidRDefault="00A359D1" w:rsidP="00C4701A">
      <w:pPr>
        <w:numPr>
          <w:ilvl w:val="0"/>
          <w:numId w:val="13"/>
        </w:numPr>
        <w:spacing w:after="120"/>
      </w:pPr>
      <w:proofErr w:type="gramStart"/>
      <w:r w:rsidRPr="001A48D3">
        <w:t>extend</w:t>
      </w:r>
      <w:proofErr w:type="gramEnd"/>
      <w:r w:rsidRPr="001A48D3">
        <w:t xml:space="preserve"> the PM mass limit to direct injection petrol engines (previously only applied to diesel vehicles).  </w:t>
      </w:r>
    </w:p>
    <w:p w:rsidR="002F1602" w:rsidRPr="001A48D3" w:rsidRDefault="00BA1B94" w:rsidP="00B52F7D">
      <w:pPr>
        <w:pStyle w:val="Heading3"/>
        <w:spacing w:after="120"/>
      </w:pPr>
      <w:bookmarkStart w:id="33" w:name="_Toc430182499"/>
      <w:r>
        <w:t>1.5.3</w:t>
      </w:r>
      <w:r>
        <w:tab/>
      </w:r>
      <w:r w:rsidR="002F1602" w:rsidRPr="001A48D3">
        <w:t>Australian &amp; European Fuel Standards</w:t>
      </w:r>
      <w:bookmarkEnd w:id="33"/>
    </w:p>
    <w:p w:rsidR="002F1602" w:rsidRPr="001A48D3" w:rsidRDefault="002F1602" w:rsidP="00C4701A">
      <w:pPr>
        <w:spacing w:after="120"/>
      </w:pPr>
      <w:r w:rsidRPr="001A48D3">
        <w:t xml:space="preserve">In recognition of the importance of fuel quality in reducing the overall environmental impact of the vehicle fleet, the Australian Government enacted the </w:t>
      </w:r>
      <w:r w:rsidRPr="001A48D3">
        <w:rPr>
          <w:i/>
        </w:rPr>
        <w:t xml:space="preserve">Fuel Quality </w:t>
      </w:r>
      <w:r w:rsidRPr="001A48D3">
        <w:rPr>
          <w:i/>
        </w:rPr>
        <w:lastRenderedPageBreak/>
        <w:t>Standards Act 2000</w:t>
      </w:r>
      <w:r w:rsidR="0046661F" w:rsidRPr="001A48D3">
        <w:rPr>
          <w:i/>
        </w:rPr>
        <w:t xml:space="preserve"> </w:t>
      </w:r>
      <w:r w:rsidR="0046661F" w:rsidRPr="001A48D3">
        <w:t>(FQS Act)</w:t>
      </w:r>
      <w:r w:rsidRPr="001A48D3">
        <w:t xml:space="preserve">.  The Act provides the framework for the establishment of national fuel standards for automotive use.  The main objects of the Act are to regulate the quality of fuel supplied in </w:t>
      </w:r>
      <w:smartTag w:uri="urn:schemas-microsoft-com:office:smarttags" w:element="place">
        <w:smartTag w:uri="urn:schemas-microsoft-com:office:smarttags" w:element="country-region">
          <w:r w:rsidRPr="001A48D3">
            <w:t>Australia</w:t>
          </w:r>
        </w:smartTag>
      </w:smartTag>
      <w:r w:rsidRPr="001A48D3">
        <w:t xml:space="preserve"> in order to: </w:t>
      </w:r>
    </w:p>
    <w:p w:rsidR="002F1602" w:rsidRPr="001A48D3" w:rsidRDefault="002F1602" w:rsidP="00C4701A">
      <w:pPr>
        <w:numPr>
          <w:ilvl w:val="0"/>
          <w:numId w:val="3"/>
        </w:numPr>
        <w:spacing w:after="120"/>
      </w:pPr>
      <w:r w:rsidRPr="001A48D3">
        <w:t xml:space="preserve">reduce the level of pollutants and emissions arising from the use of fuel that may cause environmental and health problems; </w:t>
      </w:r>
    </w:p>
    <w:p w:rsidR="002F1602" w:rsidRPr="001A48D3" w:rsidRDefault="002F1602" w:rsidP="00C4701A">
      <w:pPr>
        <w:numPr>
          <w:ilvl w:val="0"/>
          <w:numId w:val="3"/>
        </w:numPr>
        <w:spacing w:after="120"/>
      </w:pPr>
      <w:r w:rsidRPr="001A48D3">
        <w:t xml:space="preserve">facilitate the adoption of better engine technology and emissions control technology; and </w:t>
      </w:r>
    </w:p>
    <w:p w:rsidR="002F1602" w:rsidRPr="001A48D3" w:rsidRDefault="002F1602" w:rsidP="00C4701A">
      <w:pPr>
        <w:numPr>
          <w:ilvl w:val="0"/>
          <w:numId w:val="3"/>
        </w:numPr>
        <w:spacing w:after="120"/>
      </w:pPr>
      <w:r w:rsidRPr="001A48D3">
        <w:t xml:space="preserve">allow more effective operation of engines. </w:t>
      </w:r>
    </w:p>
    <w:p w:rsidR="00817061" w:rsidRPr="001A48D3" w:rsidRDefault="00817061" w:rsidP="00C4701A">
      <w:pPr>
        <w:spacing w:after="120"/>
      </w:pPr>
      <w:r w:rsidRPr="001A48D3">
        <w:t xml:space="preserve">The first set of standards under the FQS Act for petrol and diesel came into effect on 1 January 2002.  This RIS considers those fuel parameters that may be critical to enabling the adoption of vehicle technology required to meet new emissions standards.  In the context of this RIS, the </w:t>
      </w:r>
      <w:proofErr w:type="spellStart"/>
      <w:r w:rsidRPr="001A48D3">
        <w:t>sulfur</w:t>
      </w:r>
      <w:proofErr w:type="spellEnd"/>
      <w:r w:rsidRPr="001A48D3">
        <w:t xml:space="preserve"> content of petrol and LPG is considered the only relevant parameter.</w:t>
      </w:r>
    </w:p>
    <w:p w:rsidR="00817061" w:rsidRPr="001A48D3" w:rsidRDefault="00817061" w:rsidP="00C4701A">
      <w:pPr>
        <w:spacing w:after="120"/>
      </w:pPr>
      <w:r w:rsidRPr="001A48D3">
        <w:t xml:space="preserve">Australia adopted </w:t>
      </w:r>
      <w:proofErr w:type="spellStart"/>
      <w:r w:rsidRPr="001A48D3">
        <w:t>sulfur</w:t>
      </w:r>
      <w:proofErr w:type="spellEnd"/>
      <w:r w:rsidRPr="001A48D3">
        <w:t xml:space="preserve"> limits that link to Euro 3 equivalent </w:t>
      </w:r>
      <w:proofErr w:type="spellStart"/>
      <w:r w:rsidRPr="001A48D3">
        <w:t>sulfur</w:t>
      </w:r>
      <w:proofErr w:type="spellEnd"/>
      <w:r w:rsidRPr="001A48D3">
        <w:t xml:space="preserve"> limits for petrol (150ppm) from 1 January 2005 and the Euro 4 equivalent </w:t>
      </w:r>
      <w:proofErr w:type="spellStart"/>
      <w:r w:rsidRPr="001A48D3">
        <w:t>sulfur</w:t>
      </w:r>
      <w:proofErr w:type="spellEnd"/>
      <w:r w:rsidRPr="001A48D3">
        <w:t xml:space="preserve"> limit for diesel (50ppm) from 1 January 2006, to support the introduction of the equivalent vehicle emissions standards.  From 1 January 2008, a 50ppm limit was applied to higher octane grades of unleaded petrol (95 RON PULP)</w:t>
      </w:r>
      <w:r w:rsidRPr="001A48D3">
        <w:rPr>
          <w:rStyle w:val="FootnoteReference"/>
        </w:rPr>
        <w:footnoteReference w:id="14"/>
      </w:r>
      <w:r w:rsidRPr="001A48D3">
        <w:t xml:space="preserve"> to support Euro 4 petrol vehicles.  The maximum </w:t>
      </w:r>
      <w:proofErr w:type="spellStart"/>
      <w:r w:rsidRPr="001A48D3">
        <w:t>sulfur</w:t>
      </w:r>
      <w:proofErr w:type="spellEnd"/>
      <w:r w:rsidRPr="001A48D3">
        <w:t xml:space="preserve"> level allowable in LPG is currently 100ppm and is currently under review.  Since 1 January 2009, the </w:t>
      </w:r>
      <w:proofErr w:type="spellStart"/>
      <w:r w:rsidRPr="001A48D3">
        <w:t>sulfur</w:t>
      </w:r>
      <w:proofErr w:type="spellEnd"/>
      <w:r w:rsidRPr="001A48D3">
        <w:t xml:space="preserve"> limit in diesel was further reduced to 10ppm, primarily to support the introduction of new </w:t>
      </w:r>
      <w:r w:rsidR="00AF01A3" w:rsidRPr="001A48D3">
        <w:t>emissions</w:t>
      </w:r>
      <w:r w:rsidRPr="001A48D3">
        <w:t xml:space="preserve"> standards for heavy diesel vehicles.  </w:t>
      </w:r>
    </w:p>
    <w:p w:rsidR="002F1602" w:rsidRPr="001A48D3" w:rsidRDefault="002F1602" w:rsidP="00C4701A">
      <w:pPr>
        <w:spacing w:after="120"/>
      </w:pPr>
      <w:r w:rsidRPr="001A48D3">
        <w:t xml:space="preserve">While a further </w:t>
      </w:r>
      <w:proofErr w:type="spellStart"/>
      <w:r w:rsidRPr="001A48D3">
        <w:t>sulfur</w:t>
      </w:r>
      <w:proofErr w:type="spellEnd"/>
      <w:r w:rsidRPr="001A48D3">
        <w:t xml:space="preserve"> reduction from the levels already legislated </w:t>
      </w:r>
      <w:r w:rsidR="00171D70" w:rsidRPr="001A48D3">
        <w:t>would</w:t>
      </w:r>
      <w:r w:rsidRPr="001A48D3">
        <w:t xml:space="preserve"> be beneficial, the fuel </w:t>
      </w:r>
      <w:proofErr w:type="spellStart"/>
      <w:r w:rsidRPr="001A48D3">
        <w:t>sulfur</w:t>
      </w:r>
      <w:proofErr w:type="spellEnd"/>
      <w:r w:rsidRPr="001A48D3">
        <w:t xml:space="preserve"> reductions embodied in the national fuel quality standards to 2006 </w:t>
      </w:r>
      <w:r w:rsidR="00171D70" w:rsidRPr="001A48D3">
        <w:t>would</w:t>
      </w:r>
      <w:r w:rsidRPr="001A48D3">
        <w:t xml:space="preserve"> have already delivered the majority of </w:t>
      </w:r>
      <w:r w:rsidRPr="001A48D3">
        <w:rPr>
          <w:u w:val="single"/>
        </w:rPr>
        <w:t>direct</w:t>
      </w:r>
      <w:r w:rsidRPr="001A48D3">
        <w:t xml:space="preserve"> air quality benefits available from </w:t>
      </w:r>
      <w:proofErr w:type="spellStart"/>
      <w:r w:rsidRPr="001A48D3">
        <w:t>sulfur</w:t>
      </w:r>
      <w:proofErr w:type="spellEnd"/>
      <w:r w:rsidRPr="001A48D3">
        <w:t xml:space="preserve"> reduction.</w:t>
      </w:r>
      <w:r w:rsidR="00817061" w:rsidRPr="001A48D3">
        <w:t xml:space="preserve">  </w:t>
      </w:r>
      <w:r w:rsidRPr="001A48D3">
        <w:t xml:space="preserve">The </w:t>
      </w:r>
      <w:r w:rsidRPr="001A48D3">
        <w:rPr>
          <w:u w:val="single"/>
        </w:rPr>
        <w:t>indirect</w:t>
      </w:r>
      <w:r w:rsidRPr="001A48D3">
        <w:t xml:space="preserve"> impact of fuel </w:t>
      </w:r>
      <w:proofErr w:type="spellStart"/>
      <w:r w:rsidRPr="001A48D3">
        <w:t>sulfur</w:t>
      </w:r>
      <w:proofErr w:type="spellEnd"/>
      <w:r w:rsidRPr="001A48D3">
        <w:t xml:space="preserve"> relates to the </w:t>
      </w:r>
      <w:proofErr w:type="spellStart"/>
      <w:r w:rsidRPr="001A48D3">
        <w:t>sulfur</w:t>
      </w:r>
      <w:proofErr w:type="spellEnd"/>
      <w:r w:rsidRPr="001A48D3">
        <w:t xml:space="preserve"> sensitivity of certain vehicle technologies that could be employed to meet emissions standards.  It is these indirect technology-enabling effects of low </w:t>
      </w:r>
      <w:proofErr w:type="spellStart"/>
      <w:r w:rsidRPr="001A48D3">
        <w:t>sulfur</w:t>
      </w:r>
      <w:proofErr w:type="spellEnd"/>
      <w:r w:rsidRPr="001A48D3">
        <w:t xml:space="preserve"> fuels that may be relevant to the standards under consideration in this RIS</w:t>
      </w:r>
      <w:r w:rsidR="00817061" w:rsidRPr="001A48D3">
        <w:t xml:space="preserve">, and this interaction is discussed in </w:t>
      </w:r>
      <w:r w:rsidR="00CE0A88" w:rsidRPr="001A48D3">
        <w:t>Section</w:t>
      </w:r>
      <w:r w:rsidR="00817061" w:rsidRPr="001A48D3">
        <w:t xml:space="preserve"> 1.5.4</w:t>
      </w:r>
      <w:r w:rsidRPr="001A48D3">
        <w:t>.</w:t>
      </w:r>
    </w:p>
    <w:p w:rsidR="002F1602" w:rsidRPr="001A48D3" w:rsidRDefault="002F1602" w:rsidP="00C4701A">
      <w:pPr>
        <w:spacing w:after="120"/>
      </w:pPr>
      <w:r w:rsidRPr="001A48D3">
        <w:t xml:space="preserve">This RIS focuses solely on the </w:t>
      </w:r>
      <w:proofErr w:type="spellStart"/>
      <w:r w:rsidRPr="001A48D3">
        <w:t>sulfur</w:t>
      </w:r>
      <w:proofErr w:type="spellEnd"/>
      <w:r w:rsidRPr="001A48D3">
        <w:t xml:space="preserve"> limit standards for petrol, as diesel </w:t>
      </w:r>
      <w:proofErr w:type="spellStart"/>
      <w:r w:rsidRPr="001A48D3">
        <w:t>sulfur</w:t>
      </w:r>
      <w:proofErr w:type="spellEnd"/>
      <w:r w:rsidRPr="001A48D3">
        <w:t xml:space="preserve"> levels have already been reduced to 10ppm in line with international best practice and no further changes are considered necessary in the context of this review.  In relation to </w:t>
      </w:r>
      <w:proofErr w:type="spellStart"/>
      <w:r w:rsidRPr="001A48D3">
        <w:t>sulfur</w:t>
      </w:r>
      <w:proofErr w:type="spellEnd"/>
      <w:r w:rsidRPr="001A48D3">
        <w:t xml:space="preserve">, the European fuel standards currently specify a </w:t>
      </w:r>
      <w:proofErr w:type="spellStart"/>
      <w:r w:rsidRPr="001A48D3">
        <w:t>sulfur</w:t>
      </w:r>
      <w:proofErr w:type="spellEnd"/>
      <w:r w:rsidRPr="001A48D3">
        <w:t xml:space="preserve"> limit of 10ppm for both petrol and diesel vehicles.</w:t>
      </w:r>
    </w:p>
    <w:p w:rsidR="00817061" w:rsidRPr="001A48D3" w:rsidRDefault="00BA1B94" w:rsidP="00B52F7D">
      <w:pPr>
        <w:pStyle w:val="Heading3"/>
        <w:spacing w:after="120"/>
      </w:pPr>
      <w:bookmarkStart w:id="34" w:name="_Toc430182500"/>
      <w:r>
        <w:t>1.5.4</w:t>
      </w:r>
      <w:r>
        <w:tab/>
      </w:r>
      <w:r w:rsidR="00817061" w:rsidRPr="001A48D3">
        <w:t>Fuels and Technology Context</w:t>
      </w:r>
      <w:bookmarkEnd w:id="34"/>
    </w:p>
    <w:p w:rsidR="00171D70" w:rsidRPr="001A48D3" w:rsidRDefault="00817061" w:rsidP="00C4701A">
      <w:pPr>
        <w:spacing w:after="120"/>
      </w:pPr>
      <w:r w:rsidRPr="001A48D3">
        <w:t xml:space="preserve">While there is not a direct legislative link between the UN ECE vehicle </w:t>
      </w:r>
      <w:r w:rsidR="00AF01A3" w:rsidRPr="001A48D3">
        <w:t>emissions</w:t>
      </w:r>
      <w:r w:rsidRPr="001A48D3">
        <w:t xml:space="preserve"> standards and European fuel standards, there is a clear recognition of the relationship between fuel quality and vehicle technology.  In this context, where necessary, changes are made to fuel standards on an appropriate timeframe to support the introduction on new vehicle </w:t>
      </w:r>
      <w:r w:rsidR="00AF01A3" w:rsidRPr="001A48D3">
        <w:t>emissions</w:t>
      </w:r>
      <w:r w:rsidRPr="001A48D3">
        <w:t xml:space="preserve"> standards.  </w:t>
      </w:r>
    </w:p>
    <w:p w:rsidR="00817061" w:rsidRPr="001A48D3" w:rsidRDefault="00817061" w:rsidP="00C4701A">
      <w:pPr>
        <w:spacing w:after="120"/>
      </w:pPr>
      <w:r w:rsidRPr="001A48D3">
        <w:lastRenderedPageBreak/>
        <w:t xml:space="preserve">In broad terms, the </w:t>
      </w:r>
      <w:proofErr w:type="spellStart"/>
      <w:r w:rsidRPr="001A48D3">
        <w:t>sulfur</w:t>
      </w:r>
      <w:proofErr w:type="spellEnd"/>
      <w:r w:rsidRPr="001A48D3">
        <w:t xml:space="preserve"> content of petrol in Europe was set at 150ppm to support the Euro 3 standards, and 50ppm for Euro 4.  The decision to adopt 10ppm standards was made primarily to support carbon dioxide </w:t>
      </w:r>
      <w:r w:rsidR="00AF01A3" w:rsidRPr="001A48D3">
        <w:t>emissions</w:t>
      </w:r>
      <w:r w:rsidRPr="001A48D3">
        <w:t xml:space="preserve"> standards by assisting improvements in fuel efficiency, not to support air pollution standards such as Euro 5/6.  </w:t>
      </w:r>
    </w:p>
    <w:p w:rsidR="00817061" w:rsidRPr="001A48D3" w:rsidRDefault="00817061" w:rsidP="00C4701A">
      <w:pPr>
        <w:spacing w:after="120"/>
      </w:pPr>
      <w:r w:rsidRPr="001A48D3">
        <w:t xml:space="preserve">The use of fuel with low </w:t>
      </w:r>
      <w:proofErr w:type="spellStart"/>
      <w:r w:rsidRPr="001A48D3">
        <w:t>sulfur</w:t>
      </w:r>
      <w:proofErr w:type="spellEnd"/>
      <w:r w:rsidRPr="001A48D3">
        <w:t xml:space="preserve"> levels enables the adoption of improved engine and </w:t>
      </w:r>
      <w:r w:rsidR="00AF01A3" w:rsidRPr="001A48D3">
        <w:t>emissions</w:t>
      </w:r>
      <w:r w:rsidRPr="001A48D3">
        <w:t xml:space="preserve"> control technologies and increases the longevity of that technology.  Apart from a 25% reduction in NOx emissions, the emissions limits for petrol and LPG vehicles in Euro 5/6 do not change relative to those in the Euro 4 standards</w:t>
      </w:r>
      <w:r w:rsidR="00171D70" w:rsidRPr="001A48D3">
        <w:t>, but the durability requirements are significantly increased</w:t>
      </w:r>
      <w:r w:rsidRPr="001A48D3">
        <w:t xml:space="preserve">.  </w:t>
      </w:r>
    </w:p>
    <w:p w:rsidR="00817061" w:rsidRPr="001A48D3" w:rsidRDefault="00817061" w:rsidP="00C4701A">
      <w:pPr>
        <w:spacing w:after="120"/>
      </w:pPr>
      <w:r w:rsidRPr="001A48D3">
        <w:t xml:space="preserve">Petrol </w:t>
      </w:r>
      <w:proofErr w:type="spellStart"/>
      <w:r w:rsidRPr="001A48D3">
        <w:t>engined</w:t>
      </w:r>
      <w:proofErr w:type="spellEnd"/>
      <w:r w:rsidRPr="001A48D3">
        <w:t xml:space="preserve"> vehicles rely largely on the three-way catalytic converter, in combination with the engine management system, to control emissions.  While these catalysts operate effectively at current </w:t>
      </w:r>
      <w:proofErr w:type="spellStart"/>
      <w:r w:rsidRPr="001A48D3">
        <w:t>sulfur</w:t>
      </w:r>
      <w:proofErr w:type="spellEnd"/>
      <w:r w:rsidRPr="001A48D3">
        <w:t xml:space="preserve"> levels (150ppm or less), it is widely recognised that in-service catalyst durability is affected by fuel </w:t>
      </w:r>
      <w:proofErr w:type="spellStart"/>
      <w:r w:rsidRPr="001A48D3">
        <w:t>sulfur</w:t>
      </w:r>
      <w:proofErr w:type="spellEnd"/>
      <w:r w:rsidRPr="001A48D3">
        <w:t xml:space="preserve">.  The durability question becomes more critical in the context of Euro 5/6 as these standards would require manufacturers to demonstrate compliance with the </w:t>
      </w:r>
      <w:r w:rsidR="00AF01A3" w:rsidRPr="001A48D3">
        <w:t>emissions</w:t>
      </w:r>
      <w:r w:rsidRPr="001A48D3">
        <w:t xml:space="preserve"> standards at 160,000km</w:t>
      </w:r>
      <w:r w:rsidR="00171D70" w:rsidRPr="001A48D3">
        <w:t xml:space="preserve"> (compared to 100,000km in Euro 4)</w:t>
      </w:r>
      <w:r w:rsidRPr="001A48D3">
        <w:t xml:space="preserve">.  </w:t>
      </w:r>
    </w:p>
    <w:p w:rsidR="00817061" w:rsidRPr="001A48D3" w:rsidRDefault="00817061" w:rsidP="00C4701A">
      <w:pPr>
        <w:spacing w:after="120"/>
      </w:pPr>
      <w:r w:rsidRPr="001A48D3">
        <w:t xml:space="preserve">There is considerable variability in the </w:t>
      </w:r>
      <w:proofErr w:type="spellStart"/>
      <w:r w:rsidRPr="001A48D3">
        <w:t>sulfur</w:t>
      </w:r>
      <w:proofErr w:type="spellEnd"/>
      <w:r w:rsidRPr="001A48D3">
        <w:t xml:space="preserve"> tolerance of advanced emissions control technologies , and their performance at various </w:t>
      </w:r>
      <w:proofErr w:type="spellStart"/>
      <w:r w:rsidRPr="001A48D3">
        <w:t>sulfur</w:t>
      </w:r>
      <w:proofErr w:type="spellEnd"/>
      <w:r w:rsidRPr="001A48D3">
        <w:t xml:space="preserve"> levels.  A 2000 report prepared for the European Commission</w:t>
      </w:r>
      <w:r w:rsidRPr="001A48D3">
        <w:rPr>
          <w:rStyle w:val="FootnoteReference"/>
        </w:rPr>
        <w:footnoteReference w:id="15"/>
      </w:r>
      <w:r w:rsidRPr="001A48D3">
        <w:t xml:space="preserve"> concluded that that Euro 4 compliant vehicles will function properly on 50ppm </w:t>
      </w:r>
      <w:proofErr w:type="spellStart"/>
      <w:r w:rsidRPr="001A48D3">
        <w:t>sulfur</w:t>
      </w:r>
      <w:proofErr w:type="spellEnd"/>
      <w:r w:rsidRPr="001A48D3">
        <w:t xml:space="preserve"> petrol, noting that the advantages of even lower </w:t>
      </w:r>
      <w:proofErr w:type="spellStart"/>
      <w:r w:rsidRPr="001A48D3">
        <w:t>sulfur</w:t>
      </w:r>
      <w:proofErr w:type="spellEnd"/>
      <w:r w:rsidRPr="001A48D3">
        <w:t xml:space="preserve"> levels were linked to improved fuel consumption/greenhouse outcomes, not emissions compliance.  </w:t>
      </w:r>
    </w:p>
    <w:p w:rsidR="00817061" w:rsidRPr="001A48D3" w:rsidRDefault="00817061" w:rsidP="00C4701A">
      <w:pPr>
        <w:spacing w:after="120"/>
      </w:pPr>
      <w:r w:rsidRPr="001A48D3">
        <w:t xml:space="preserve">In Australia, the </w:t>
      </w:r>
      <w:proofErr w:type="spellStart"/>
      <w:r w:rsidRPr="001A48D3">
        <w:t>sulfur</w:t>
      </w:r>
      <w:proofErr w:type="spellEnd"/>
      <w:r w:rsidRPr="001A48D3">
        <w:t xml:space="preserve"> content of PULP is 50ppm, while the </w:t>
      </w:r>
      <w:proofErr w:type="spellStart"/>
      <w:r w:rsidRPr="001A48D3">
        <w:t>sulfur</w:t>
      </w:r>
      <w:proofErr w:type="spellEnd"/>
      <w:r w:rsidRPr="001A48D3">
        <w:t xml:space="preserve"> content of ULP remains at 150ppm.  When these standards were set, there was an expectation that with the introduction of Euro 3 and Euro 4 emissions standards, there would be a significant shift to higher octane fuel (95 RON PULP) for new vehicles, and that 91 RON ULP would essentially become a “legacy” fuel for older technology vehicles.  </w:t>
      </w:r>
    </w:p>
    <w:p w:rsidR="00817061" w:rsidRPr="001A48D3" w:rsidRDefault="00817061" w:rsidP="00C4701A">
      <w:pPr>
        <w:spacing w:after="120"/>
      </w:pPr>
      <w:r w:rsidRPr="001A48D3">
        <w:t>However, the use of PULP has grown only slowly from 11% of petrol sales in 2003 to 17% in 2008.  This reflects changes in the vehicle fleet, with older vehicles using ULP being retired, and the introduction of a larger, but still relatively low, number of new vehicles into the fleet which require operation on PULP.  There is no evidence to suggest that the proportion of new vehicles requiring PULP is likely to significantly increase under current policy settings.  To illustrate this, all but one (the VW Golf) of the top 20 selling light vehicles on the Australian market in June 2009 were supplied as suitable for operation on ULP</w:t>
      </w:r>
      <w:r w:rsidRPr="001A48D3">
        <w:rPr>
          <w:rStyle w:val="FootnoteReference"/>
        </w:rPr>
        <w:footnoteReference w:id="16"/>
      </w:r>
      <w:r w:rsidRPr="001A48D3">
        <w:t>.</w:t>
      </w:r>
    </w:p>
    <w:p w:rsidR="00817061" w:rsidRPr="001A48D3" w:rsidRDefault="00817061" w:rsidP="00C4701A">
      <w:pPr>
        <w:spacing w:after="120"/>
      </w:pPr>
      <w:r w:rsidRPr="001A48D3">
        <w:t xml:space="preserve">In broad terms, lagging in key fuel quality parameters can negatively impact on the development of the vehicle industry.  As the Productivity Commission’s 2002 </w:t>
      </w:r>
      <w:r w:rsidRPr="001A48D3">
        <w:rPr>
          <w:iCs/>
        </w:rPr>
        <w:t>Review of Automotive Assistance</w:t>
      </w:r>
      <w:r w:rsidRPr="001A48D3">
        <w:t xml:space="preserve"> noted “… lower [laxer] fuel standards might well be a </w:t>
      </w:r>
      <w:r w:rsidRPr="001A48D3">
        <w:lastRenderedPageBreak/>
        <w:t>further constraint on the industry’s uptake and development of engine technologies necessary to remain competitive in global markets”</w:t>
      </w:r>
      <w:r w:rsidRPr="001A48D3">
        <w:rPr>
          <w:rStyle w:val="FootnoteReference"/>
        </w:rPr>
        <w:footnoteReference w:id="17"/>
      </w:r>
      <w:r w:rsidRPr="001A48D3">
        <w:t xml:space="preserve">. </w:t>
      </w:r>
    </w:p>
    <w:p w:rsidR="00817061" w:rsidRPr="001A48D3" w:rsidRDefault="00817061" w:rsidP="00C4701A">
      <w:pPr>
        <w:spacing w:after="120"/>
      </w:pPr>
      <w:r w:rsidRPr="001A48D3">
        <w:t xml:space="preserve">Based on the European approach, it would appear that a 50ppm </w:t>
      </w:r>
      <w:proofErr w:type="spellStart"/>
      <w:r w:rsidRPr="001A48D3">
        <w:t>sulfur</w:t>
      </w:r>
      <w:proofErr w:type="spellEnd"/>
      <w:r w:rsidRPr="001A48D3">
        <w:t xml:space="preserve"> level would be adequate to support Euro 5/6 petrol and LPG vehicle technologies. </w:t>
      </w:r>
      <w:r w:rsidR="00B034C7" w:rsidRPr="001A48D3">
        <w:t xml:space="preserve"> This conclusion </w:t>
      </w:r>
      <w:r w:rsidR="00F15B09" w:rsidRPr="001A48D3">
        <w:t>is</w:t>
      </w:r>
      <w:r w:rsidR="00B034C7" w:rsidRPr="001A48D3">
        <w:t xml:space="preserve"> supported by a number of public submissions, including a major international manufacturer of engine/fuel system components (Bosch).  </w:t>
      </w:r>
      <w:r w:rsidRPr="001A48D3">
        <w:t xml:space="preserve">However, the impact on the emissions performance of Euro 5/6 vehicles operating on petrol with </w:t>
      </w:r>
      <w:proofErr w:type="spellStart"/>
      <w:r w:rsidR="00376876" w:rsidRPr="001A48D3">
        <w:t>sulfur</w:t>
      </w:r>
      <w:proofErr w:type="spellEnd"/>
      <w:r w:rsidRPr="001A48D3">
        <w:t xml:space="preserve"> levels greater than 50ppm is </w:t>
      </w:r>
      <w:r w:rsidR="00376876" w:rsidRPr="001A48D3">
        <w:t>less clear</w:t>
      </w:r>
      <w:r w:rsidRPr="001A48D3">
        <w:t xml:space="preserve">.  </w:t>
      </w:r>
    </w:p>
    <w:p w:rsidR="00817061" w:rsidRPr="001A48D3" w:rsidRDefault="00817061" w:rsidP="00C4701A">
      <w:pPr>
        <w:spacing w:after="120"/>
      </w:pPr>
      <w:r w:rsidRPr="001A48D3">
        <w:t xml:space="preserve">While it is well understood that </w:t>
      </w:r>
      <w:proofErr w:type="spellStart"/>
      <w:r w:rsidRPr="001A48D3">
        <w:t>sulfur</w:t>
      </w:r>
      <w:proofErr w:type="spellEnd"/>
      <w:r w:rsidRPr="001A48D3">
        <w:t xml:space="preserve"> in fuels can accelerate degradation of catalytic converters, the review was not able to access any definitive information to assess the impact of this particular level of </w:t>
      </w:r>
      <w:proofErr w:type="spellStart"/>
      <w:r w:rsidRPr="001A48D3">
        <w:t>sulfur</w:t>
      </w:r>
      <w:proofErr w:type="spellEnd"/>
      <w:r w:rsidRPr="001A48D3">
        <w:t xml:space="preserve"> on technologies likely to be used for Euro 5 standards. </w:t>
      </w:r>
    </w:p>
    <w:p w:rsidR="006A31B9" w:rsidRPr="001A48D3" w:rsidRDefault="00B034C7" w:rsidP="00C4701A">
      <w:pPr>
        <w:spacing w:after="120"/>
      </w:pPr>
      <w:r w:rsidRPr="001A48D3">
        <w:t xml:space="preserve">A number of submissions </w:t>
      </w:r>
      <w:r w:rsidR="005E76D9" w:rsidRPr="001A48D3">
        <w:t>in response</w:t>
      </w:r>
      <w:r w:rsidRPr="001A48D3">
        <w:t xml:space="preserve"> </w:t>
      </w:r>
      <w:r w:rsidR="00213654" w:rsidRPr="001A48D3">
        <w:t xml:space="preserve">to </w:t>
      </w:r>
      <w:r w:rsidRPr="001A48D3">
        <w:t xml:space="preserve">the draft RIS including the FCAI, </w:t>
      </w:r>
      <w:r w:rsidR="00A544B6" w:rsidRPr="001A48D3">
        <w:t xml:space="preserve">Bosch, </w:t>
      </w:r>
      <w:r w:rsidRPr="001A48D3">
        <w:t xml:space="preserve">individual vehicle and component manufacturers </w:t>
      </w:r>
      <w:r w:rsidR="00F90A86" w:rsidRPr="001A48D3">
        <w:t>and the NRMA argue that</w:t>
      </w:r>
      <w:r w:rsidRPr="001A48D3">
        <w:t xml:space="preserve"> the current 150ppm </w:t>
      </w:r>
      <w:proofErr w:type="spellStart"/>
      <w:r w:rsidRPr="001A48D3">
        <w:t>sulfur</w:t>
      </w:r>
      <w:proofErr w:type="spellEnd"/>
      <w:r w:rsidRPr="001A48D3">
        <w:t xml:space="preserve"> level </w:t>
      </w:r>
      <w:r w:rsidR="00A544B6" w:rsidRPr="001A48D3">
        <w:t>is</w:t>
      </w:r>
      <w:r w:rsidRPr="001A48D3">
        <w:t xml:space="preserve"> too high and should be reviewed</w:t>
      </w:r>
      <w:r w:rsidR="00F90A86" w:rsidRPr="001A48D3">
        <w:t xml:space="preserve">, with some suggesting a maximum </w:t>
      </w:r>
      <w:proofErr w:type="spellStart"/>
      <w:r w:rsidR="00F90A86" w:rsidRPr="001A48D3">
        <w:t>sulfur</w:t>
      </w:r>
      <w:proofErr w:type="spellEnd"/>
      <w:r w:rsidR="00F90A86" w:rsidRPr="001A48D3">
        <w:t xml:space="preserve"> level of 50ppm</w:t>
      </w:r>
      <w:r w:rsidR="005E76D9" w:rsidRPr="001A48D3">
        <w:t xml:space="preserve"> as appropriate</w:t>
      </w:r>
      <w:r w:rsidR="00F90A86" w:rsidRPr="001A48D3">
        <w:t xml:space="preserve">, and others favouring a reduction to 10ppm.  </w:t>
      </w:r>
      <w:r w:rsidR="00E66F80" w:rsidRPr="001A48D3">
        <w:t xml:space="preserve">The FCAI submission </w:t>
      </w:r>
      <w:r w:rsidR="006A31B9" w:rsidRPr="001A48D3">
        <w:t xml:space="preserve">also claims that some manufacturers of Euro 5 vehicles are “desensitising” their OBD systems because the </w:t>
      </w:r>
      <w:proofErr w:type="spellStart"/>
      <w:r w:rsidR="006A31B9" w:rsidRPr="001A48D3">
        <w:t>sulfur</w:t>
      </w:r>
      <w:proofErr w:type="spellEnd"/>
      <w:r w:rsidR="006A31B9" w:rsidRPr="001A48D3">
        <w:t xml:space="preserve"> levels are above 10ppm.  However, no </w:t>
      </w:r>
      <w:r w:rsidR="00376876" w:rsidRPr="001A48D3">
        <w:t>supporting information</w:t>
      </w:r>
      <w:r w:rsidR="006A31B9" w:rsidRPr="001A48D3">
        <w:t xml:space="preserve"> was provided to substantiate these statements.</w:t>
      </w:r>
    </w:p>
    <w:p w:rsidR="00896A37" w:rsidRPr="001A48D3" w:rsidRDefault="009E596E" w:rsidP="00C4701A">
      <w:pPr>
        <w:spacing w:after="120"/>
      </w:pPr>
      <w:r w:rsidRPr="001A48D3">
        <w:t>Other submissions (AAA, AF</w:t>
      </w:r>
      <w:r w:rsidR="00F90A86" w:rsidRPr="001A48D3">
        <w:t>MA, NSW DECC</w:t>
      </w:r>
      <w:r w:rsidR="005E76D9" w:rsidRPr="001A48D3">
        <w:t>W</w:t>
      </w:r>
      <w:r w:rsidR="00F90A86" w:rsidRPr="001A48D3">
        <w:t xml:space="preserve">) also argue </w:t>
      </w:r>
      <w:r w:rsidR="000B6786" w:rsidRPr="001A48D3">
        <w:t>that</w:t>
      </w:r>
      <w:r w:rsidR="00F90A86" w:rsidRPr="001A48D3">
        <w:t xml:space="preserve"> a review of petrol </w:t>
      </w:r>
      <w:proofErr w:type="spellStart"/>
      <w:r w:rsidR="00F90A86" w:rsidRPr="001A48D3">
        <w:t>sulfur</w:t>
      </w:r>
      <w:proofErr w:type="spellEnd"/>
      <w:r w:rsidR="00F90A86" w:rsidRPr="001A48D3">
        <w:t xml:space="preserve"> levels </w:t>
      </w:r>
      <w:r w:rsidR="00A544B6" w:rsidRPr="001A48D3">
        <w:t>is</w:t>
      </w:r>
      <w:r w:rsidR="00F90A86" w:rsidRPr="001A48D3">
        <w:t xml:space="preserve"> appropriate, without specifying a particular limit.</w:t>
      </w:r>
    </w:p>
    <w:p w:rsidR="005E76D9" w:rsidRPr="001A48D3" w:rsidRDefault="00F90A86" w:rsidP="00C4701A">
      <w:pPr>
        <w:spacing w:after="120"/>
      </w:pPr>
      <w:r w:rsidRPr="001A48D3">
        <w:t>In contrast, the AIP submission</w:t>
      </w:r>
      <w:r w:rsidR="005E76D9" w:rsidRPr="001A48D3">
        <w:t xml:space="preserve">, quoting a number of published reports, </w:t>
      </w:r>
      <w:r w:rsidRPr="001A48D3">
        <w:t>argue</w:t>
      </w:r>
      <w:r w:rsidR="00A544B6" w:rsidRPr="001A48D3">
        <w:t>s</w:t>
      </w:r>
      <w:r w:rsidRPr="001A48D3">
        <w:t xml:space="preserve"> that there </w:t>
      </w:r>
      <w:r w:rsidR="00A544B6" w:rsidRPr="001A48D3">
        <w:t>is</w:t>
      </w:r>
      <w:r w:rsidRPr="001A48D3">
        <w:t xml:space="preserve"> no strong evidence to warrant a change in current </w:t>
      </w:r>
      <w:proofErr w:type="spellStart"/>
      <w:r w:rsidRPr="001A48D3">
        <w:t>sulfur</w:t>
      </w:r>
      <w:proofErr w:type="spellEnd"/>
      <w:r w:rsidRPr="001A48D3">
        <w:t xml:space="preserve"> levels in either 91 RON or 95 RON petrol, stating that “most prospective vehicle technologies can operate satisfactorily on...150ppm </w:t>
      </w:r>
      <w:proofErr w:type="spellStart"/>
      <w:r w:rsidRPr="001A48D3">
        <w:t>sulfur</w:t>
      </w:r>
      <w:proofErr w:type="spellEnd"/>
      <w:r w:rsidRPr="001A48D3">
        <w:t>”</w:t>
      </w:r>
      <w:r w:rsidR="005E76D9" w:rsidRPr="001A48D3">
        <w:t xml:space="preserve"> and that “150ppm ULP...is not an impediment to the introduction of Euro 5/6”</w:t>
      </w:r>
      <w:r w:rsidRPr="001A48D3">
        <w:t xml:space="preserve">.  </w:t>
      </w:r>
      <w:r w:rsidR="005E76D9" w:rsidRPr="001A48D3">
        <w:t>The AIP submission also note</w:t>
      </w:r>
      <w:r w:rsidR="00A544B6" w:rsidRPr="001A48D3">
        <w:t>s</w:t>
      </w:r>
      <w:r w:rsidR="005E76D9" w:rsidRPr="001A48D3">
        <w:t xml:space="preserve"> that 95 RON fuel (50ppm limit) </w:t>
      </w:r>
      <w:r w:rsidR="00A544B6" w:rsidRPr="001A48D3">
        <w:t>is</w:t>
      </w:r>
      <w:r w:rsidR="005E76D9" w:rsidRPr="001A48D3">
        <w:t xml:space="preserve"> available in the marketplace for those vehicles which manufacturers consider unsuitable for operation on 150ppm </w:t>
      </w:r>
      <w:proofErr w:type="spellStart"/>
      <w:r w:rsidR="005E76D9" w:rsidRPr="001A48D3">
        <w:t>sulfur</w:t>
      </w:r>
      <w:proofErr w:type="spellEnd"/>
      <w:r w:rsidR="005E76D9" w:rsidRPr="001A48D3">
        <w:t>.</w:t>
      </w:r>
    </w:p>
    <w:p w:rsidR="00F90A86" w:rsidRPr="001A48D3" w:rsidRDefault="0010777A" w:rsidP="00B52F7D">
      <w:pPr>
        <w:spacing w:after="120"/>
      </w:pPr>
      <w:r w:rsidRPr="001A48D3">
        <w:t xml:space="preserve">For the purposes of the analysis in this RIS it is assumed that the </w:t>
      </w:r>
      <w:proofErr w:type="spellStart"/>
      <w:r w:rsidRPr="001A48D3">
        <w:t>sulfur</w:t>
      </w:r>
      <w:proofErr w:type="spellEnd"/>
      <w:r w:rsidRPr="001A48D3">
        <w:t xml:space="preserve"> levels in petrol remain unchanged.</w:t>
      </w:r>
    </w:p>
    <w:p w:rsidR="00896A37" w:rsidRPr="001A48D3" w:rsidRDefault="00BA1B94" w:rsidP="00B52F7D">
      <w:pPr>
        <w:pStyle w:val="Heading2"/>
      </w:pPr>
      <w:bookmarkStart w:id="35" w:name="_Toc430182501"/>
      <w:r>
        <w:t>1.6</w:t>
      </w:r>
      <w:r>
        <w:tab/>
      </w:r>
      <w:r w:rsidR="00387CAB" w:rsidRPr="001A48D3">
        <w:t>Why is Government Action Required?</w:t>
      </w:r>
      <w:bookmarkEnd w:id="35"/>
    </w:p>
    <w:p w:rsidR="00A359D1" w:rsidRPr="001A48D3" w:rsidRDefault="00A359D1" w:rsidP="00C4701A">
      <w:pPr>
        <w:spacing w:after="120"/>
        <w:rPr>
          <w:lang w:val="en-US"/>
        </w:rPr>
      </w:pPr>
      <w:r w:rsidRPr="001A48D3">
        <w:rPr>
          <w:lang w:val="en-US"/>
        </w:rPr>
        <w:t>Urban communities have an expectation that the level of air pollution in Australia’s major cities does not endanger their immediate and long term health, and are concerned about the impact of vehicles on the environment</w:t>
      </w:r>
      <w:r w:rsidRPr="001A48D3">
        <w:rPr>
          <w:rStyle w:val="FootnoteReference"/>
          <w:lang w:val="en-US"/>
        </w:rPr>
        <w:footnoteReference w:id="18"/>
      </w:r>
      <w:r w:rsidRPr="001A48D3">
        <w:rPr>
          <w:lang w:val="en-US"/>
        </w:rPr>
        <w:t xml:space="preserve">.  Vehicles are significant contributors to key urban air pollutants which at sufficiently levels of exposure can adversely affect acute and chronic health conditions.  While Australia’s urban air quality is generally good, concerns remain regarding the contribution of vehicle emissions to photochemical smog (particularly in Sydney) and the health </w:t>
      </w:r>
      <w:r w:rsidRPr="001A48D3">
        <w:rPr>
          <w:lang w:val="en-US"/>
        </w:rPr>
        <w:lastRenderedPageBreak/>
        <w:t xml:space="preserve">impacts of PM </w:t>
      </w:r>
      <w:r w:rsidR="003007DB" w:rsidRPr="001A48D3">
        <w:rPr>
          <w:lang w:val="en-US"/>
        </w:rPr>
        <w:t>and NO</w:t>
      </w:r>
      <w:r w:rsidR="003007DB" w:rsidRPr="001A48D3">
        <w:rPr>
          <w:vertAlign w:val="subscript"/>
          <w:lang w:val="en-US"/>
        </w:rPr>
        <w:t>2</w:t>
      </w:r>
      <w:r w:rsidR="003007DB" w:rsidRPr="001A48D3">
        <w:rPr>
          <w:lang w:val="en-US"/>
        </w:rPr>
        <w:t xml:space="preserve"> </w:t>
      </w:r>
      <w:r w:rsidRPr="001A48D3">
        <w:rPr>
          <w:lang w:val="en-US"/>
        </w:rPr>
        <w:t xml:space="preserve">emissions, particularly in an environment of increasing population growth in our major urban </w:t>
      </w:r>
      <w:proofErr w:type="spellStart"/>
      <w:r w:rsidRPr="001A48D3">
        <w:rPr>
          <w:lang w:val="en-US"/>
        </w:rPr>
        <w:t>centres</w:t>
      </w:r>
      <w:proofErr w:type="spellEnd"/>
      <w:r w:rsidRPr="001A48D3">
        <w:rPr>
          <w:lang w:val="en-US"/>
        </w:rPr>
        <w:t xml:space="preserve"> and resultant increases in vehicle numbers.  </w:t>
      </w:r>
    </w:p>
    <w:p w:rsidR="00896A37" w:rsidRPr="001A48D3" w:rsidRDefault="00E61A06" w:rsidP="00C4701A">
      <w:pPr>
        <w:spacing w:after="120"/>
        <w:rPr>
          <w:lang w:val="en-US"/>
        </w:rPr>
      </w:pPr>
      <w:r w:rsidRPr="001A48D3">
        <w:rPr>
          <w:lang w:val="en-US"/>
        </w:rPr>
        <w:t xml:space="preserve">In economic analysis terms, </w:t>
      </w:r>
      <w:r w:rsidR="00A359D1" w:rsidRPr="001A48D3">
        <w:rPr>
          <w:lang w:val="en-US"/>
        </w:rPr>
        <w:t xml:space="preserve">noxious </w:t>
      </w:r>
      <w:r w:rsidRPr="001A48D3">
        <w:rPr>
          <w:lang w:val="en-US"/>
        </w:rPr>
        <w:t>vehicle emissions are an externality which can lead to significant health impacts on people, particularly</w:t>
      </w:r>
      <w:r w:rsidR="00A359D1" w:rsidRPr="001A48D3">
        <w:rPr>
          <w:lang w:val="en-US"/>
        </w:rPr>
        <w:t xml:space="preserve"> in urban areas, and which are not effectively addressed by the operation of market forces.  </w:t>
      </w:r>
      <w:r w:rsidR="00746958" w:rsidRPr="001A48D3">
        <w:rPr>
          <w:lang w:val="en-US"/>
        </w:rPr>
        <w:t>Government</w:t>
      </w:r>
      <w:r w:rsidR="00896A37" w:rsidRPr="001A48D3">
        <w:rPr>
          <w:lang w:val="en-US"/>
        </w:rPr>
        <w:t xml:space="preserve"> actions to strengthen vehicle emissions standards and improve fuel quality are internationally recognized</w:t>
      </w:r>
      <w:r w:rsidR="00006960" w:rsidRPr="001A48D3">
        <w:rPr>
          <w:rStyle w:val="FootnoteReference"/>
          <w:lang w:val="en-US"/>
        </w:rPr>
        <w:footnoteReference w:id="19"/>
      </w:r>
      <w:r w:rsidR="00896A37" w:rsidRPr="001A48D3">
        <w:rPr>
          <w:lang w:val="en-US"/>
        </w:rPr>
        <w:t xml:space="preserve"> </w:t>
      </w:r>
      <w:r w:rsidR="00006960" w:rsidRPr="001A48D3">
        <w:rPr>
          <w:lang w:val="en-US"/>
        </w:rPr>
        <w:t xml:space="preserve">as very effective measures </w:t>
      </w:r>
      <w:r w:rsidR="00896A37" w:rsidRPr="001A48D3">
        <w:rPr>
          <w:lang w:val="en-US"/>
        </w:rPr>
        <w:t>to reduce urban air pollution</w:t>
      </w:r>
      <w:r w:rsidR="00006960" w:rsidRPr="001A48D3">
        <w:rPr>
          <w:lang w:val="en-US"/>
        </w:rPr>
        <w:t xml:space="preserve"> – and such standards have managed to deliver improvements in </w:t>
      </w:r>
      <w:r w:rsidR="00446421" w:rsidRPr="001A48D3">
        <w:rPr>
          <w:lang w:val="en-US"/>
        </w:rPr>
        <w:t xml:space="preserve">urban </w:t>
      </w:r>
      <w:r w:rsidR="00006960" w:rsidRPr="001A48D3">
        <w:rPr>
          <w:lang w:val="en-US"/>
        </w:rPr>
        <w:t>air quality despite growth in vehicle use</w:t>
      </w:r>
      <w:r w:rsidR="00896A37" w:rsidRPr="001A48D3">
        <w:rPr>
          <w:lang w:val="en-US"/>
        </w:rPr>
        <w:t xml:space="preserve">.  As stated in a </w:t>
      </w:r>
      <w:r w:rsidR="00AE7465" w:rsidRPr="001A48D3">
        <w:rPr>
          <w:lang w:val="en-US"/>
        </w:rPr>
        <w:t>2004</w:t>
      </w:r>
      <w:r w:rsidR="00896A37" w:rsidRPr="001A48D3">
        <w:rPr>
          <w:lang w:val="en-US"/>
        </w:rPr>
        <w:t xml:space="preserve"> World Bank report</w:t>
      </w:r>
      <w:r w:rsidR="00AE7465" w:rsidRPr="001A48D3">
        <w:rPr>
          <w:rStyle w:val="FootnoteReference"/>
          <w:lang w:val="en-US"/>
        </w:rPr>
        <w:footnoteReference w:id="20"/>
      </w:r>
      <w:r w:rsidR="00896A37" w:rsidRPr="001A48D3">
        <w:rPr>
          <w:lang w:val="en-US"/>
        </w:rPr>
        <w:t xml:space="preserve"> on reducing urban air pollution</w:t>
      </w:r>
      <w:r w:rsidR="00446421" w:rsidRPr="001A48D3">
        <w:rPr>
          <w:lang w:val="en-US"/>
        </w:rPr>
        <w:t xml:space="preserve">, </w:t>
      </w:r>
      <w:r w:rsidR="00896A37" w:rsidRPr="001A48D3">
        <w:rPr>
          <w:lang w:val="en-US"/>
        </w:rPr>
        <w:t>“</w:t>
      </w:r>
      <w:r w:rsidR="00387CAB" w:rsidRPr="001A48D3">
        <w:rPr>
          <w:lang w:val="en-US"/>
        </w:rPr>
        <w:t>…</w:t>
      </w:r>
      <w:r w:rsidR="00896A37" w:rsidRPr="001A48D3">
        <w:rPr>
          <w:lang w:val="en-US"/>
        </w:rPr>
        <w:t xml:space="preserve">the imposition and enforcement of (vehicle </w:t>
      </w:r>
      <w:r w:rsidR="00AF01A3" w:rsidRPr="001A48D3">
        <w:rPr>
          <w:lang w:val="en-US"/>
        </w:rPr>
        <w:t>emissions</w:t>
      </w:r>
      <w:r w:rsidR="00896A37" w:rsidRPr="001A48D3">
        <w:rPr>
          <w:lang w:val="en-US"/>
        </w:rPr>
        <w:t>) standards have proven a very effective environmental policy in many countries.”</w:t>
      </w:r>
      <w:r w:rsidR="008362D0" w:rsidRPr="001A48D3">
        <w:rPr>
          <w:lang w:val="en-US"/>
        </w:rPr>
        <w:t xml:space="preserve">  </w:t>
      </w:r>
      <w:r w:rsidR="008362D0" w:rsidRPr="001A48D3">
        <w:t xml:space="preserve">In its submission on the draft RIS, the NSW Government noted that while it had introduced a range of initiatives to improve urban air quality, “further necessary emission gains depend on the Commonwealth introducing tighter standards for new vehicles”.  </w:t>
      </w:r>
    </w:p>
    <w:p w:rsidR="008D0F2F" w:rsidRPr="001A48D3" w:rsidRDefault="006E6012" w:rsidP="00C4701A">
      <w:pPr>
        <w:spacing w:after="120"/>
      </w:pPr>
      <w:r w:rsidRPr="001A48D3">
        <w:t>T</w:t>
      </w:r>
      <w:r w:rsidR="00C33CBE" w:rsidRPr="001A48D3">
        <w:t xml:space="preserve">he technology and manufacturing steps required to comply with the Euro 5/6 </w:t>
      </w:r>
      <w:r w:rsidR="00AF01A3" w:rsidRPr="001A48D3">
        <w:t>emissions</w:t>
      </w:r>
      <w:r w:rsidR="00C33CBE" w:rsidRPr="001A48D3">
        <w:t xml:space="preserve"> standards are well known</w:t>
      </w:r>
      <w:r w:rsidR="001E6F4F" w:rsidRPr="001A48D3">
        <w:t>.  N</w:t>
      </w:r>
      <w:r w:rsidR="00C33CBE" w:rsidRPr="001A48D3">
        <w:t>evertheless</w:t>
      </w:r>
      <w:r w:rsidR="00E639AD" w:rsidRPr="001A48D3">
        <w:t>,</w:t>
      </w:r>
      <w:r w:rsidR="00C33CBE" w:rsidRPr="001A48D3">
        <w:t xml:space="preserve"> </w:t>
      </w:r>
      <w:r w:rsidR="001E6F4F" w:rsidRPr="001A48D3">
        <w:t xml:space="preserve">there are </w:t>
      </w:r>
      <w:r w:rsidR="00C33CBE" w:rsidRPr="001A48D3">
        <w:t xml:space="preserve">costs associated with making those changes </w:t>
      </w:r>
      <w:r w:rsidR="001E6F4F" w:rsidRPr="001A48D3">
        <w:t xml:space="preserve">necessary for compliance </w:t>
      </w:r>
      <w:r w:rsidR="00E639AD" w:rsidRPr="001A48D3">
        <w:t>which</w:t>
      </w:r>
      <w:r w:rsidR="001E6F4F" w:rsidRPr="001A48D3">
        <w:t xml:space="preserve"> tend to </w:t>
      </w:r>
      <w:r w:rsidR="00C33CBE" w:rsidRPr="001A48D3">
        <w:t xml:space="preserve">inhibit their voluntary adoption by manufacturers (particularly </w:t>
      </w:r>
      <w:r w:rsidR="00F15B09" w:rsidRPr="001A48D3">
        <w:t xml:space="preserve">the higher cost technologies required </w:t>
      </w:r>
      <w:r w:rsidR="00C33CBE" w:rsidRPr="001A48D3">
        <w:t>for diesel vehicles).</w:t>
      </w:r>
      <w:r w:rsidR="00C43CF5" w:rsidRPr="001A48D3">
        <w:t xml:space="preserve">  As discussed in </w:t>
      </w:r>
      <w:r w:rsidR="00CE0A88" w:rsidRPr="001A48D3">
        <w:t>Section</w:t>
      </w:r>
      <w:r w:rsidR="00C43CF5" w:rsidRPr="001A48D3">
        <w:t xml:space="preserve"> 4.2 of this RIS, estimatin</w:t>
      </w:r>
      <w:r w:rsidR="002237BE" w:rsidRPr="001A48D3">
        <w:t>g actual costs can be difficult.  H</w:t>
      </w:r>
      <w:r w:rsidR="00C43CF5" w:rsidRPr="001A48D3">
        <w:t>owever taking the E</w:t>
      </w:r>
      <w:r w:rsidR="002237BE" w:rsidRPr="001A48D3">
        <w:t xml:space="preserve">uropean </w:t>
      </w:r>
      <w:r w:rsidR="00C43CF5" w:rsidRPr="001A48D3">
        <w:t>C</w:t>
      </w:r>
      <w:r w:rsidR="002237BE" w:rsidRPr="001A48D3">
        <w:t>ommission</w:t>
      </w:r>
      <w:r w:rsidR="00C43CF5" w:rsidRPr="001A48D3">
        <w:t xml:space="preserve"> estimates from Table 6 (see </w:t>
      </w:r>
      <w:r w:rsidR="00CE0A88" w:rsidRPr="001A48D3">
        <w:t>Section</w:t>
      </w:r>
      <w:r w:rsidR="00C43CF5" w:rsidRPr="001A48D3">
        <w:t xml:space="preserve"> 4.2) as an </w:t>
      </w:r>
      <w:r w:rsidR="0080653E" w:rsidRPr="001A48D3">
        <w:t>guide</w:t>
      </w:r>
      <w:r w:rsidR="00C43CF5" w:rsidRPr="001A48D3">
        <w:t xml:space="preserve">, the </w:t>
      </w:r>
      <w:r w:rsidR="002237BE" w:rsidRPr="001A48D3">
        <w:t xml:space="preserve">average cost increase of $980 </w:t>
      </w:r>
      <w:r w:rsidR="00C43CF5" w:rsidRPr="001A48D3">
        <w:t xml:space="preserve">for a diesel vehicle </w:t>
      </w:r>
      <w:r w:rsidR="002237BE" w:rsidRPr="001A48D3">
        <w:t xml:space="preserve">to </w:t>
      </w:r>
      <w:r w:rsidR="00C43CF5" w:rsidRPr="001A48D3">
        <w:t xml:space="preserve">comply with Euro 6 </w:t>
      </w:r>
      <w:r w:rsidR="002237BE" w:rsidRPr="001A48D3">
        <w:t xml:space="preserve">standards </w:t>
      </w:r>
      <w:r w:rsidR="00C43CF5" w:rsidRPr="001A48D3">
        <w:t xml:space="preserve">relative to the current standards (Euro 4), if fully passed on to the consumer, would represent a price increase of around </w:t>
      </w:r>
      <w:r w:rsidR="0080653E" w:rsidRPr="001A48D3">
        <w:t>4.5</w:t>
      </w:r>
      <w:r w:rsidR="00820203" w:rsidRPr="001A48D3">
        <w:t>% for a $22</w:t>
      </w:r>
      <w:r w:rsidR="00C43CF5" w:rsidRPr="001A48D3">
        <w:t xml:space="preserve">,000 vehicle and </w:t>
      </w:r>
      <w:r w:rsidR="0080653E" w:rsidRPr="001A48D3">
        <w:t>2.5% for a $40,000 vehicle</w:t>
      </w:r>
      <w:r w:rsidR="0080653E" w:rsidRPr="001A48D3">
        <w:rPr>
          <w:rStyle w:val="FootnoteReference"/>
        </w:rPr>
        <w:footnoteReference w:id="21"/>
      </w:r>
      <w:r w:rsidR="0080653E" w:rsidRPr="001A48D3">
        <w:t>.</w:t>
      </w:r>
      <w:r w:rsidR="00C33CBE" w:rsidRPr="001A48D3">
        <w:t xml:space="preserve">  </w:t>
      </w:r>
    </w:p>
    <w:p w:rsidR="009B642C" w:rsidRPr="001A48D3" w:rsidRDefault="009760D6" w:rsidP="00C4701A">
      <w:pPr>
        <w:spacing w:after="120"/>
      </w:pPr>
      <w:r w:rsidRPr="001A48D3">
        <w:t>If</w:t>
      </w:r>
      <w:r w:rsidR="005C757E" w:rsidRPr="001A48D3">
        <w:t xml:space="preserve"> a case is made for </w:t>
      </w:r>
      <w:r w:rsidRPr="001A48D3">
        <w:t>further</w:t>
      </w:r>
      <w:r w:rsidR="005C757E" w:rsidRPr="001A48D3">
        <w:t xml:space="preserve"> reductions in emissions from the </w:t>
      </w:r>
      <w:r w:rsidRPr="001A48D3">
        <w:t>vehicle</w:t>
      </w:r>
      <w:r w:rsidR="005C757E" w:rsidRPr="001A48D3">
        <w:t xml:space="preserve"> fleet, </w:t>
      </w:r>
      <w:r w:rsidRPr="001A48D3">
        <w:t>voluntary</w:t>
      </w:r>
      <w:r w:rsidR="005C757E" w:rsidRPr="001A48D3">
        <w:t xml:space="preserve"> standards</w:t>
      </w:r>
      <w:r w:rsidR="00446421" w:rsidRPr="001A48D3">
        <w:t>,</w:t>
      </w:r>
      <w:r w:rsidR="005C757E" w:rsidRPr="001A48D3">
        <w:t xml:space="preserve"> or other </w:t>
      </w:r>
      <w:r w:rsidR="00446421" w:rsidRPr="001A48D3">
        <w:t xml:space="preserve">approaches based on </w:t>
      </w:r>
      <w:r w:rsidR="005C757E" w:rsidRPr="001A48D3">
        <w:t>industry self-</w:t>
      </w:r>
      <w:r w:rsidRPr="001A48D3">
        <w:t>regulation</w:t>
      </w:r>
      <w:r w:rsidR="00446421" w:rsidRPr="001A48D3">
        <w:t>,</w:t>
      </w:r>
      <w:r w:rsidR="005C757E" w:rsidRPr="001A48D3">
        <w:t xml:space="preserve"> are unlikely to be effective in delivering those reductions</w:t>
      </w:r>
      <w:r w:rsidRPr="001A48D3">
        <w:t>, as there is no clear market incentive for manufacturers to provide vehicles meeting emissions outcomes that do not have a high profile in the mind of new vehicle consumers (unlike vehicle safety</w:t>
      </w:r>
      <w:r w:rsidR="00791D79" w:rsidRPr="001A48D3">
        <w:t>, for example</w:t>
      </w:r>
      <w:r w:rsidRPr="001A48D3">
        <w:t xml:space="preserve">).  As noted by the EC in its consideration of the case for Euro 5/6 </w:t>
      </w:r>
      <w:r w:rsidR="00AF01A3" w:rsidRPr="001A48D3">
        <w:t>emissions</w:t>
      </w:r>
      <w:r w:rsidRPr="001A48D3">
        <w:t xml:space="preserve"> standards, “self-regulation would imply a significant departure from an approach that is well established all over the world and has proven its effectiveness and proportionality in the past”</w:t>
      </w:r>
      <w:r w:rsidRPr="001A48D3">
        <w:rPr>
          <w:rStyle w:val="FootnoteReference"/>
        </w:rPr>
        <w:footnoteReference w:id="22"/>
      </w:r>
      <w:r w:rsidRPr="001A48D3">
        <w:t xml:space="preserve">.  The EC also noted that to measure compliance under a voluntary approach, governments and </w:t>
      </w:r>
      <w:r w:rsidR="000D752C" w:rsidRPr="001A48D3">
        <w:t>manufacturers</w:t>
      </w:r>
      <w:r w:rsidRPr="001A48D3">
        <w:t xml:space="preserve"> would need to establish processes which would essentially duplicate those which already operate under the </w:t>
      </w:r>
      <w:r w:rsidRPr="001A48D3">
        <w:lastRenderedPageBreak/>
        <w:t>type approval system for</w:t>
      </w:r>
      <w:r w:rsidR="000D752C" w:rsidRPr="001A48D3">
        <w:t xml:space="preserve"> mandatory standards, thus increasing cost and complexity.  These issues are discussed in more detail in Section 3 (Option 1).  </w:t>
      </w:r>
    </w:p>
    <w:p w:rsidR="009B642C" w:rsidRPr="001A48D3" w:rsidRDefault="002E73F0" w:rsidP="00C4701A">
      <w:pPr>
        <w:spacing w:after="120"/>
      </w:pPr>
      <w:r w:rsidRPr="001A48D3">
        <w:t>In</w:t>
      </w:r>
      <w:r w:rsidR="00867D79" w:rsidRPr="001A48D3">
        <w:t xml:space="preserve"> the Australian context, the effectiveness of </w:t>
      </w:r>
      <w:r w:rsidR="009760D6" w:rsidRPr="001A48D3">
        <w:t xml:space="preserve">a </w:t>
      </w:r>
      <w:r w:rsidR="00867D79" w:rsidRPr="001A48D3">
        <w:t xml:space="preserve">strategy </w:t>
      </w:r>
      <w:r w:rsidR="009760D6" w:rsidRPr="001A48D3">
        <w:t xml:space="preserve">based on mandatory standards </w:t>
      </w:r>
      <w:r w:rsidR="00867D79" w:rsidRPr="001A48D3">
        <w:t xml:space="preserve">can be illustrated by the data in Figure </w:t>
      </w:r>
      <w:r w:rsidR="00D13BED" w:rsidRPr="001A48D3">
        <w:t>3</w:t>
      </w:r>
      <w:r w:rsidR="00867D79" w:rsidRPr="001A48D3">
        <w:t xml:space="preserve">, which </w:t>
      </w:r>
      <w:r w:rsidR="00DF5636" w:rsidRPr="001A48D3">
        <w:t xml:space="preserve">is an extract from the </w:t>
      </w:r>
      <w:r w:rsidR="006D056E" w:rsidRPr="001A48D3">
        <w:t>2</w:t>
      </w:r>
      <w:r w:rsidR="006D056E" w:rsidRPr="001A48D3">
        <w:rPr>
          <w:vertAlign w:val="superscript"/>
        </w:rPr>
        <w:t>nd</w:t>
      </w:r>
      <w:r w:rsidR="006D056E" w:rsidRPr="001A48D3">
        <w:t xml:space="preserve"> </w:t>
      </w:r>
      <w:r w:rsidR="00DF5636" w:rsidRPr="001A48D3">
        <w:t>National In-service Emissions Study</w:t>
      </w:r>
      <w:r w:rsidR="006D056E" w:rsidRPr="001A48D3">
        <w:t xml:space="preserve"> (NISE 2)</w:t>
      </w:r>
      <w:r w:rsidR="00226824" w:rsidRPr="001A48D3">
        <w:rPr>
          <w:rStyle w:val="FootnoteReference"/>
        </w:rPr>
        <w:footnoteReference w:id="23"/>
      </w:r>
      <w:r w:rsidR="006D056E" w:rsidRPr="001A48D3">
        <w:t xml:space="preserve">.  The study tested a large sample of in-service vehicles in the Australian fleet, and the results </w:t>
      </w:r>
      <w:r w:rsidR="00867D79" w:rsidRPr="001A48D3">
        <w:t xml:space="preserve">illustrate the </w:t>
      </w:r>
      <w:r w:rsidR="00791D79" w:rsidRPr="001A48D3">
        <w:t xml:space="preserve">dramatic </w:t>
      </w:r>
      <w:r w:rsidR="00867D79" w:rsidRPr="001A48D3">
        <w:t xml:space="preserve">improvements in emissions performance of petrol light vehicles in Australia, using a “real world” test cycle based on Australian urban driving patterns.  </w:t>
      </w:r>
      <w:r w:rsidR="00E60316" w:rsidRPr="001A48D3">
        <w:t xml:space="preserve">The age groupings utilised in Figure </w:t>
      </w:r>
      <w:r w:rsidR="00244954" w:rsidRPr="001A48D3">
        <w:t>1</w:t>
      </w:r>
      <w:r w:rsidR="00E60316" w:rsidRPr="001A48D3">
        <w:t xml:space="preserve"> reflect </w:t>
      </w:r>
      <w:r w:rsidR="00791D79" w:rsidRPr="001A48D3">
        <w:t xml:space="preserve">the timeline for </w:t>
      </w:r>
      <w:r w:rsidR="00E60316" w:rsidRPr="001A48D3">
        <w:t xml:space="preserve">changes in mandatory </w:t>
      </w:r>
      <w:r w:rsidR="00AF01A3" w:rsidRPr="001A48D3">
        <w:t>emissions</w:t>
      </w:r>
      <w:r w:rsidR="00E60316" w:rsidRPr="001A48D3">
        <w:t xml:space="preserve"> standards for new vehicles.</w:t>
      </w:r>
    </w:p>
    <w:p w:rsidR="00DF5636" w:rsidRPr="001A48D3" w:rsidRDefault="00836FFF" w:rsidP="00C4701A">
      <w:pPr>
        <w:spacing w:afterLines="80" w:after="192"/>
      </w:pPr>
      <w:r>
        <w:rPr>
          <w:noProof/>
        </w:rPr>
        <w:drawing>
          <wp:inline distT="0" distB="0" distL="0" distR="0" wp14:anchorId="4D2B228E" wp14:editId="0AD97549">
            <wp:extent cx="4810125" cy="3390900"/>
            <wp:effectExtent l="0" t="0" r="0" b="0"/>
            <wp:docPr id="1" name="Picture 1" descr="The diagram is a technical diagram. If you are unable to view this image, please contact the Department of Infrastructure &amp; Regional Development for a hard copy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agram is a technical diagram. If you are unable to view this image, please contact the Department of Infrastructure &amp; Regional Development for a hard copy of this docu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125" cy="3390900"/>
                    </a:xfrm>
                    <a:prstGeom prst="rect">
                      <a:avLst/>
                    </a:prstGeom>
                    <a:noFill/>
                    <a:ln>
                      <a:noFill/>
                    </a:ln>
                  </pic:spPr>
                </pic:pic>
              </a:graphicData>
            </a:graphic>
          </wp:inline>
        </w:drawing>
      </w:r>
    </w:p>
    <w:p w:rsidR="00DF5636" w:rsidRPr="001A48D3" w:rsidRDefault="006D056E" w:rsidP="00C4701A">
      <w:pPr>
        <w:spacing w:after="120"/>
        <w:rPr>
          <w:sz w:val="18"/>
          <w:szCs w:val="18"/>
        </w:rPr>
      </w:pPr>
      <w:r w:rsidRPr="001A48D3">
        <w:rPr>
          <w:sz w:val="18"/>
          <w:szCs w:val="18"/>
        </w:rPr>
        <w:t>Note:</w:t>
      </w:r>
      <w:r w:rsidRPr="001A48D3">
        <w:rPr>
          <w:sz w:val="18"/>
          <w:szCs w:val="18"/>
        </w:rPr>
        <w:tab/>
      </w:r>
      <w:r w:rsidR="00791D79" w:rsidRPr="001A48D3">
        <w:rPr>
          <w:sz w:val="18"/>
          <w:szCs w:val="18"/>
        </w:rPr>
        <w:t>PV-S, PV-M</w:t>
      </w:r>
      <w:r w:rsidRPr="001A48D3">
        <w:rPr>
          <w:sz w:val="18"/>
          <w:szCs w:val="18"/>
        </w:rPr>
        <w:t>, PV-L = small, medium and large passenger vehicles;, SUV-C, SUV-L = compact and large sports utility vehicles; LCV = light commercial vehicles</w:t>
      </w:r>
    </w:p>
    <w:p w:rsidR="00555FDA" w:rsidRPr="001A48D3" w:rsidRDefault="00555FDA" w:rsidP="00C4701A">
      <w:pPr>
        <w:spacing w:after="120"/>
        <w:rPr>
          <w:sz w:val="18"/>
          <w:szCs w:val="18"/>
        </w:rPr>
      </w:pPr>
      <w:r w:rsidRPr="001A48D3">
        <w:rPr>
          <w:sz w:val="18"/>
          <w:szCs w:val="18"/>
        </w:rPr>
        <w:t xml:space="preserve">Source: </w:t>
      </w:r>
      <w:r w:rsidR="00A0173B" w:rsidRPr="001A48D3">
        <w:rPr>
          <w:sz w:val="18"/>
          <w:szCs w:val="18"/>
        </w:rPr>
        <w:t>DSEWPC</w:t>
      </w:r>
      <w:r w:rsidR="00791D79" w:rsidRPr="001A48D3">
        <w:rPr>
          <w:sz w:val="18"/>
          <w:szCs w:val="18"/>
        </w:rPr>
        <w:t xml:space="preserve"> (</w:t>
      </w:r>
      <w:r w:rsidRPr="001A48D3">
        <w:rPr>
          <w:sz w:val="18"/>
          <w:szCs w:val="18"/>
        </w:rPr>
        <w:t>NISE 2</w:t>
      </w:r>
      <w:r w:rsidR="00791D79" w:rsidRPr="001A48D3">
        <w:rPr>
          <w:sz w:val="18"/>
          <w:szCs w:val="18"/>
        </w:rPr>
        <w:t>)</w:t>
      </w:r>
    </w:p>
    <w:p w:rsidR="006D056E" w:rsidRPr="001A48D3" w:rsidRDefault="00DF5636" w:rsidP="00B52F7D">
      <w:pPr>
        <w:pStyle w:val="Heading5"/>
        <w:spacing w:after="120"/>
      </w:pPr>
      <w:bookmarkStart w:id="36" w:name="_Toc430182502"/>
      <w:r w:rsidRPr="00B52F7D">
        <w:rPr>
          <w:b/>
          <w:sz w:val="24"/>
        </w:rPr>
        <w:t xml:space="preserve">Figure </w:t>
      </w:r>
      <w:r w:rsidR="00244954" w:rsidRPr="00B52F7D">
        <w:rPr>
          <w:b/>
          <w:sz w:val="24"/>
        </w:rPr>
        <w:t>1</w:t>
      </w:r>
      <w:r w:rsidRPr="00B52F7D">
        <w:rPr>
          <w:b/>
          <w:sz w:val="24"/>
        </w:rPr>
        <w:tab/>
        <w:t xml:space="preserve">NOx Emissions of In-service </w:t>
      </w:r>
      <w:r w:rsidR="006D056E" w:rsidRPr="00B52F7D">
        <w:rPr>
          <w:b/>
          <w:sz w:val="24"/>
        </w:rPr>
        <w:t xml:space="preserve">Light Petrol </w:t>
      </w:r>
      <w:r w:rsidRPr="00B52F7D">
        <w:rPr>
          <w:b/>
          <w:sz w:val="24"/>
        </w:rPr>
        <w:t xml:space="preserve">Vehicles </w:t>
      </w:r>
      <w:r w:rsidR="006D056E" w:rsidRPr="00B52F7D">
        <w:rPr>
          <w:b/>
          <w:sz w:val="24"/>
        </w:rPr>
        <w:t>(1994-2007)</w:t>
      </w:r>
      <w:bookmarkEnd w:id="36"/>
    </w:p>
    <w:p w:rsidR="0061435C" w:rsidRDefault="0061435C" w:rsidP="00C4701A">
      <w:pPr>
        <w:spacing w:after="120"/>
      </w:pPr>
    </w:p>
    <w:p w:rsidR="009B642C" w:rsidRPr="001A48D3" w:rsidRDefault="002E73F0" w:rsidP="00C4701A">
      <w:pPr>
        <w:spacing w:after="120"/>
      </w:pPr>
      <w:r w:rsidRPr="001A48D3">
        <w:t xml:space="preserve">In considering this data, it is important to recognise that the overwhelming contributor to this improvement is the adoption of vehicle emissions control technologies implemented to meet mandatory </w:t>
      </w:r>
      <w:r w:rsidR="00AF01A3" w:rsidRPr="001A48D3">
        <w:t>emissions</w:t>
      </w:r>
      <w:r w:rsidRPr="001A48D3">
        <w:t xml:space="preserve"> standards – there have been no changes to state based in-service emissions requirements over this period.  </w:t>
      </w:r>
    </w:p>
    <w:p w:rsidR="009B642C" w:rsidRPr="001A48D3" w:rsidRDefault="009B642C" w:rsidP="00C4701A">
      <w:pPr>
        <w:spacing w:after="120"/>
      </w:pPr>
      <w:r w:rsidRPr="001A48D3">
        <w:t xml:space="preserve">As noted above, emissions </w:t>
      </w:r>
      <w:r w:rsidR="002E73F0" w:rsidRPr="001A48D3">
        <w:t xml:space="preserve">control technologies – particularly those introduced in recent years – also </w:t>
      </w:r>
      <w:r w:rsidRPr="001A48D3">
        <w:t xml:space="preserve">require suitable quality fuel in order to deliver </w:t>
      </w:r>
      <w:r w:rsidR="002E73F0" w:rsidRPr="001A48D3">
        <w:t xml:space="preserve">the </w:t>
      </w:r>
      <w:r w:rsidRPr="001A48D3">
        <w:t>reductions in emissions</w:t>
      </w:r>
      <w:r w:rsidR="002E73F0" w:rsidRPr="001A48D3">
        <w:t xml:space="preserve"> expected from the standards</w:t>
      </w:r>
      <w:r w:rsidRPr="001A48D3">
        <w:t xml:space="preserve">.  </w:t>
      </w:r>
      <w:r w:rsidR="002E73F0" w:rsidRPr="001A48D3">
        <w:t>More stringent</w:t>
      </w:r>
      <w:r w:rsidRPr="001A48D3">
        <w:t xml:space="preserve"> fuel standards </w:t>
      </w:r>
      <w:r w:rsidR="002E73F0" w:rsidRPr="001A48D3">
        <w:t>can also</w:t>
      </w:r>
      <w:r w:rsidRPr="001A48D3">
        <w:t xml:space="preserve"> deliver benefits across the fleet as a whole, not just from new vehicles.  However, with the significant improvements in fuel quality </w:t>
      </w:r>
      <w:r w:rsidR="002E73F0" w:rsidRPr="001A48D3">
        <w:t xml:space="preserve">that have already been delivered </w:t>
      </w:r>
      <w:r w:rsidR="002E73F0" w:rsidRPr="001A48D3">
        <w:lastRenderedPageBreak/>
        <w:t>since 2002</w:t>
      </w:r>
      <w:r w:rsidRPr="001A48D3">
        <w:t xml:space="preserve">, the principal reasons for considering the case for further tightening of fuel standards are linked to emissions performance of new technology vehicles, including the operation and durability of emissions control equipment. </w:t>
      </w:r>
    </w:p>
    <w:p w:rsidR="009B642C" w:rsidRPr="001A48D3" w:rsidRDefault="009B642C" w:rsidP="00C4701A">
      <w:pPr>
        <w:spacing w:after="120"/>
      </w:pPr>
      <w:r w:rsidRPr="001A48D3">
        <w:t xml:space="preserve">The </w:t>
      </w:r>
      <w:proofErr w:type="spellStart"/>
      <w:r w:rsidRPr="001A48D3">
        <w:t>sulfur</w:t>
      </w:r>
      <w:proofErr w:type="spellEnd"/>
      <w:r w:rsidRPr="001A48D3">
        <w:t xml:space="preserve"> content of petrol is the only fuel parameter considered relevant to this </w:t>
      </w:r>
      <w:r w:rsidR="00E60316" w:rsidRPr="001A48D3">
        <w:t>RIS, which is</w:t>
      </w:r>
      <w:r w:rsidRPr="001A48D3">
        <w:t xml:space="preserve"> examining the case for adopting Euro 5/6 standards.  Diesel standards are already largely in line with latest international standards, particularly on the key parameter of </w:t>
      </w:r>
      <w:proofErr w:type="spellStart"/>
      <w:r w:rsidRPr="001A48D3">
        <w:t>sulfur</w:t>
      </w:r>
      <w:proofErr w:type="spellEnd"/>
      <w:r w:rsidRPr="001A48D3">
        <w:t>, which is set at a maximum of 10ppm.</w:t>
      </w:r>
    </w:p>
    <w:p w:rsidR="00896A37" w:rsidRPr="001A48D3" w:rsidRDefault="009B642C" w:rsidP="00C4701A">
      <w:pPr>
        <w:pStyle w:val="Heading1"/>
      </w:pPr>
      <w:r w:rsidRPr="001A48D3">
        <w:br w:type="page"/>
      </w:r>
      <w:bookmarkStart w:id="37" w:name="_Toc430182503"/>
      <w:bookmarkStart w:id="38" w:name="_Toc89846615"/>
      <w:r w:rsidR="00BA1B94">
        <w:lastRenderedPageBreak/>
        <w:t>2.</w:t>
      </w:r>
      <w:r w:rsidR="00BA1B94">
        <w:tab/>
      </w:r>
      <w:r w:rsidR="00B563A0" w:rsidRPr="001A48D3">
        <w:t>objectives of government action</w:t>
      </w:r>
      <w:bookmarkEnd w:id="37"/>
      <w:r w:rsidR="00896A37" w:rsidRPr="001A48D3">
        <w:t xml:space="preserve"> </w:t>
      </w:r>
      <w:bookmarkEnd w:id="38"/>
    </w:p>
    <w:p w:rsidR="00896A37" w:rsidRPr="001A48D3" w:rsidRDefault="00896A37" w:rsidP="00C4701A">
      <w:pPr>
        <w:spacing w:afterLines="80" w:after="192"/>
      </w:pPr>
    </w:p>
    <w:p w:rsidR="002F1602" w:rsidRPr="001A48D3" w:rsidRDefault="002E73F0" w:rsidP="00C4701A">
      <w:pPr>
        <w:spacing w:after="120"/>
      </w:pPr>
      <w:r w:rsidRPr="001A48D3">
        <w:t xml:space="preserve">The objective of Government action is to improve urban air quality and reduce the </w:t>
      </w:r>
      <w:r w:rsidR="002F1602" w:rsidRPr="001A48D3">
        <w:t xml:space="preserve">adverse </w:t>
      </w:r>
      <w:r w:rsidRPr="001A48D3">
        <w:t>impacts of urban air pollution on human health</w:t>
      </w:r>
      <w:r w:rsidR="0010777A" w:rsidRPr="001A48D3">
        <w:t xml:space="preserve"> by reducing the level of air pollutant emissions from light vehicles</w:t>
      </w:r>
      <w:r w:rsidR="002F1602" w:rsidRPr="001A48D3">
        <w:t xml:space="preserve">. </w:t>
      </w:r>
      <w:r w:rsidRPr="001A48D3">
        <w:t xml:space="preserve"> </w:t>
      </w:r>
    </w:p>
    <w:p w:rsidR="00CF1B60" w:rsidRPr="001A48D3" w:rsidRDefault="0010777A" w:rsidP="00C4701A">
      <w:pPr>
        <w:spacing w:after="120"/>
      </w:pPr>
      <w:r w:rsidRPr="001A48D3">
        <w:t xml:space="preserve">The Australian Government has, over time, delivered </w:t>
      </w:r>
      <w:r w:rsidR="003209B4" w:rsidRPr="001A48D3">
        <w:t xml:space="preserve">such </w:t>
      </w:r>
      <w:r w:rsidRPr="001A48D3">
        <w:t xml:space="preserve">emissions reductions from road vehicles, both light and heavy, </w:t>
      </w:r>
      <w:r w:rsidR="003209B4" w:rsidRPr="001A48D3">
        <w:t>though</w:t>
      </w:r>
      <w:r w:rsidRPr="001A48D3">
        <w:t xml:space="preserve"> the </w:t>
      </w:r>
      <w:r w:rsidR="003209B4" w:rsidRPr="001A48D3">
        <w:t xml:space="preserve">introduction of progressively more stringent vehicle emissions standards.  In doing so, the Government has a </w:t>
      </w:r>
      <w:r w:rsidR="003209B4" w:rsidRPr="001A48D3">
        <w:rPr>
          <w:szCs w:val="24"/>
          <w:lang w:val="en-US"/>
        </w:rPr>
        <w:t xml:space="preserve">policy of </w:t>
      </w:r>
      <w:proofErr w:type="spellStart"/>
      <w:r w:rsidR="003209B4" w:rsidRPr="001A48D3">
        <w:rPr>
          <w:szCs w:val="24"/>
          <w:lang w:val="en-US"/>
        </w:rPr>
        <w:t>harmonising</w:t>
      </w:r>
      <w:proofErr w:type="spellEnd"/>
      <w:r w:rsidR="003209B4" w:rsidRPr="001A48D3">
        <w:rPr>
          <w:szCs w:val="24"/>
          <w:lang w:val="en-US"/>
        </w:rPr>
        <w:t xml:space="preserve"> Australia’s vehicle standards wherever possible with the international standards established by the United Nations Economic Commission for Europe (UN ECE).</w:t>
      </w:r>
    </w:p>
    <w:p w:rsidR="0067682F" w:rsidRPr="00B52F7D" w:rsidRDefault="00BA1B94" w:rsidP="00B52F7D">
      <w:pPr>
        <w:rPr>
          <w:b/>
          <w:sz w:val="28"/>
        </w:rPr>
      </w:pPr>
      <w:bookmarkStart w:id="39" w:name="_Toc89846635"/>
      <w:r>
        <w:br w:type="page"/>
      </w:r>
    </w:p>
    <w:p w:rsidR="00896A37" w:rsidRPr="001A48D3" w:rsidRDefault="00BA1B94" w:rsidP="00B52F7D">
      <w:pPr>
        <w:pStyle w:val="Heading1"/>
      </w:pPr>
      <w:bookmarkStart w:id="40" w:name="_Toc430182504"/>
      <w:r>
        <w:lastRenderedPageBreak/>
        <w:t>3.</w:t>
      </w:r>
      <w:r>
        <w:tab/>
      </w:r>
      <w:r w:rsidR="00896A37" w:rsidRPr="001A48D3">
        <w:t>Description of O</w:t>
      </w:r>
      <w:r w:rsidR="00BF02CD">
        <w:t>ptions</w:t>
      </w:r>
      <w:bookmarkEnd w:id="40"/>
      <w:bookmarkEnd w:id="39"/>
    </w:p>
    <w:p w:rsidR="005C0BCB" w:rsidRDefault="005C0BCB" w:rsidP="00B52F7D"/>
    <w:p w:rsidR="00A171AA" w:rsidRPr="001A48D3" w:rsidRDefault="00BA1B94" w:rsidP="00153F3E">
      <w:pPr>
        <w:pStyle w:val="Heading2"/>
      </w:pPr>
      <w:bookmarkStart w:id="41" w:name="_Toc430182505"/>
      <w:r>
        <w:t>3.1</w:t>
      </w:r>
      <w:r>
        <w:tab/>
      </w:r>
      <w:r w:rsidR="00A171AA" w:rsidRPr="001A48D3">
        <w:t>Summary</w:t>
      </w:r>
      <w:bookmarkEnd w:id="41"/>
      <w:r w:rsidR="00A171AA" w:rsidRPr="001A48D3">
        <w:t xml:space="preserve"> </w:t>
      </w:r>
    </w:p>
    <w:p w:rsidR="001E5B08" w:rsidRPr="001A48D3" w:rsidRDefault="001E5B08" w:rsidP="00C4701A">
      <w:pPr>
        <w:pStyle w:val="Heading4"/>
        <w:spacing w:after="120"/>
      </w:pPr>
      <w:bookmarkStart w:id="42" w:name="_Toc430182506"/>
      <w:r w:rsidRPr="001A48D3">
        <w:t>Vehicle Standards</w:t>
      </w:r>
      <w:bookmarkEnd w:id="42"/>
    </w:p>
    <w:p w:rsidR="00896A37" w:rsidRPr="001A48D3" w:rsidRDefault="00896A37" w:rsidP="00C4701A">
      <w:pPr>
        <w:spacing w:after="120"/>
      </w:pPr>
      <w:r w:rsidRPr="001A48D3">
        <w:t>When considering a possible approach for Australia</w:t>
      </w:r>
      <w:r w:rsidR="000C280B" w:rsidRPr="001A48D3">
        <w:t xml:space="preserve"> </w:t>
      </w:r>
      <w:r w:rsidR="005760F2" w:rsidRPr="001A48D3">
        <w:t>to</w:t>
      </w:r>
      <w:r w:rsidR="000C280B" w:rsidRPr="001A48D3">
        <w:t xml:space="preserve"> reduc</w:t>
      </w:r>
      <w:r w:rsidR="005760F2" w:rsidRPr="001A48D3">
        <w:t>e</w:t>
      </w:r>
      <w:r w:rsidR="000C280B" w:rsidRPr="001A48D3">
        <w:t xml:space="preserve"> </w:t>
      </w:r>
      <w:r w:rsidR="005760F2" w:rsidRPr="001A48D3">
        <w:t>noxious</w:t>
      </w:r>
      <w:r w:rsidR="000C280B" w:rsidRPr="001A48D3">
        <w:t xml:space="preserve"> </w:t>
      </w:r>
      <w:r w:rsidR="00AF01A3" w:rsidRPr="001A48D3">
        <w:t>emissions</w:t>
      </w:r>
      <w:r w:rsidR="005760F2" w:rsidRPr="001A48D3">
        <w:t xml:space="preserve"> levels</w:t>
      </w:r>
      <w:r w:rsidR="000C280B" w:rsidRPr="001A48D3">
        <w:t xml:space="preserve"> from </w:t>
      </w:r>
      <w:r w:rsidR="005760F2" w:rsidRPr="001A48D3">
        <w:t xml:space="preserve">new </w:t>
      </w:r>
      <w:r w:rsidR="000C280B" w:rsidRPr="001A48D3">
        <w:t xml:space="preserve">light </w:t>
      </w:r>
      <w:r w:rsidR="005760F2" w:rsidRPr="001A48D3">
        <w:t>vehicles</w:t>
      </w:r>
      <w:r w:rsidRPr="001A48D3">
        <w:t xml:space="preserve">, the options </w:t>
      </w:r>
      <w:r w:rsidR="00D663AE" w:rsidRPr="001A48D3">
        <w:t xml:space="preserve">are effectively </w:t>
      </w:r>
      <w:r w:rsidR="005760F2" w:rsidRPr="001A48D3">
        <w:t>to</w:t>
      </w:r>
      <w:r w:rsidRPr="001A48D3">
        <w:t xml:space="preserve"> maint</w:t>
      </w:r>
      <w:r w:rsidR="005760F2" w:rsidRPr="001A48D3">
        <w:t>ain</w:t>
      </w:r>
      <w:r w:rsidRPr="001A48D3">
        <w:t xml:space="preserve"> the </w:t>
      </w:r>
      <w:r w:rsidR="00F571B9" w:rsidRPr="001A48D3">
        <w:t xml:space="preserve">current ADRs (the </w:t>
      </w:r>
      <w:r w:rsidRPr="001A48D3">
        <w:t xml:space="preserve">status quo </w:t>
      </w:r>
      <w:r w:rsidR="00F571B9" w:rsidRPr="001A48D3">
        <w:t xml:space="preserve">or </w:t>
      </w:r>
      <w:r w:rsidRPr="001A48D3">
        <w:t xml:space="preserve">“do nothing” option) </w:t>
      </w:r>
      <w:r w:rsidR="00D663AE" w:rsidRPr="001A48D3">
        <w:t>or</w:t>
      </w:r>
      <w:r w:rsidR="00F571B9" w:rsidRPr="001A48D3">
        <w:t xml:space="preserve"> adopt the Euro 5</w:t>
      </w:r>
      <w:r w:rsidR="00393D4D" w:rsidRPr="001A48D3">
        <w:t xml:space="preserve"> and/or Euro </w:t>
      </w:r>
      <w:r w:rsidR="00F571B9" w:rsidRPr="001A48D3">
        <w:t xml:space="preserve">6 </w:t>
      </w:r>
      <w:r w:rsidR="00B311FA" w:rsidRPr="001A48D3">
        <w:t>standards</w:t>
      </w:r>
      <w:r w:rsidR="00F571B9" w:rsidRPr="001A48D3">
        <w:t xml:space="preserve"> </w:t>
      </w:r>
      <w:r w:rsidR="005760F2" w:rsidRPr="001A48D3">
        <w:t xml:space="preserve">(under a range of potential </w:t>
      </w:r>
      <w:r w:rsidR="00F571B9" w:rsidRPr="001A48D3">
        <w:t>timelines</w:t>
      </w:r>
      <w:r w:rsidR="005760F2" w:rsidRPr="001A48D3">
        <w:t>)</w:t>
      </w:r>
      <w:r w:rsidRPr="001A48D3">
        <w:t>.</w:t>
      </w:r>
      <w:r w:rsidR="00B311FA" w:rsidRPr="001A48D3">
        <w:t xml:space="preserve">  </w:t>
      </w:r>
      <w:r w:rsidR="00234AFD" w:rsidRPr="001A48D3">
        <w:t xml:space="preserve">As noted in </w:t>
      </w:r>
      <w:r w:rsidR="00CE0A88" w:rsidRPr="001A48D3">
        <w:t>Section</w:t>
      </w:r>
      <w:r w:rsidR="00234AFD" w:rsidRPr="001A48D3">
        <w:t xml:space="preserve"> 1.6, c</w:t>
      </w:r>
      <w:r w:rsidR="00B311FA" w:rsidRPr="001A48D3">
        <w:t xml:space="preserve">onsideration of voluntary standards are not </w:t>
      </w:r>
      <w:r w:rsidR="004C5C73" w:rsidRPr="001A48D3">
        <w:t xml:space="preserve">appropriate </w:t>
      </w:r>
      <w:r w:rsidR="00B311FA" w:rsidRPr="001A48D3">
        <w:t>in the context of this review</w:t>
      </w:r>
      <w:r w:rsidR="00D663AE" w:rsidRPr="001A48D3">
        <w:t>.</w:t>
      </w:r>
    </w:p>
    <w:p w:rsidR="00A1667B" w:rsidRPr="001A48D3" w:rsidRDefault="00A1667B" w:rsidP="00C4701A">
      <w:pPr>
        <w:spacing w:after="120"/>
      </w:pPr>
      <w:r w:rsidRPr="001A48D3">
        <w:t xml:space="preserve">In broad terms, the aim of </w:t>
      </w:r>
      <w:r w:rsidR="00AF01A3" w:rsidRPr="001A48D3">
        <w:t>emissions</w:t>
      </w:r>
      <w:r w:rsidRPr="001A48D3">
        <w:t xml:space="preserve"> standards is to reduce emissions from vehicles </w:t>
      </w:r>
      <w:r w:rsidR="00612666" w:rsidRPr="001A48D3">
        <w:t>to as</w:t>
      </w:r>
      <w:r w:rsidRPr="001A48D3">
        <w:t xml:space="preserve"> low </w:t>
      </w:r>
      <w:r w:rsidR="00612666" w:rsidRPr="001A48D3">
        <w:t xml:space="preserve">a level </w:t>
      </w:r>
      <w:r w:rsidRPr="001A48D3">
        <w:t>as p</w:t>
      </w:r>
      <w:r w:rsidR="00612666" w:rsidRPr="001A48D3">
        <w:t>ractical</w:t>
      </w:r>
      <w:r w:rsidRPr="001A48D3">
        <w:t xml:space="preserve"> to assist Australia’s major urban </w:t>
      </w:r>
      <w:proofErr w:type="spellStart"/>
      <w:r w:rsidRPr="001A48D3">
        <w:t>airsheds</w:t>
      </w:r>
      <w:proofErr w:type="spellEnd"/>
      <w:r w:rsidRPr="001A48D3">
        <w:t xml:space="preserve"> to achieve compliance with the Air NEPM Standards identified in Table 1 (</w:t>
      </w:r>
      <w:r w:rsidR="00CE0A88" w:rsidRPr="001A48D3">
        <w:t>Section</w:t>
      </w:r>
      <w:r w:rsidRPr="001A48D3">
        <w:t xml:space="preserve"> 1.1).  </w:t>
      </w:r>
      <w:r w:rsidR="00612666" w:rsidRPr="001A48D3">
        <w:t>I</w:t>
      </w:r>
      <w:r w:rsidRPr="001A48D3">
        <w:t xml:space="preserve">t is not possible to identify a specific optimal emissions level for the contribution from motor vehicles alone, as compliance with the NEPM standards is also affected by other, non-vehicle, sources of emissions.  In addition, as noted in </w:t>
      </w:r>
      <w:r w:rsidR="00CE0A88" w:rsidRPr="001A48D3">
        <w:t>Section</w:t>
      </w:r>
      <w:r w:rsidRPr="001A48D3">
        <w:t xml:space="preserve"> 1</w:t>
      </w:r>
      <w:r w:rsidR="009A1A01" w:rsidRPr="001A48D3">
        <w:t xml:space="preserve"> (and Appendix A)</w:t>
      </w:r>
      <w:r w:rsidRPr="001A48D3">
        <w:t xml:space="preserve">, continuing research </w:t>
      </w:r>
      <w:r w:rsidR="009A1A01" w:rsidRPr="001A48D3">
        <w:t xml:space="preserve">into the impacts of </w:t>
      </w:r>
      <w:r w:rsidRPr="001A48D3">
        <w:t xml:space="preserve">key pollutants such as PM, </w:t>
      </w:r>
      <w:r w:rsidR="009A1A01" w:rsidRPr="001A48D3">
        <w:t xml:space="preserve">has yet to conclude a </w:t>
      </w:r>
      <w:r w:rsidRPr="001A48D3">
        <w:t>safe threshold level</w:t>
      </w:r>
      <w:r w:rsidR="009A1A01" w:rsidRPr="001A48D3">
        <w:t xml:space="preserve"> for these pollutants</w:t>
      </w:r>
      <w:r w:rsidR="00612666" w:rsidRPr="001A48D3">
        <w:t>, and some NEPM standards are likely to become more stringent over time</w:t>
      </w:r>
      <w:r w:rsidRPr="001A48D3">
        <w:t>.</w:t>
      </w:r>
    </w:p>
    <w:p w:rsidR="006B6CE6" w:rsidRPr="001A48D3" w:rsidRDefault="006B6CE6" w:rsidP="00C4701A">
      <w:pPr>
        <w:spacing w:after="120"/>
      </w:pPr>
      <w:r w:rsidRPr="001A48D3">
        <w:t xml:space="preserve">As indicated in </w:t>
      </w:r>
      <w:r w:rsidR="00CE0A88" w:rsidRPr="001A48D3">
        <w:t>Section</w:t>
      </w:r>
      <w:r w:rsidRPr="001A48D3">
        <w:t xml:space="preserve"> 1.5.2, the Euro 5 light vehicle emissions standards begin to take effect in Europe from late 2009, and the Euro 6 standards from 2014.  If the case is made for adopting these standards in Australia, a balance needs to be found between the earliest possible introduction, which would maximise emissions benefits, and a delayed introduction, which allows vehicle manufacturers sufficient time to amortise their investment in achieving compliance with one standard before being required to upgrade to meet the next.  </w:t>
      </w:r>
    </w:p>
    <w:p w:rsidR="006B6CE6" w:rsidRPr="001A48D3" w:rsidRDefault="006B6CE6" w:rsidP="00C4701A">
      <w:pPr>
        <w:spacing w:after="120"/>
      </w:pPr>
      <w:r w:rsidRPr="001A48D3">
        <w:t xml:space="preserve">In relation to light vehicles, Australia has already adopted the </w:t>
      </w:r>
      <w:r w:rsidRPr="001A48D3">
        <w:rPr>
          <w:rFonts w:cs="Arial"/>
          <w:szCs w:val="24"/>
        </w:rPr>
        <w:t>Euro 4</w:t>
      </w:r>
      <w:r w:rsidRPr="001A48D3">
        <w:t xml:space="preserve"> standards for both petrol and diesel vehicles, with the </w:t>
      </w:r>
      <w:r w:rsidRPr="001A48D3">
        <w:rPr>
          <w:rFonts w:cs="Arial"/>
          <w:szCs w:val="24"/>
        </w:rPr>
        <w:t>Euro 4</w:t>
      </w:r>
      <w:r w:rsidRPr="001A48D3">
        <w:t xml:space="preserve"> standards fully implemented for diesels by the end of 2006, and for petrol vehicles by </w:t>
      </w:r>
      <w:proofErr w:type="spellStart"/>
      <w:r w:rsidRPr="001A48D3">
        <w:t>mid 2010</w:t>
      </w:r>
      <w:proofErr w:type="spellEnd"/>
      <w:r w:rsidRPr="001A48D3">
        <w:t xml:space="preserve">.  As noted earlier, the “basic” Euro 5 standards commence implementation from September 2009 in Europe, with some later start dates for elements relating to the new particle number measurement and </w:t>
      </w:r>
      <w:r w:rsidR="00F15B09" w:rsidRPr="001A48D3">
        <w:t xml:space="preserve">certain </w:t>
      </w:r>
      <w:r w:rsidRPr="001A48D3">
        <w:t xml:space="preserve">OBD requirements.  </w:t>
      </w:r>
      <w:r w:rsidR="00101556" w:rsidRPr="001A48D3">
        <w:t>At the time the draft RIS was prepared, t</w:t>
      </w:r>
      <w:r w:rsidRPr="001A48D3">
        <w:t xml:space="preserve">hese base timings </w:t>
      </w:r>
      <w:r w:rsidR="00101556" w:rsidRPr="001A48D3">
        <w:t xml:space="preserve">were </w:t>
      </w:r>
      <w:r w:rsidRPr="001A48D3">
        <w:t xml:space="preserve">also reflected in the revised ECE Regulation 83/06 which </w:t>
      </w:r>
      <w:r w:rsidR="00E639AD" w:rsidRPr="001A48D3">
        <w:t>is</w:t>
      </w:r>
      <w:r w:rsidRPr="001A48D3">
        <w:t xml:space="preserve"> the standard </w:t>
      </w:r>
      <w:r w:rsidR="00E639AD" w:rsidRPr="001A48D3">
        <w:t xml:space="preserve">any new </w:t>
      </w:r>
      <w:r w:rsidRPr="001A48D3">
        <w:t>ADR</w:t>
      </w:r>
      <w:r w:rsidR="00E639AD" w:rsidRPr="001A48D3">
        <w:t>(</w:t>
      </w:r>
      <w:r w:rsidRPr="001A48D3">
        <w:t>s</w:t>
      </w:r>
      <w:r w:rsidR="00E639AD" w:rsidRPr="001A48D3">
        <w:t>)</w:t>
      </w:r>
      <w:r w:rsidRPr="001A48D3">
        <w:t xml:space="preserve"> would reference to adopt the Euro 5/6 </w:t>
      </w:r>
      <w:r w:rsidR="00AF01A3" w:rsidRPr="001A48D3">
        <w:t>emissions</w:t>
      </w:r>
      <w:r w:rsidRPr="001A48D3">
        <w:t xml:space="preserve"> standards.</w:t>
      </w:r>
      <w:r w:rsidR="00101556" w:rsidRPr="001A48D3">
        <w:t xml:space="preserve">  </w:t>
      </w:r>
      <w:r w:rsidR="001A7D92" w:rsidRPr="001A48D3">
        <w:t>In t</w:t>
      </w:r>
      <w:r w:rsidR="00101556" w:rsidRPr="001A48D3">
        <w:t xml:space="preserve">he final text of ECE </w:t>
      </w:r>
      <w:proofErr w:type="spellStart"/>
      <w:r w:rsidR="00101556" w:rsidRPr="001A48D3">
        <w:t>Reg</w:t>
      </w:r>
      <w:proofErr w:type="spellEnd"/>
      <w:r w:rsidR="00101556" w:rsidRPr="001A48D3">
        <w:t xml:space="preserve"> 83/06 </w:t>
      </w:r>
      <w:r w:rsidR="001A7D92" w:rsidRPr="001A48D3">
        <w:t xml:space="preserve">subsequently </w:t>
      </w:r>
      <w:r w:rsidR="00101556" w:rsidRPr="001A48D3">
        <w:t xml:space="preserve">agreed by the UN ECE in March 2010, the progressive introduction </w:t>
      </w:r>
      <w:r w:rsidR="001A7D92" w:rsidRPr="001A48D3">
        <w:t xml:space="preserve">timetable for </w:t>
      </w:r>
      <w:r w:rsidR="00101556" w:rsidRPr="001A48D3">
        <w:t>the Euro 5 standards</w:t>
      </w:r>
      <w:r w:rsidR="001A7D92" w:rsidRPr="001A48D3">
        <w:t xml:space="preserve"> was removed</w:t>
      </w:r>
      <w:r w:rsidR="00101556" w:rsidRPr="001A48D3">
        <w:t xml:space="preserve"> and </w:t>
      </w:r>
      <w:r w:rsidR="001A7D92" w:rsidRPr="001A48D3">
        <w:t xml:space="preserve">the standard now adopts </w:t>
      </w:r>
      <w:r w:rsidR="00101556" w:rsidRPr="001A48D3">
        <w:t xml:space="preserve">the “full” </w:t>
      </w:r>
      <w:r w:rsidR="001A7D92" w:rsidRPr="001A48D3">
        <w:t xml:space="preserve">Euro 5 </w:t>
      </w:r>
      <w:r w:rsidR="00101556" w:rsidRPr="001A48D3">
        <w:t xml:space="preserve">standards (including particle number measurement and </w:t>
      </w:r>
      <w:r w:rsidR="00F15B09" w:rsidRPr="001A48D3">
        <w:t xml:space="preserve">all </w:t>
      </w:r>
      <w:r w:rsidR="00101556" w:rsidRPr="001A48D3">
        <w:t>OBD requirements).</w:t>
      </w:r>
      <w:r w:rsidR="001A7D92" w:rsidRPr="001A48D3">
        <w:t xml:space="preserve">  Under the ECE Regulation, implementation dates are left to the discretion of member states (other than the EU members who are subject to the dates in the equivalent EC Regulation)</w:t>
      </w:r>
      <w:r w:rsidR="00285302" w:rsidRPr="001A48D3">
        <w:t>.</w:t>
      </w:r>
    </w:p>
    <w:p w:rsidR="006B6CE6" w:rsidRPr="001A48D3" w:rsidRDefault="006B6CE6" w:rsidP="00C4701A">
      <w:pPr>
        <w:spacing w:after="120"/>
      </w:pPr>
      <w:r w:rsidRPr="001A48D3">
        <w:t xml:space="preserve">In considering the international situation, and the lead time question, it would appear that 2012 would be the earliest feasible date for mandating compliance with </w:t>
      </w:r>
      <w:r w:rsidRPr="001A48D3">
        <w:lastRenderedPageBreak/>
        <w:t xml:space="preserve">the Euro 5 light duty vehicle standards.  Given the later implementation of Euro 4 for petrol vehicles in Australia, some consideration could be given to a later timeframe for petrol vehicles.  This timing question is explored in the options set out in this </w:t>
      </w:r>
      <w:r w:rsidR="00CE0A88" w:rsidRPr="001A48D3">
        <w:t>Section</w:t>
      </w:r>
      <w:r w:rsidRPr="001A48D3">
        <w:t xml:space="preserve"> 3.</w:t>
      </w:r>
    </w:p>
    <w:p w:rsidR="002F1602" w:rsidRPr="001A48D3" w:rsidRDefault="00A1667B" w:rsidP="00C4701A">
      <w:pPr>
        <w:spacing w:after="120"/>
      </w:pPr>
      <w:r w:rsidRPr="001A48D3">
        <w:t xml:space="preserve">This Options section of the </w:t>
      </w:r>
      <w:r w:rsidR="002F1602" w:rsidRPr="001A48D3">
        <w:t>RIS considers:</w:t>
      </w:r>
    </w:p>
    <w:p w:rsidR="002F1602" w:rsidRPr="001A48D3" w:rsidRDefault="002F1602" w:rsidP="00C4701A">
      <w:pPr>
        <w:numPr>
          <w:ilvl w:val="0"/>
          <w:numId w:val="15"/>
        </w:numPr>
        <w:spacing w:after="120"/>
      </w:pPr>
      <w:r w:rsidRPr="001A48D3">
        <w:t>the emissions and air quality benefits expected from the emissions and fuel standards already in place;</w:t>
      </w:r>
    </w:p>
    <w:p w:rsidR="002F1602" w:rsidRPr="001A48D3" w:rsidRDefault="002F1602" w:rsidP="00C4701A">
      <w:pPr>
        <w:numPr>
          <w:ilvl w:val="0"/>
          <w:numId w:val="15"/>
        </w:numPr>
        <w:spacing w:after="120"/>
      </w:pPr>
      <w:r w:rsidRPr="001A48D3">
        <w:t>the additional benefits that would derive from the adoption of more stringent standards, specifically the Euro 5 and Euro 6 emissions standards for light vehicles;</w:t>
      </w:r>
    </w:p>
    <w:p w:rsidR="002F1602" w:rsidRPr="001A48D3" w:rsidRDefault="002F1602" w:rsidP="00C4701A">
      <w:pPr>
        <w:numPr>
          <w:ilvl w:val="0"/>
          <w:numId w:val="15"/>
        </w:numPr>
        <w:spacing w:after="120"/>
      </w:pPr>
      <w:r w:rsidRPr="001A48D3">
        <w:t xml:space="preserve">the costs associated with the adoption of the Euro 5 and Euro 6 </w:t>
      </w:r>
      <w:r w:rsidR="00AF01A3" w:rsidRPr="001A48D3">
        <w:t>emissions</w:t>
      </w:r>
      <w:r w:rsidRPr="001A48D3">
        <w:t xml:space="preserve"> standards;</w:t>
      </w:r>
      <w:r w:rsidR="00A842CD" w:rsidRPr="001A48D3">
        <w:t xml:space="preserve"> and</w:t>
      </w:r>
    </w:p>
    <w:p w:rsidR="002F1602" w:rsidRPr="001A48D3" w:rsidRDefault="002F1602" w:rsidP="00C4701A">
      <w:pPr>
        <w:numPr>
          <w:ilvl w:val="0"/>
          <w:numId w:val="15"/>
        </w:numPr>
        <w:spacing w:after="120"/>
      </w:pPr>
      <w:r w:rsidRPr="001A48D3">
        <w:t>the most appropriate timing for the introduction of any new standards.</w:t>
      </w:r>
    </w:p>
    <w:p w:rsidR="00896A37" w:rsidRPr="001A48D3" w:rsidRDefault="00B311FA" w:rsidP="00C4701A">
      <w:pPr>
        <w:spacing w:after="120"/>
      </w:pPr>
      <w:r w:rsidRPr="001A48D3">
        <w:t>In broad terms the options can be described as follows:</w:t>
      </w:r>
    </w:p>
    <w:p w:rsidR="00B311FA" w:rsidRPr="001A48D3" w:rsidRDefault="00B311FA" w:rsidP="00C4701A">
      <w:pPr>
        <w:spacing w:after="120"/>
      </w:pPr>
      <w:r w:rsidRPr="001A48D3">
        <w:rPr>
          <w:i/>
        </w:rPr>
        <w:t>Option 1</w:t>
      </w:r>
      <w:r w:rsidRPr="001A48D3">
        <w:tab/>
        <w:t>No change to vehicle or fuel standards</w:t>
      </w:r>
    </w:p>
    <w:p w:rsidR="00C426DA" w:rsidRPr="001A48D3" w:rsidRDefault="00B311FA" w:rsidP="00C4701A">
      <w:pPr>
        <w:spacing w:after="120"/>
      </w:pPr>
      <w:r w:rsidRPr="001A48D3">
        <w:rPr>
          <w:i/>
        </w:rPr>
        <w:t>Option 2</w:t>
      </w:r>
      <w:r w:rsidRPr="001A48D3">
        <w:tab/>
        <w:t>Introduction of Euro 5/6 on earliest practical timeframes</w:t>
      </w:r>
    </w:p>
    <w:p w:rsidR="00B311FA" w:rsidRPr="001A48D3" w:rsidRDefault="00B311FA" w:rsidP="00C4701A">
      <w:pPr>
        <w:spacing w:after="120"/>
      </w:pPr>
      <w:r w:rsidRPr="001A48D3">
        <w:rPr>
          <w:i/>
        </w:rPr>
        <w:t xml:space="preserve">Option </w:t>
      </w:r>
      <w:r w:rsidR="00C840AE" w:rsidRPr="001A48D3">
        <w:rPr>
          <w:i/>
        </w:rPr>
        <w:t>3</w:t>
      </w:r>
      <w:r w:rsidRPr="001A48D3">
        <w:tab/>
        <w:t>As for Option 2, except delayed timeframe for petrol and LPG vehicles</w:t>
      </w:r>
    </w:p>
    <w:p w:rsidR="00393D4D" w:rsidRPr="001A48D3" w:rsidRDefault="00393D4D" w:rsidP="00C4701A">
      <w:pPr>
        <w:spacing w:after="120"/>
      </w:pPr>
      <w:r w:rsidRPr="001A48D3">
        <w:rPr>
          <w:i/>
        </w:rPr>
        <w:t>Option 4</w:t>
      </w:r>
      <w:r w:rsidRPr="001A48D3">
        <w:rPr>
          <w:i/>
        </w:rPr>
        <w:tab/>
      </w:r>
      <w:r w:rsidRPr="001A48D3">
        <w:t>As for Option 2, except apply to diesel vehicles only (no change to petrol standards)</w:t>
      </w:r>
    </w:p>
    <w:p w:rsidR="00393D4D" w:rsidRPr="001A48D3" w:rsidRDefault="00393D4D" w:rsidP="00C4701A">
      <w:pPr>
        <w:spacing w:after="120"/>
      </w:pPr>
      <w:r w:rsidRPr="001A48D3">
        <w:rPr>
          <w:i/>
        </w:rPr>
        <w:t>Option 5</w:t>
      </w:r>
      <w:r w:rsidRPr="001A48D3">
        <w:rPr>
          <w:i/>
        </w:rPr>
        <w:tab/>
      </w:r>
      <w:r w:rsidRPr="001A48D3">
        <w:t>Introduction of Euro 5 only on earliest practical timeframes</w:t>
      </w:r>
    </w:p>
    <w:p w:rsidR="00393D4D" w:rsidRPr="001A48D3" w:rsidRDefault="00393D4D" w:rsidP="00C4701A">
      <w:pPr>
        <w:spacing w:after="120"/>
      </w:pPr>
      <w:r w:rsidRPr="001A48D3">
        <w:rPr>
          <w:i/>
        </w:rPr>
        <w:t>Option 6</w:t>
      </w:r>
      <w:r w:rsidRPr="001A48D3">
        <w:rPr>
          <w:i/>
        </w:rPr>
        <w:tab/>
      </w:r>
      <w:r w:rsidRPr="001A48D3">
        <w:t>Introduction of Euro 6 only on earliest practical timeframes</w:t>
      </w:r>
    </w:p>
    <w:p w:rsidR="005760F2" w:rsidRPr="001A48D3" w:rsidRDefault="00AD4C08" w:rsidP="00C4701A">
      <w:pPr>
        <w:spacing w:after="120"/>
      </w:pPr>
      <w:r w:rsidRPr="001A48D3">
        <w:t>Table 4</w:t>
      </w:r>
      <w:r w:rsidR="005760F2" w:rsidRPr="001A48D3">
        <w:t xml:space="preserve"> outlines the key elements of each of the </w:t>
      </w:r>
      <w:r w:rsidR="00393D4D" w:rsidRPr="001A48D3">
        <w:t>six</w:t>
      </w:r>
      <w:r w:rsidR="005760F2" w:rsidRPr="001A48D3">
        <w:t xml:space="preserve"> options, which are considered in detail in </w:t>
      </w:r>
      <w:r w:rsidR="00CE0A88" w:rsidRPr="001A48D3">
        <w:t>S</w:t>
      </w:r>
      <w:r w:rsidR="005760F2" w:rsidRPr="001A48D3">
        <w:t xml:space="preserve">ections </w:t>
      </w:r>
      <w:r w:rsidR="00393D4D" w:rsidRPr="001A48D3">
        <w:t>3.2 – 3.7</w:t>
      </w:r>
      <w:r w:rsidR="005760F2" w:rsidRPr="001A48D3">
        <w:t>.  These options also form the basis of the cost benefit analysis discussed in Section 4 of this RIS.  All references to years in the options below assume a 1 January start date.</w:t>
      </w:r>
    </w:p>
    <w:p w:rsidR="00C840AE" w:rsidRPr="001A48D3" w:rsidRDefault="001E5B08" w:rsidP="00C4701A">
      <w:pPr>
        <w:spacing w:afterLines="80" w:after="192"/>
      </w:pPr>
      <w:r w:rsidRPr="001A48D3">
        <w:br w:type="page"/>
      </w:r>
    </w:p>
    <w:p w:rsidR="00896A37" w:rsidRPr="00B52F7D" w:rsidRDefault="00AD4C08" w:rsidP="00C4701A">
      <w:pPr>
        <w:pStyle w:val="Heading5"/>
        <w:spacing w:after="120"/>
        <w:rPr>
          <w:b/>
          <w:sz w:val="24"/>
        </w:rPr>
      </w:pPr>
      <w:bookmarkStart w:id="43" w:name="_Toc430182507"/>
      <w:r w:rsidRPr="00B52F7D">
        <w:rPr>
          <w:b/>
          <w:sz w:val="24"/>
        </w:rPr>
        <w:lastRenderedPageBreak/>
        <w:t>Table 4</w:t>
      </w:r>
      <w:r w:rsidR="00B311FA" w:rsidRPr="00B52F7D">
        <w:rPr>
          <w:b/>
          <w:sz w:val="24"/>
        </w:rPr>
        <w:tab/>
      </w:r>
      <w:r w:rsidR="00964521" w:rsidRPr="00B52F7D">
        <w:rPr>
          <w:b/>
          <w:sz w:val="24"/>
        </w:rPr>
        <w:t>Summary of Options</w:t>
      </w:r>
      <w:bookmarkEnd w:id="43"/>
    </w:p>
    <w:tbl>
      <w:tblPr>
        <w:tblW w:w="839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81"/>
        <w:gridCol w:w="1843"/>
        <w:gridCol w:w="2126"/>
        <w:gridCol w:w="1843"/>
        <w:gridCol w:w="1701"/>
      </w:tblGrid>
      <w:tr w:rsidR="00C426DA" w:rsidRPr="001A48D3" w:rsidTr="00153F3E">
        <w:trPr>
          <w:trHeight w:val="290"/>
        </w:trPr>
        <w:tc>
          <w:tcPr>
            <w:tcW w:w="881" w:type="dxa"/>
            <w:tcBorders>
              <w:bottom w:val="nil"/>
            </w:tcBorders>
            <w:shd w:val="clear" w:color="auto" w:fill="FFC000"/>
          </w:tcPr>
          <w:p w:rsidR="00C426DA" w:rsidRPr="001A48D3" w:rsidRDefault="00C426DA" w:rsidP="00C4701A">
            <w:pPr>
              <w:spacing w:before="120" w:after="120"/>
              <w:jc w:val="center"/>
              <w:rPr>
                <w:b/>
                <w:sz w:val="22"/>
                <w:szCs w:val="22"/>
              </w:rPr>
            </w:pPr>
            <w:r w:rsidRPr="001A48D3">
              <w:rPr>
                <w:b/>
                <w:sz w:val="22"/>
                <w:szCs w:val="22"/>
              </w:rPr>
              <w:t>Option No.</w:t>
            </w:r>
          </w:p>
        </w:tc>
        <w:tc>
          <w:tcPr>
            <w:tcW w:w="7513" w:type="dxa"/>
            <w:gridSpan w:val="4"/>
            <w:shd w:val="clear" w:color="auto" w:fill="FFC000"/>
          </w:tcPr>
          <w:p w:rsidR="00C426DA" w:rsidRPr="001A48D3" w:rsidRDefault="00C426DA" w:rsidP="00C4701A">
            <w:pPr>
              <w:spacing w:before="120" w:after="120"/>
              <w:jc w:val="center"/>
              <w:rPr>
                <w:b/>
                <w:sz w:val="22"/>
                <w:szCs w:val="22"/>
              </w:rPr>
            </w:pPr>
            <w:r w:rsidRPr="001A48D3">
              <w:rPr>
                <w:b/>
                <w:sz w:val="22"/>
                <w:szCs w:val="22"/>
              </w:rPr>
              <w:t xml:space="preserve">Vehicle Standards </w:t>
            </w:r>
          </w:p>
          <w:p w:rsidR="00C426DA" w:rsidRPr="001A48D3" w:rsidRDefault="00C426DA" w:rsidP="00C4701A">
            <w:pPr>
              <w:spacing w:before="120" w:after="120"/>
              <w:jc w:val="center"/>
              <w:rPr>
                <w:b/>
                <w:sz w:val="22"/>
                <w:szCs w:val="22"/>
              </w:rPr>
            </w:pPr>
          </w:p>
        </w:tc>
      </w:tr>
      <w:tr w:rsidR="00C426DA" w:rsidRPr="001A48D3" w:rsidTr="00153F3E">
        <w:trPr>
          <w:trHeight w:val="290"/>
        </w:trPr>
        <w:tc>
          <w:tcPr>
            <w:tcW w:w="881" w:type="dxa"/>
            <w:tcBorders>
              <w:top w:val="nil"/>
              <w:bottom w:val="nil"/>
            </w:tcBorders>
            <w:shd w:val="clear" w:color="auto" w:fill="FFC000"/>
          </w:tcPr>
          <w:p w:rsidR="00C426DA" w:rsidRPr="001A48D3" w:rsidRDefault="00C426DA" w:rsidP="00C4701A">
            <w:pPr>
              <w:spacing w:before="120" w:after="120"/>
              <w:jc w:val="center"/>
              <w:rPr>
                <w:b/>
                <w:sz w:val="22"/>
                <w:szCs w:val="22"/>
              </w:rPr>
            </w:pPr>
          </w:p>
        </w:tc>
        <w:tc>
          <w:tcPr>
            <w:tcW w:w="1843" w:type="dxa"/>
            <w:tcBorders>
              <w:bottom w:val="nil"/>
            </w:tcBorders>
            <w:shd w:val="clear" w:color="auto" w:fill="FFC000"/>
          </w:tcPr>
          <w:p w:rsidR="00C426DA" w:rsidRPr="001A48D3" w:rsidRDefault="00C426DA" w:rsidP="00C4701A">
            <w:pPr>
              <w:spacing w:before="120" w:after="120"/>
              <w:jc w:val="center"/>
              <w:rPr>
                <w:b/>
                <w:sz w:val="22"/>
                <w:szCs w:val="22"/>
              </w:rPr>
            </w:pPr>
            <w:r w:rsidRPr="001A48D3">
              <w:rPr>
                <w:b/>
                <w:sz w:val="22"/>
                <w:szCs w:val="22"/>
              </w:rPr>
              <w:t>Euro Level</w:t>
            </w:r>
          </w:p>
        </w:tc>
        <w:tc>
          <w:tcPr>
            <w:tcW w:w="2126" w:type="dxa"/>
            <w:tcBorders>
              <w:bottom w:val="nil"/>
            </w:tcBorders>
            <w:shd w:val="clear" w:color="auto" w:fill="FFC000"/>
          </w:tcPr>
          <w:p w:rsidR="00C426DA" w:rsidRPr="001A48D3" w:rsidRDefault="00C426DA" w:rsidP="00C4701A">
            <w:pPr>
              <w:spacing w:before="120" w:after="120"/>
              <w:jc w:val="center"/>
              <w:rPr>
                <w:b/>
                <w:sz w:val="22"/>
                <w:szCs w:val="22"/>
              </w:rPr>
            </w:pPr>
            <w:r w:rsidRPr="001A48D3">
              <w:rPr>
                <w:b/>
                <w:sz w:val="22"/>
                <w:szCs w:val="22"/>
              </w:rPr>
              <w:t>Vehicle Group</w:t>
            </w:r>
          </w:p>
        </w:tc>
        <w:tc>
          <w:tcPr>
            <w:tcW w:w="3544" w:type="dxa"/>
            <w:gridSpan w:val="2"/>
            <w:shd w:val="clear" w:color="auto" w:fill="FFC000"/>
          </w:tcPr>
          <w:p w:rsidR="00C426DA" w:rsidRPr="001A48D3" w:rsidRDefault="00C426DA" w:rsidP="00C4701A">
            <w:pPr>
              <w:spacing w:before="120" w:after="120"/>
              <w:jc w:val="center"/>
              <w:rPr>
                <w:b/>
                <w:sz w:val="22"/>
                <w:szCs w:val="22"/>
              </w:rPr>
            </w:pPr>
            <w:r w:rsidRPr="001A48D3">
              <w:rPr>
                <w:b/>
                <w:sz w:val="22"/>
                <w:szCs w:val="22"/>
              </w:rPr>
              <w:t>Date of Effect</w:t>
            </w:r>
          </w:p>
          <w:p w:rsidR="00C426DA" w:rsidRPr="001A48D3" w:rsidRDefault="00C426DA" w:rsidP="00C4701A">
            <w:pPr>
              <w:spacing w:before="120" w:after="120"/>
              <w:jc w:val="center"/>
              <w:rPr>
                <w:b/>
                <w:sz w:val="22"/>
                <w:szCs w:val="22"/>
              </w:rPr>
            </w:pPr>
            <w:r w:rsidRPr="001A48D3">
              <w:rPr>
                <w:b/>
                <w:sz w:val="22"/>
                <w:szCs w:val="22"/>
              </w:rPr>
              <w:t>(1 January....)</w:t>
            </w:r>
          </w:p>
        </w:tc>
      </w:tr>
      <w:tr w:rsidR="00C426DA" w:rsidRPr="001A48D3" w:rsidTr="00153F3E">
        <w:trPr>
          <w:trHeight w:val="290"/>
        </w:trPr>
        <w:tc>
          <w:tcPr>
            <w:tcW w:w="881" w:type="dxa"/>
            <w:tcBorders>
              <w:top w:val="nil"/>
            </w:tcBorders>
            <w:shd w:val="clear" w:color="auto" w:fill="FFC000"/>
          </w:tcPr>
          <w:p w:rsidR="00C426DA" w:rsidRPr="001A48D3" w:rsidRDefault="00C426DA" w:rsidP="00C4701A">
            <w:pPr>
              <w:spacing w:before="120" w:after="120"/>
              <w:jc w:val="center"/>
              <w:rPr>
                <w:b/>
                <w:sz w:val="22"/>
                <w:szCs w:val="22"/>
              </w:rPr>
            </w:pPr>
          </w:p>
        </w:tc>
        <w:tc>
          <w:tcPr>
            <w:tcW w:w="1843" w:type="dxa"/>
            <w:tcBorders>
              <w:top w:val="nil"/>
            </w:tcBorders>
            <w:shd w:val="clear" w:color="auto" w:fill="FFC000"/>
          </w:tcPr>
          <w:p w:rsidR="00C426DA" w:rsidRPr="001A48D3" w:rsidRDefault="00C426DA" w:rsidP="00C4701A">
            <w:pPr>
              <w:spacing w:before="120" w:after="120"/>
              <w:jc w:val="center"/>
              <w:rPr>
                <w:b/>
                <w:sz w:val="22"/>
                <w:szCs w:val="22"/>
              </w:rPr>
            </w:pPr>
          </w:p>
        </w:tc>
        <w:tc>
          <w:tcPr>
            <w:tcW w:w="2126" w:type="dxa"/>
            <w:tcBorders>
              <w:top w:val="nil"/>
            </w:tcBorders>
            <w:shd w:val="clear" w:color="auto" w:fill="FFC000"/>
          </w:tcPr>
          <w:p w:rsidR="00C426DA" w:rsidRPr="001A48D3" w:rsidRDefault="00C426DA" w:rsidP="00C4701A">
            <w:pPr>
              <w:spacing w:before="120" w:after="120"/>
              <w:jc w:val="center"/>
              <w:rPr>
                <w:b/>
                <w:sz w:val="22"/>
                <w:szCs w:val="22"/>
              </w:rPr>
            </w:pPr>
          </w:p>
        </w:tc>
        <w:tc>
          <w:tcPr>
            <w:tcW w:w="1843" w:type="dxa"/>
            <w:shd w:val="clear" w:color="auto" w:fill="FFC000"/>
          </w:tcPr>
          <w:p w:rsidR="00C426DA" w:rsidRPr="001A48D3" w:rsidRDefault="00C426DA" w:rsidP="00C4701A">
            <w:pPr>
              <w:spacing w:before="120" w:after="120"/>
              <w:jc w:val="center"/>
              <w:rPr>
                <w:b/>
                <w:sz w:val="22"/>
                <w:szCs w:val="22"/>
              </w:rPr>
            </w:pPr>
            <w:r w:rsidRPr="001A48D3">
              <w:rPr>
                <w:b/>
                <w:sz w:val="22"/>
                <w:szCs w:val="22"/>
              </w:rPr>
              <w:t>New Models</w:t>
            </w:r>
          </w:p>
        </w:tc>
        <w:tc>
          <w:tcPr>
            <w:tcW w:w="1701" w:type="dxa"/>
            <w:shd w:val="clear" w:color="auto" w:fill="FFC000"/>
          </w:tcPr>
          <w:p w:rsidR="00C426DA" w:rsidRPr="001A48D3" w:rsidRDefault="00C426DA" w:rsidP="00C4701A">
            <w:pPr>
              <w:spacing w:before="120" w:after="120"/>
              <w:jc w:val="center"/>
              <w:rPr>
                <w:b/>
                <w:sz w:val="22"/>
                <w:szCs w:val="22"/>
              </w:rPr>
            </w:pPr>
            <w:r w:rsidRPr="001A48D3">
              <w:rPr>
                <w:b/>
                <w:sz w:val="22"/>
                <w:szCs w:val="22"/>
              </w:rPr>
              <w:t>All Models</w:t>
            </w:r>
          </w:p>
        </w:tc>
      </w:tr>
      <w:tr w:rsidR="00C426DA" w:rsidRPr="001A48D3" w:rsidTr="00153F3E">
        <w:trPr>
          <w:trHeight w:val="290"/>
        </w:trPr>
        <w:tc>
          <w:tcPr>
            <w:tcW w:w="881" w:type="dxa"/>
          </w:tcPr>
          <w:p w:rsidR="00C426DA" w:rsidRPr="001A48D3" w:rsidRDefault="00C426DA" w:rsidP="00C4701A">
            <w:pPr>
              <w:autoSpaceDE w:val="0"/>
              <w:autoSpaceDN w:val="0"/>
              <w:adjustRightInd w:val="0"/>
              <w:spacing w:beforeLines="60" w:before="144" w:after="120"/>
              <w:jc w:val="center"/>
              <w:rPr>
                <w:rFonts w:cs="Calibri"/>
                <w:b/>
                <w:color w:val="000000"/>
                <w:sz w:val="22"/>
                <w:szCs w:val="22"/>
              </w:rPr>
            </w:pPr>
            <w:r w:rsidRPr="001A48D3">
              <w:rPr>
                <w:rFonts w:cs="Calibri"/>
                <w:b/>
                <w:color w:val="000000"/>
                <w:sz w:val="22"/>
                <w:szCs w:val="22"/>
              </w:rPr>
              <w:t>1</w:t>
            </w:r>
          </w:p>
        </w:tc>
        <w:tc>
          <w:tcPr>
            <w:tcW w:w="1843" w:type="dxa"/>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 xml:space="preserve">No Change </w:t>
            </w:r>
            <w:r w:rsidR="00361D22">
              <w:rPr>
                <w:rFonts w:cs="Calibri"/>
                <w:color w:val="000000"/>
                <w:sz w:val="22"/>
                <w:szCs w:val="22"/>
              </w:rPr>
              <w:br/>
            </w:r>
            <w:r w:rsidRPr="001A48D3">
              <w:rPr>
                <w:rFonts w:cs="Calibri"/>
                <w:color w:val="000000"/>
                <w:sz w:val="22"/>
                <w:szCs w:val="22"/>
              </w:rPr>
              <w:t>(Euro 4)</w:t>
            </w:r>
          </w:p>
        </w:tc>
        <w:tc>
          <w:tcPr>
            <w:tcW w:w="2126" w:type="dxa"/>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All light vehicles</w:t>
            </w:r>
          </w:p>
        </w:tc>
        <w:tc>
          <w:tcPr>
            <w:tcW w:w="1843" w:type="dxa"/>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NA</w:t>
            </w:r>
          </w:p>
        </w:tc>
        <w:tc>
          <w:tcPr>
            <w:tcW w:w="1701" w:type="dxa"/>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NA</w:t>
            </w:r>
          </w:p>
        </w:tc>
      </w:tr>
      <w:tr w:rsidR="00C426DA" w:rsidRPr="001A48D3" w:rsidTr="00153F3E">
        <w:trPr>
          <w:trHeight w:val="290"/>
        </w:trPr>
        <w:tc>
          <w:tcPr>
            <w:tcW w:w="881" w:type="dxa"/>
            <w:vMerge w:val="restart"/>
            <w:vAlign w:val="center"/>
          </w:tcPr>
          <w:p w:rsidR="00C426DA" w:rsidRPr="001A48D3" w:rsidRDefault="00C426DA" w:rsidP="00C4701A">
            <w:pPr>
              <w:autoSpaceDE w:val="0"/>
              <w:autoSpaceDN w:val="0"/>
              <w:adjustRightInd w:val="0"/>
              <w:spacing w:beforeLines="60" w:before="144" w:after="120"/>
              <w:jc w:val="center"/>
              <w:rPr>
                <w:rFonts w:cs="Calibri"/>
                <w:b/>
                <w:bCs/>
                <w:color w:val="000000"/>
                <w:sz w:val="22"/>
                <w:szCs w:val="22"/>
              </w:rPr>
            </w:pPr>
            <w:r w:rsidRPr="001A48D3">
              <w:rPr>
                <w:rFonts w:cs="Calibri"/>
                <w:b/>
                <w:bCs/>
                <w:color w:val="000000"/>
                <w:sz w:val="22"/>
                <w:szCs w:val="22"/>
              </w:rPr>
              <w:t>2</w:t>
            </w:r>
          </w:p>
        </w:tc>
        <w:tc>
          <w:tcPr>
            <w:tcW w:w="1843" w:type="dxa"/>
            <w:tcBorders>
              <w:bottom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Euro 5</w:t>
            </w:r>
          </w:p>
        </w:tc>
        <w:tc>
          <w:tcPr>
            <w:tcW w:w="2126" w:type="dxa"/>
            <w:tcBorders>
              <w:bottom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All light vehicles</w:t>
            </w:r>
          </w:p>
        </w:tc>
        <w:tc>
          <w:tcPr>
            <w:tcW w:w="1843" w:type="dxa"/>
            <w:tcBorders>
              <w:bottom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2012</w:t>
            </w:r>
          </w:p>
        </w:tc>
        <w:tc>
          <w:tcPr>
            <w:tcW w:w="1701" w:type="dxa"/>
            <w:tcBorders>
              <w:bottom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2013</w:t>
            </w:r>
          </w:p>
        </w:tc>
      </w:tr>
      <w:tr w:rsidR="00C426DA" w:rsidRPr="001A48D3" w:rsidTr="00153F3E">
        <w:trPr>
          <w:trHeight w:val="348"/>
        </w:trPr>
        <w:tc>
          <w:tcPr>
            <w:tcW w:w="881" w:type="dxa"/>
            <w:vMerge/>
            <w:vAlign w:val="center"/>
          </w:tcPr>
          <w:p w:rsidR="00C426DA" w:rsidRPr="001A48D3" w:rsidRDefault="00C426DA" w:rsidP="00C4701A">
            <w:pPr>
              <w:autoSpaceDE w:val="0"/>
              <w:autoSpaceDN w:val="0"/>
              <w:adjustRightInd w:val="0"/>
              <w:spacing w:beforeLines="60" w:before="144" w:after="120"/>
              <w:jc w:val="center"/>
              <w:rPr>
                <w:rFonts w:cs="Calibri"/>
                <w:b/>
                <w:bCs/>
                <w:color w:val="000000"/>
                <w:sz w:val="22"/>
                <w:szCs w:val="22"/>
              </w:rPr>
            </w:pPr>
          </w:p>
        </w:tc>
        <w:tc>
          <w:tcPr>
            <w:tcW w:w="1843" w:type="dxa"/>
            <w:tcBorders>
              <w:top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Euro 6</w:t>
            </w:r>
          </w:p>
        </w:tc>
        <w:tc>
          <w:tcPr>
            <w:tcW w:w="2126" w:type="dxa"/>
            <w:tcBorders>
              <w:top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All light vehicles</w:t>
            </w:r>
          </w:p>
        </w:tc>
        <w:tc>
          <w:tcPr>
            <w:tcW w:w="1843" w:type="dxa"/>
            <w:tcBorders>
              <w:top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2016</w:t>
            </w:r>
          </w:p>
        </w:tc>
        <w:tc>
          <w:tcPr>
            <w:tcW w:w="1701" w:type="dxa"/>
            <w:tcBorders>
              <w:top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2017</w:t>
            </w:r>
          </w:p>
        </w:tc>
      </w:tr>
      <w:tr w:rsidR="00C426DA" w:rsidRPr="001A48D3" w:rsidTr="00153F3E">
        <w:trPr>
          <w:trHeight w:val="290"/>
        </w:trPr>
        <w:tc>
          <w:tcPr>
            <w:tcW w:w="881" w:type="dxa"/>
            <w:vMerge w:val="restart"/>
            <w:vAlign w:val="center"/>
          </w:tcPr>
          <w:p w:rsidR="00C426DA" w:rsidRPr="001A48D3" w:rsidRDefault="00C426DA" w:rsidP="00C4701A">
            <w:pPr>
              <w:autoSpaceDE w:val="0"/>
              <w:autoSpaceDN w:val="0"/>
              <w:adjustRightInd w:val="0"/>
              <w:spacing w:beforeLines="60" w:before="144" w:after="120"/>
              <w:jc w:val="center"/>
              <w:rPr>
                <w:rFonts w:cs="Calibri"/>
                <w:b/>
                <w:bCs/>
                <w:color w:val="000000"/>
                <w:sz w:val="22"/>
                <w:szCs w:val="22"/>
              </w:rPr>
            </w:pPr>
            <w:r w:rsidRPr="001A48D3">
              <w:rPr>
                <w:rFonts w:cs="Calibri"/>
                <w:b/>
                <w:bCs/>
                <w:color w:val="000000"/>
                <w:sz w:val="22"/>
                <w:szCs w:val="22"/>
              </w:rPr>
              <w:t>3</w:t>
            </w:r>
          </w:p>
        </w:tc>
        <w:tc>
          <w:tcPr>
            <w:tcW w:w="1843" w:type="dxa"/>
            <w:vMerge w:val="restart"/>
            <w:vAlign w:val="center"/>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Euro 5</w:t>
            </w:r>
          </w:p>
        </w:tc>
        <w:tc>
          <w:tcPr>
            <w:tcW w:w="2126" w:type="dxa"/>
            <w:tcBorders>
              <w:bottom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Petrol &amp; LPG vehicles</w:t>
            </w:r>
          </w:p>
        </w:tc>
        <w:tc>
          <w:tcPr>
            <w:tcW w:w="1843" w:type="dxa"/>
            <w:tcBorders>
              <w:bottom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2013</w:t>
            </w:r>
          </w:p>
        </w:tc>
        <w:tc>
          <w:tcPr>
            <w:tcW w:w="1701" w:type="dxa"/>
            <w:tcBorders>
              <w:bottom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2014</w:t>
            </w:r>
          </w:p>
        </w:tc>
      </w:tr>
      <w:tr w:rsidR="00C426DA" w:rsidRPr="001A48D3" w:rsidTr="00153F3E">
        <w:trPr>
          <w:trHeight w:val="290"/>
        </w:trPr>
        <w:tc>
          <w:tcPr>
            <w:tcW w:w="881" w:type="dxa"/>
            <w:vMerge/>
            <w:vAlign w:val="center"/>
          </w:tcPr>
          <w:p w:rsidR="00C426DA" w:rsidRPr="001A48D3" w:rsidRDefault="00C426DA" w:rsidP="00C4701A">
            <w:pPr>
              <w:autoSpaceDE w:val="0"/>
              <w:autoSpaceDN w:val="0"/>
              <w:adjustRightInd w:val="0"/>
              <w:spacing w:beforeLines="60" w:before="144" w:after="120"/>
              <w:jc w:val="center"/>
              <w:rPr>
                <w:rFonts w:cs="Calibri"/>
                <w:b/>
                <w:bCs/>
                <w:color w:val="000000"/>
                <w:sz w:val="22"/>
                <w:szCs w:val="22"/>
              </w:rPr>
            </w:pPr>
          </w:p>
        </w:tc>
        <w:tc>
          <w:tcPr>
            <w:tcW w:w="1843" w:type="dxa"/>
            <w:vMerge/>
            <w:tcBorders>
              <w:bottom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p>
        </w:tc>
        <w:tc>
          <w:tcPr>
            <w:tcW w:w="2126" w:type="dxa"/>
            <w:tcBorders>
              <w:top w:val="dashed" w:sz="4" w:space="0" w:color="auto"/>
              <w:bottom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Diesel vehicles</w:t>
            </w:r>
          </w:p>
        </w:tc>
        <w:tc>
          <w:tcPr>
            <w:tcW w:w="1843" w:type="dxa"/>
            <w:tcBorders>
              <w:top w:val="dashed" w:sz="4" w:space="0" w:color="auto"/>
              <w:bottom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2012</w:t>
            </w:r>
          </w:p>
        </w:tc>
        <w:tc>
          <w:tcPr>
            <w:tcW w:w="1701" w:type="dxa"/>
            <w:tcBorders>
              <w:top w:val="dashed" w:sz="4" w:space="0" w:color="auto"/>
              <w:bottom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2013</w:t>
            </w:r>
          </w:p>
        </w:tc>
      </w:tr>
      <w:tr w:rsidR="00C426DA" w:rsidRPr="001A48D3" w:rsidTr="00153F3E">
        <w:trPr>
          <w:trHeight w:val="290"/>
        </w:trPr>
        <w:tc>
          <w:tcPr>
            <w:tcW w:w="881" w:type="dxa"/>
            <w:vMerge/>
            <w:vAlign w:val="center"/>
          </w:tcPr>
          <w:p w:rsidR="00C426DA" w:rsidRPr="001A48D3" w:rsidRDefault="00C426DA" w:rsidP="00C4701A">
            <w:pPr>
              <w:autoSpaceDE w:val="0"/>
              <w:autoSpaceDN w:val="0"/>
              <w:adjustRightInd w:val="0"/>
              <w:spacing w:beforeLines="60" w:before="144" w:after="120"/>
              <w:jc w:val="center"/>
              <w:rPr>
                <w:rFonts w:cs="Calibri"/>
                <w:b/>
                <w:bCs/>
                <w:color w:val="000000"/>
                <w:sz w:val="22"/>
                <w:szCs w:val="22"/>
              </w:rPr>
            </w:pPr>
          </w:p>
        </w:tc>
        <w:tc>
          <w:tcPr>
            <w:tcW w:w="1843" w:type="dxa"/>
            <w:tcBorders>
              <w:top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Euro 6</w:t>
            </w:r>
          </w:p>
        </w:tc>
        <w:tc>
          <w:tcPr>
            <w:tcW w:w="2126" w:type="dxa"/>
            <w:tcBorders>
              <w:top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All light vehicles</w:t>
            </w:r>
          </w:p>
        </w:tc>
        <w:tc>
          <w:tcPr>
            <w:tcW w:w="1843" w:type="dxa"/>
            <w:tcBorders>
              <w:top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2016</w:t>
            </w:r>
          </w:p>
        </w:tc>
        <w:tc>
          <w:tcPr>
            <w:tcW w:w="1701" w:type="dxa"/>
            <w:tcBorders>
              <w:top w:val="dashed" w:sz="4" w:space="0" w:color="auto"/>
            </w:tcBorders>
          </w:tcPr>
          <w:p w:rsidR="00C426DA" w:rsidRPr="001A48D3" w:rsidRDefault="00C426DA"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2017</w:t>
            </w:r>
          </w:p>
        </w:tc>
      </w:tr>
      <w:tr w:rsidR="001A06CB" w:rsidRPr="001A48D3" w:rsidTr="00153F3E">
        <w:trPr>
          <w:trHeight w:val="290"/>
        </w:trPr>
        <w:tc>
          <w:tcPr>
            <w:tcW w:w="881" w:type="dxa"/>
            <w:vMerge w:val="restart"/>
            <w:vAlign w:val="center"/>
          </w:tcPr>
          <w:p w:rsidR="001A06CB" w:rsidRPr="001A48D3" w:rsidRDefault="001A06CB" w:rsidP="00C4701A">
            <w:pPr>
              <w:autoSpaceDE w:val="0"/>
              <w:autoSpaceDN w:val="0"/>
              <w:adjustRightInd w:val="0"/>
              <w:spacing w:beforeLines="60" w:before="144" w:after="120"/>
              <w:jc w:val="center"/>
              <w:rPr>
                <w:rFonts w:cs="Calibri"/>
                <w:b/>
                <w:bCs/>
                <w:color w:val="000000"/>
                <w:sz w:val="22"/>
                <w:szCs w:val="22"/>
              </w:rPr>
            </w:pPr>
            <w:r w:rsidRPr="001A48D3">
              <w:rPr>
                <w:rFonts w:cs="Calibri"/>
                <w:b/>
                <w:bCs/>
                <w:color w:val="000000"/>
                <w:sz w:val="22"/>
                <w:szCs w:val="22"/>
              </w:rPr>
              <w:t>4</w:t>
            </w:r>
          </w:p>
        </w:tc>
        <w:tc>
          <w:tcPr>
            <w:tcW w:w="1843" w:type="dxa"/>
            <w:tcBorders>
              <w:bottom w:val="dashed" w:sz="4" w:space="0" w:color="auto"/>
            </w:tcBorders>
          </w:tcPr>
          <w:p w:rsidR="001A06CB" w:rsidRPr="001A48D3" w:rsidRDefault="001A06CB"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 xml:space="preserve">Euro 5 </w:t>
            </w:r>
          </w:p>
        </w:tc>
        <w:tc>
          <w:tcPr>
            <w:tcW w:w="2126" w:type="dxa"/>
            <w:tcBorders>
              <w:bottom w:val="dashed" w:sz="4" w:space="0" w:color="auto"/>
            </w:tcBorders>
          </w:tcPr>
          <w:p w:rsidR="001A06CB" w:rsidRPr="001A48D3" w:rsidRDefault="001A06CB"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Diesel Vehicles</w:t>
            </w:r>
          </w:p>
        </w:tc>
        <w:tc>
          <w:tcPr>
            <w:tcW w:w="1843" w:type="dxa"/>
            <w:tcBorders>
              <w:bottom w:val="dashed" w:sz="4" w:space="0" w:color="auto"/>
            </w:tcBorders>
          </w:tcPr>
          <w:p w:rsidR="001A06CB" w:rsidRPr="001A48D3" w:rsidRDefault="001A06CB"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2012</w:t>
            </w:r>
          </w:p>
        </w:tc>
        <w:tc>
          <w:tcPr>
            <w:tcW w:w="1701" w:type="dxa"/>
            <w:tcBorders>
              <w:bottom w:val="dashed" w:sz="4" w:space="0" w:color="auto"/>
            </w:tcBorders>
          </w:tcPr>
          <w:p w:rsidR="001A06CB" w:rsidRPr="001A48D3" w:rsidRDefault="001A06CB"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2013</w:t>
            </w:r>
          </w:p>
        </w:tc>
      </w:tr>
      <w:tr w:rsidR="001A06CB" w:rsidRPr="001A48D3" w:rsidTr="00153F3E">
        <w:trPr>
          <w:trHeight w:val="290"/>
        </w:trPr>
        <w:tc>
          <w:tcPr>
            <w:tcW w:w="881" w:type="dxa"/>
            <w:vMerge/>
            <w:vAlign w:val="center"/>
          </w:tcPr>
          <w:p w:rsidR="001A06CB" w:rsidRPr="001A48D3" w:rsidRDefault="001A06CB" w:rsidP="00C4701A">
            <w:pPr>
              <w:autoSpaceDE w:val="0"/>
              <w:autoSpaceDN w:val="0"/>
              <w:adjustRightInd w:val="0"/>
              <w:spacing w:beforeLines="60" w:before="144" w:after="120"/>
              <w:jc w:val="center"/>
              <w:rPr>
                <w:rFonts w:cs="Calibri"/>
                <w:b/>
                <w:bCs/>
                <w:color w:val="000000"/>
                <w:sz w:val="22"/>
                <w:szCs w:val="22"/>
              </w:rPr>
            </w:pPr>
          </w:p>
        </w:tc>
        <w:tc>
          <w:tcPr>
            <w:tcW w:w="1843" w:type="dxa"/>
            <w:tcBorders>
              <w:top w:val="dashed" w:sz="4" w:space="0" w:color="auto"/>
            </w:tcBorders>
          </w:tcPr>
          <w:p w:rsidR="001A06CB" w:rsidRPr="001A48D3" w:rsidRDefault="001A06CB"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Euro 6</w:t>
            </w:r>
          </w:p>
        </w:tc>
        <w:tc>
          <w:tcPr>
            <w:tcW w:w="2126" w:type="dxa"/>
            <w:tcBorders>
              <w:top w:val="dashed" w:sz="4" w:space="0" w:color="auto"/>
            </w:tcBorders>
          </w:tcPr>
          <w:p w:rsidR="001A06CB" w:rsidRPr="001A48D3" w:rsidRDefault="001A06CB"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Diesel vehicles</w:t>
            </w:r>
          </w:p>
        </w:tc>
        <w:tc>
          <w:tcPr>
            <w:tcW w:w="1843" w:type="dxa"/>
            <w:tcBorders>
              <w:top w:val="dashed" w:sz="4" w:space="0" w:color="auto"/>
            </w:tcBorders>
          </w:tcPr>
          <w:p w:rsidR="001A06CB" w:rsidRPr="001A48D3" w:rsidRDefault="001A06CB"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2016</w:t>
            </w:r>
          </w:p>
        </w:tc>
        <w:tc>
          <w:tcPr>
            <w:tcW w:w="1701" w:type="dxa"/>
            <w:tcBorders>
              <w:top w:val="dashed" w:sz="4" w:space="0" w:color="auto"/>
            </w:tcBorders>
          </w:tcPr>
          <w:p w:rsidR="001A06CB" w:rsidRPr="001A48D3" w:rsidRDefault="001A06CB"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2017</w:t>
            </w:r>
          </w:p>
        </w:tc>
      </w:tr>
      <w:tr w:rsidR="00C21C6C" w:rsidRPr="001A48D3" w:rsidTr="00153F3E">
        <w:trPr>
          <w:trHeight w:val="290"/>
        </w:trPr>
        <w:tc>
          <w:tcPr>
            <w:tcW w:w="881" w:type="dxa"/>
            <w:vMerge w:val="restart"/>
            <w:vAlign w:val="center"/>
          </w:tcPr>
          <w:p w:rsidR="00C21C6C" w:rsidRPr="001A48D3" w:rsidRDefault="00C21C6C" w:rsidP="00C4701A">
            <w:pPr>
              <w:autoSpaceDE w:val="0"/>
              <w:autoSpaceDN w:val="0"/>
              <w:adjustRightInd w:val="0"/>
              <w:spacing w:beforeLines="60" w:before="144" w:after="120"/>
              <w:jc w:val="center"/>
              <w:rPr>
                <w:rFonts w:cs="Calibri"/>
                <w:b/>
                <w:bCs/>
                <w:color w:val="000000"/>
                <w:sz w:val="22"/>
                <w:szCs w:val="22"/>
              </w:rPr>
            </w:pPr>
            <w:r w:rsidRPr="001A48D3">
              <w:rPr>
                <w:rFonts w:cs="Calibri"/>
                <w:b/>
                <w:bCs/>
                <w:color w:val="000000"/>
                <w:sz w:val="22"/>
                <w:szCs w:val="22"/>
              </w:rPr>
              <w:t>5</w:t>
            </w:r>
          </w:p>
        </w:tc>
        <w:tc>
          <w:tcPr>
            <w:tcW w:w="1843" w:type="dxa"/>
            <w:tcBorders>
              <w:bottom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Euro 5</w:t>
            </w:r>
          </w:p>
        </w:tc>
        <w:tc>
          <w:tcPr>
            <w:tcW w:w="2126" w:type="dxa"/>
            <w:tcBorders>
              <w:bottom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All light vehicles</w:t>
            </w:r>
          </w:p>
        </w:tc>
        <w:tc>
          <w:tcPr>
            <w:tcW w:w="1843" w:type="dxa"/>
            <w:tcBorders>
              <w:bottom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2012</w:t>
            </w:r>
          </w:p>
        </w:tc>
        <w:tc>
          <w:tcPr>
            <w:tcW w:w="1701" w:type="dxa"/>
            <w:tcBorders>
              <w:bottom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2013</w:t>
            </w:r>
          </w:p>
        </w:tc>
      </w:tr>
      <w:tr w:rsidR="00C21C6C" w:rsidRPr="001A48D3" w:rsidTr="00153F3E">
        <w:trPr>
          <w:trHeight w:val="290"/>
        </w:trPr>
        <w:tc>
          <w:tcPr>
            <w:tcW w:w="881" w:type="dxa"/>
            <w:vMerge/>
            <w:vAlign w:val="center"/>
          </w:tcPr>
          <w:p w:rsidR="00C21C6C" w:rsidRPr="001A48D3" w:rsidRDefault="00C21C6C" w:rsidP="00C4701A">
            <w:pPr>
              <w:autoSpaceDE w:val="0"/>
              <w:autoSpaceDN w:val="0"/>
              <w:adjustRightInd w:val="0"/>
              <w:spacing w:beforeLines="60" w:before="144" w:after="120"/>
              <w:jc w:val="center"/>
              <w:rPr>
                <w:rFonts w:cs="Calibri"/>
                <w:b/>
                <w:bCs/>
                <w:color w:val="000000"/>
                <w:sz w:val="22"/>
                <w:szCs w:val="22"/>
              </w:rPr>
            </w:pPr>
          </w:p>
        </w:tc>
        <w:tc>
          <w:tcPr>
            <w:tcW w:w="1843" w:type="dxa"/>
            <w:tcBorders>
              <w:top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Euro 6</w:t>
            </w:r>
          </w:p>
        </w:tc>
        <w:tc>
          <w:tcPr>
            <w:tcW w:w="2126" w:type="dxa"/>
            <w:tcBorders>
              <w:top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N/A</w:t>
            </w:r>
          </w:p>
        </w:tc>
        <w:tc>
          <w:tcPr>
            <w:tcW w:w="1843" w:type="dxa"/>
            <w:tcBorders>
              <w:top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N/A</w:t>
            </w:r>
          </w:p>
        </w:tc>
        <w:tc>
          <w:tcPr>
            <w:tcW w:w="1701" w:type="dxa"/>
            <w:tcBorders>
              <w:top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N/A</w:t>
            </w:r>
          </w:p>
        </w:tc>
      </w:tr>
      <w:tr w:rsidR="00C21C6C" w:rsidRPr="001A48D3" w:rsidTr="00153F3E">
        <w:trPr>
          <w:trHeight w:val="290"/>
        </w:trPr>
        <w:tc>
          <w:tcPr>
            <w:tcW w:w="881" w:type="dxa"/>
            <w:vMerge w:val="restart"/>
            <w:vAlign w:val="center"/>
          </w:tcPr>
          <w:p w:rsidR="00C21C6C" w:rsidRPr="001A48D3" w:rsidRDefault="00C21C6C" w:rsidP="00C4701A">
            <w:pPr>
              <w:autoSpaceDE w:val="0"/>
              <w:autoSpaceDN w:val="0"/>
              <w:adjustRightInd w:val="0"/>
              <w:spacing w:beforeLines="60" w:before="144" w:after="120"/>
              <w:jc w:val="center"/>
              <w:rPr>
                <w:rFonts w:cs="Calibri"/>
                <w:b/>
                <w:bCs/>
                <w:color w:val="000000"/>
                <w:sz w:val="22"/>
                <w:szCs w:val="22"/>
              </w:rPr>
            </w:pPr>
            <w:r w:rsidRPr="001A48D3">
              <w:rPr>
                <w:rFonts w:cs="Calibri"/>
                <w:b/>
                <w:bCs/>
                <w:color w:val="000000"/>
                <w:sz w:val="22"/>
                <w:szCs w:val="22"/>
              </w:rPr>
              <w:t>6</w:t>
            </w:r>
          </w:p>
        </w:tc>
        <w:tc>
          <w:tcPr>
            <w:tcW w:w="1843" w:type="dxa"/>
            <w:tcBorders>
              <w:bottom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 xml:space="preserve">Euro 5 </w:t>
            </w:r>
          </w:p>
        </w:tc>
        <w:tc>
          <w:tcPr>
            <w:tcW w:w="2126" w:type="dxa"/>
            <w:tcBorders>
              <w:bottom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N/A</w:t>
            </w:r>
          </w:p>
        </w:tc>
        <w:tc>
          <w:tcPr>
            <w:tcW w:w="1843" w:type="dxa"/>
            <w:tcBorders>
              <w:bottom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N/A</w:t>
            </w:r>
          </w:p>
        </w:tc>
        <w:tc>
          <w:tcPr>
            <w:tcW w:w="1701" w:type="dxa"/>
            <w:tcBorders>
              <w:bottom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N/A</w:t>
            </w:r>
          </w:p>
        </w:tc>
      </w:tr>
      <w:tr w:rsidR="00C21C6C" w:rsidRPr="001A48D3" w:rsidTr="00153F3E">
        <w:trPr>
          <w:trHeight w:val="290"/>
        </w:trPr>
        <w:tc>
          <w:tcPr>
            <w:tcW w:w="881" w:type="dxa"/>
            <w:vMerge/>
            <w:vAlign w:val="center"/>
          </w:tcPr>
          <w:p w:rsidR="00C21C6C" w:rsidRPr="001A48D3" w:rsidRDefault="00C21C6C" w:rsidP="00C4701A">
            <w:pPr>
              <w:autoSpaceDE w:val="0"/>
              <w:autoSpaceDN w:val="0"/>
              <w:adjustRightInd w:val="0"/>
              <w:spacing w:beforeLines="60" w:before="144" w:after="120"/>
              <w:jc w:val="center"/>
              <w:rPr>
                <w:rFonts w:cs="Calibri"/>
                <w:b/>
                <w:bCs/>
                <w:color w:val="000000"/>
                <w:sz w:val="22"/>
                <w:szCs w:val="22"/>
              </w:rPr>
            </w:pPr>
          </w:p>
        </w:tc>
        <w:tc>
          <w:tcPr>
            <w:tcW w:w="1843" w:type="dxa"/>
            <w:tcBorders>
              <w:top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Euro 6</w:t>
            </w:r>
          </w:p>
        </w:tc>
        <w:tc>
          <w:tcPr>
            <w:tcW w:w="2126" w:type="dxa"/>
            <w:tcBorders>
              <w:top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All light vehicles</w:t>
            </w:r>
          </w:p>
        </w:tc>
        <w:tc>
          <w:tcPr>
            <w:tcW w:w="1843" w:type="dxa"/>
            <w:tcBorders>
              <w:top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2016</w:t>
            </w:r>
          </w:p>
        </w:tc>
        <w:tc>
          <w:tcPr>
            <w:tcW w:w="1701" w:type="dxa"/>
            <w:tcBorders>
              <w:top w:val="dashed" w:sz="4" w:space="0" w:color="auto"/>
            </w:tcBorders>
          </w:tcPr>
          <w:p w:rsidR="00C21C6C" w:rsidRPr="001A48D3" w:rsidRDefault="00C21C6C" w:rsidP="00C4701A">
            <w:pPr>
              <w:autoSpaceDE w:val="0"/>
              <w:autoSpaceDN w:val="0"/>
              <w:adjustRightInd w:val="0"/>
              <w:spacing w:beforeLines="60" w:before="144" w:after="120"/>
              <w:jc w:val="center"/>
              <w:rPr>
                <w:rFonts w:cs="Calibri"/>
                <w:color w:val="000000"/>
                <w:sz w:val="22"/>
                <w:szCs w:val="22"/>
              </w:rPr>
            </w:pPr>
            <w:r w:rsidRPr="001A48D3">
              <w:rPr>
                <w:rFonts w:cs="Calibri"/>
                <w:color w:val="000000"/>
                <w:sz w:val="22"/>
                <w:szCs w:val="22"/>
              </w:rPr>
              <w:t>2017</w:t>
            </w:r>
          </w:p>
        </w:tc>
      </w:tr>
    </w:tbl>
    <w:p w:rsidR="0061435C" w:rsidRPr="001A48D3" w:rsidRDefault="00A171AA" w:rsidP="00C4701A">
      <w:pPr>
        <w:spacing w:after="120"/>
        <w:rPr>
          <w:sz w:val="18"/>
          <w:szCs w:val="18"/>
        </w:rPr>
      </w:pPr>
      <w:r w:rsidRPr="001A48D3">
        <w:rPr>
          <w:sz w:val="18"/>
          <w:szCs w:val="18"/>
        </w:rPr>
        <w:t>Note:</w:t>
      </w:r>
      <w:r w:rsidRPr="001A48D3">
        <w:rPr>
          <w:sz w:val="18"/>
          <w:szCs w:val="18"/>
        </w:rPr>
        <w:tab/>
      </w:r>
      <w:r w:rsidR="00896A37" w:rsidRPr="001A48D3">
        <w:rPr>
          <w:sz w:val="18"/>
          <w:szCs w:val="18"/>
        </w:rPr>
        <w:t xml:space="preserve">The 2 year date combinations for the vehicle standards refer to the dates applicable to new model vehicles and all model vehicles, respectively.  </w:t>
      </w:r>
      <w:r w:rsidR="00957652" w:rsidRPr="001A48D3">
        <w:rPr>
          <w:sz w:val="18"/>
          <w:szCs w:val="18"/>
        </w:rPr>
        <w:t>For example, in the case of 2012 - 2013</w:t>
      </w:r>
      <w:r w:rsidR="00896A37" w:rsidRPr="001A48D3">
        <w:rPr>
          <w:sz w:val="18"/>
          <w:szCs w:val="18"/>
        </w:rPr>
        <w:t>, thi</w:t>
      </w:r>
      <w:r w:rsidR="00957652" w:rsidRPr="001A48D3">
        <w:rPr>
          <w:sz w:val="18"/>
          <w:szCs w:val="18"/>
        </w:rPr>
        <w:t>s means that from 1 January 2012</w:t>
      </w:r>
      <w:r w:rsidR="00896A37" w:rsidRPr="001A48D3">
        <w:rPr>
          <w:sz w:val="18"/>
          <w:szCs w:val="18"/>
        </w:rPr>
        <w:t xml:space="preserve"> any new model </w:t>
      </w:r>
      <w:r w:rsidR="00957652" w:rsidRPr="001A48D3">
        <w:rPr>
          <w:sz w:val="18"/>
          <w:szCs w:val="18"/>
        </w:rPr>
        <w:t xml:space="preserve">(type) </w:t>
      </w:r>
      <w:r w:rsidR="00896A37" w:rsidRPr="001A48D3">
        <w:rPr>
          <w:sz w:val="18"/>
          <w:szCs w:val="18"/>
        </w:rPr>
        <w:t xml:space="preserve">first produced with a date of </w:t>
      </w:r>
      <w:r w:rsidR="00957652" w:rsidRPr="001A48D3">
        <w:rPr>
          <w:sz w:val="18"/>
          <w:szCs w:val="18"/>
        </w:rPr>
        <w:t>manufacture after 1 January 2012</w:t>
      </w:r>
      <w:r w:rsidR="00896A37" w:rsidRPr="001A48D3">
        <w:rPr>
          <w:sz w:val="18"/>
          <w:szCs w:val="18"/>
        </w:rPr>
        <w:t xml:space="preserve"> must comply with the </w:t>
      </w:r>
      <w:r w:rsidR="00957652" w:rsidRPr="001A48D3">
        <w:rPr>
          <w:sz w:val="18"/>
          <w:szCs w:val="18"/>
        </w:rPr>
        <w:t>new standard</w:t>
      </w:r>
      <w:r w:rsidR="00896A37" w:rsidRPr="001A48D3">
        <w:rPr>
          <w:sz w:val="18"/>
          <w:szCs w:val="18"/>
        </w:rPr>
        <w:t>, and from 1 January 20</w:t>
      </w:r>
      <w:r w:rsidR="00957652" w:rsidRPr="001A48D3">
        <w:rPr>
          <w:sz w:val="18"/>
          <w:szCs w:val="18"/>
        </w:rPr>
        <w:t>13</w:t>
      </w:r>
      <w:r w:rsidR="00896A37" w:rsidRPr="001A48D3">
        <w:rPr>
          <w:sz w:val="18"/>
          <w:szCs w:val="18"/>
        </w:rPr>
        <w:t xml:space="preserve"> all new vehicles (regardless of the first production date for that particular model) must comply.</w:t>
      </w:r>
    </w:p>
    <w:p w:rsidR="004A2800" w:rsidRPr="001A48D3" w:rsidRDefault="004A2800" w:rsidP="00B52F7D">
      <w:pPr>
        <w:spacing w:after="120"/>
      </w:pPr>
    </w:p>
    <w:p w:rsidR="001E5B08" w:rsidRPr="001A48D3" w:rsidRDefault="001E5B08" w:rsidP="00C4701A">
      <w:pPr>
        <w:pStyle w:val="Heading4"/>
        <w:spacing w:after="120"/>
      </w:pPr>
      <w:bookmarkStart w:id="44" w:name="_Toc430182508"/>
      <w:r w:rsidRPr="001A48D3">
        <w:t>Fuel Standards</w:t>
      </w:r>
      <w:bookmarkEnd w:id="44"/>
    </w:p>
    <w:p w:rsidR="004A2800" w:rsidRPr="001A48D3" w:rsidRDefault="004A2800" w:rsidP="00C4701A">
      <w:pPr>
        <w:spacing w:after="120"/>
      </w:pPr>
      <w:r w:rsidRPr="001A48D3">
        <w:t xml:space="preserve">As noted in </w:t>
      </w:r>
      <w:r w:rsidR="00CE0A88" w:rsidRPr="001A48D3">
        <w:t>Section</w:t>
      </w:r>
      <w:r w:rsidRPr="001A48D3">
        <w:t xml:space="preserve"> 2.3, there is a risk that current </w:t>
      </w:r>
      <w:proofErr w:type="spellStart"/>
      <w:r w:rsidRPr="001A48D3">
        <w:t>sulfur</w:t>
      </w:r>
      <w:proofErr w:type="spellEnd"/>
      <w:r w:rsidRPr="001A48D3">
        <w:t xml:space="preserve"> levels in both petrol and LPG may impact on the durability of the </w:t>
      </w:r>
      <w:r w:rsidR="00AF01A3" w:rsidRPr="001A48D3">
        <w:t>emissions</w:t>
      </w:r>
      <w:r w:rsidRPr="001A48D3">
        <w:t xml:space="preserve"> control systems utilised for Euro 5/6 vehicles.  </w:t>
      </w:r>
      <w:r w:rsidR="00E07B3D" w:rsidRPr="001A48D3">
        <w:t>This</w:t>
      </w:r>
      <w:r w:rsidRPr="001A48D3">
        <w:t xml:space="preserve"> RIS has not attempted to undertake a benefit</w:t>
      </w:r>
      <w:r w:rsidR="00E07B3D" w:rsidRPr="001A48D3">
        <w:t>-cost</w:t>
      </w:r>
      <w:r w:rsidRPr="001A48D3">
        <w:t xml:space="preserve"> analysis of fuel </w:t>
      </w:r>
      <w:proofErr w:type="spellStart"/>
      <w:r w:rsidRPr="001A48D3">
        <w:t>sulfur</w:t>
      </w:r>
      <w:proofErr w:type="spellEnd"/>
      <w:r w:rsidRPr="001A48D3">
        <w:t xml:space="preserve"> reductions, as the determination of fuel quality standards is subject to a separate regulatory assessment process under the </w:t>
      </w:r>
      <w:r w:rsidRPr="001A48D3">
        <w:rPr>
          <w:i/>
        </w:rPr>
        <w:t>Fuel Quality Standards Act 2000</w:t>
      </w:r>
      <w:r w:rsidRPr="001A48D3">
        <w:t xml:space="preserve">.  Consequently, the options considered in this review do not specifically address the fuel </w:t>
      </w:r>
      <w:proofErr w:type="spellStart"/>
      <w:r w:rsidR="00376876" w:rsidRPr="001A48D3">
        <w:t>sulfur</w:t>
      </w:r>
      <w:proofErr w:type="spellEnd"/>
      <w:r w:rsidRPr="001A48D3">
        <w:t xml:space="preserve"> issue.  </w:t>
      </w:r>
    </w:p>
    <w:p w:rsidR="00896A37" w:rsidRPr="001A48D3" w:rsidRDefault="002209F2" w:rsidP="00153F3E">
      <w:pPr>
        <w:pStyle w:val="Heading2"/>
      </w:pPr>
      <w:r w:rsidRPr="001A48D3">
        <w:rPr>
          <w:sz w:val="22"/>
        </w:rPr>
        <w:br w:type="page"/>
      </w:r>
      <w:bookmarkStart w:id="45" w:name="_Toc89846636"/>
      <w:bookmarkStart w:id="46" w:name="_Toc430182509"/>
      <w:r w:rsidR="00BA1B94" w:rsidRPr="00B52F7D">
        <w:lastRenderedPageBreak/>
        <w:t>3.2</w:t>
      </w:r>
      <w:r w:rsidR="00BA1B94" w:rsidRPr="00B52F7D">
        <w:tab/>
      </w:r>
      <w:r w:rsidR="00427437" w:rsidRPr="001A48D3">
        <w:t>Option 1:</w:t>
      </w:r>
      <w:r w:rsidR="00427437" w:rsidRPr="001A48D3">
        <w:tab/>
      </w:r>
      <w:r w:rsidR="00896A37" w:rsidRPr="001A48D3">
        <w:t>Status Quo</w:t>
      </w:r>
      <w:bookmarkEnd w:id="45"/>
      <w:bookmarkEnd w:id="46"/>
    </w:p>
    <w:p w:rsidR="00896A37" w:rsidRPr="001A48D3" w:rsidRDefault="00896A37" w:rsidP="00C4701A">
      <w:pPr>
        <w:spacing w:after="120"/>
      </w:pPr>
      <w:r w:rsidRPr="001A48D3">
        <w:t xml:space="preserve">A status quo or “do nothing” approach would simply rely on the existing emissions and fuel standards to deliver lower fleet emissions and improvements in air quality.  </w:t>
      </w:r>
      <w:r w:rsidR="00D663AE" w:rsidRPr="001A48D3">
        <w:t>The standards introduced over the 2002-2010 period</w:t>
      </w:r>
      <w:r w:rsidRPr="001A48D3">
        <w:t xml:space="preserve"> will deliver reductions in those emissions which contribute to air pollution, with the most significant being the:</w:t>
      </w:r>
    </w:p>
    <w:p w:rsidR="005C21FE" w:rsidRPr="001A48D3" w:rsidRDefault="00896A37" w:rsidP="00C4701A">
      <w:pPr>
        <w:numPr>
          <w:ilvl w:val="0"/>
          <w:numId w:val="16"/>
        </w:numPr>
        <w:spacing w:after="120"/>
      </w:pPr>
      <w:r w:rsidRPr="001A48D3">
        <w:t xml:space="preserve">reduction in NOx and PM emissions from the introduction of </w:t>
      </w:r>
      <w:r w:rsidR="005C21FE" w:rsidRPr="001A48D3">
        <w:t>Euro 2 and</w:t>
      </w:r>
      <w:r w:rsidR="00D663AE" w:rsidRPr="001A48D3">
        <w:t xml:space="preserve"> </w:t>
      </w:r>
      <w:r w:rsidR="005C21FE" w:rsidRPr="001A48D3">
        <w:t>Euro </w:t>
      </w:r>
      <w:r w:rsidR="00D663AE" w:rsidRPr="001A48D3">
        <w:t>4</w:t>
      </w:r>
      <w:r w:rsidRPr="001A48D3">
        <w:t xml:space="preserve"> standards for </w:t>
      </w:r>
      <w:r w:rsidR="005C21FE" w:rsidRPr="001A48D3">
        <w:t xml:space="preserve">light </w:t>
      </w:r>
      <w:r w:rsidRPr="001A48D3">
        <w:t>diesel vehicles</w:t>
      </w:r>
    </w:p>
    <w:p w:rsidR="00896A37" w:rsidRPr="001A48D3" w:rsidRDefault="005C21FE" w:rsidP="00C4701A">
      <w:pPr>
        <w:numPr>
          <w:ilvl w:val="0"/>
          <w:numId w:val="16"/>
        </w:numPr>
        <w:spacing w:after="120"/>
      </w:pPr>
      <w:r w:rsidRPr="001A48D3">
        <w:t>reduction in NOx and PM emissions from the introduction of Euro 3, 4 and 5 standards for heavy diesel vehicles;</w:t>
      </w:r>
      <w:r w:rsidR="00896A37" w:rsidRPr="001A48D3">
        <w:t xml:space="preserve"> and</w:t>
      </w:r>
    </w:p>
    <w:p w:rsidR="00896A37" w:rsidRPr="001A48D3" w:rsidRDefault="00896A37" w:rsidP="00C4701A">
      <w:pPr>
        <w:numPr>
          <w:ilvl w:val="0"/>
          <w:numId w:val="16"/>
        </w:numPr>
        <w:spacing w:after="120"/>
      </w:pPr>
      <w:r w:rsidRPr="001A48D3">
        <w:t>reduction in NOx and HC emissions from the introduction of the Euro 3</w:t>
      </w:r>
      <w:r w:rsidR="00234AFD" w:rsidRPr="001A48D3">
        <w:t xml:space="preserve"> and Euro 4</w:t>
      </w:r>
      <w:r w:rsidRPr="001A48D3">
        <w:t xml:space="preserve"> standards for </w:t>
      </w:r>
      <w:r w:rsidR="00D663AE" w:rsidRPr="001A48D3">
        <w:t xml:space="preserve">light </w:t>
      </w:r>
      <w:r w:rsidRPr="001A48D3">
        <w:t xml:space="preserve">petrol </w:t>
      </w:r>
      <w:proofErr w:type="spellStart"/>
      <w:r w:rsidRPr="001A48D3">
        <w:t>engined</w:t>
      </w:r>
      <w:proofErr w:type="spellEnd"/>
      <w:r w:rsidRPr="001A48D3">
        <w:t xml:space="preserve"> vehicles.</w:t>
      </w:r>
    </w:p>
    <w:p w:rsidR="00FA0ED4" w:rsidRPr="001A48D3" w:rsidRDefault="00921D65" w:rsidP="00C4701A">
      <w:pPr>
        <w:spacing w:after="120"/>
      </w:pPr>
      <w:r w:rsidRPr="001A48D3">
        <w:t>T</w:t>
      </w:r>
      <w:r w:rsidR="00FA0ED4" w:rsidRPr="001A48D3">
        <w:t xml:space="preserve">he BITRE </w:t>
      </w:r>
      <w:r w:rsidR="00AF01A3" w:rsidRPr="001A48D3">
        <w:t>emissions</w:t>
      </w:r>
      <w:r w:rsidR="00FA0ED4" w:rsidRPr="001A48D3">
        <w:t xml:space="preserve"> projections undertaken for this RIS out to 2040</w:t>
      </w:r>
      <w:r w:rsidR="00642508" w:rsidRPr="001A48D3">
        <w:rPr>
          <w:rStyle w:val="FootnoteReference"/>
        </w:rPr>
        <w:footnoteReference w:id="24"/>
      </w:r>
      <w:r w:rsidR="00FA0ED4" w:rsidRPr="001A48D3">
        <w:t>, indicate that in the light vehicle sector:</w:t>
      </w:r>
    </w:p>
    <w:p w:rsidR="00FA0ED4" w:rsidRPr="001A48D3" w:rsidRDefault="00FA0ED4" w:rsidP="00C4701A">
      <w:pPr>
        <w:numPr>
          <w:ilvl w:val="0"/>
          <w:numId w:val="17"/>
        </w:numPr>
        <w:spacing w:after="120"/>
      </w:pPr>
      <w:r w:rsidRPr="001A48D3">
        <w:t xml:space="preserve">NOx emissions reductions will fall significantly until about 2025 after which they will slowly trend upwards (Figure </w:t>
      </w:r>
      <w:r w:rsidR="00244954" w:rsidRPr="001A48D3">
        <w:t>2</w:t>
      </w:r>
      <w:r w:rsidRPr="001A48D3">
        <w:t>); and</w:t>
      </w:r>
    </w:p>
    <w:p w:rsidR="00FA0ED4" w:rsidRPr="001A48D3" w:rsidRDefault="00FA0ED4" w:rsidP="00C4701A">
      <w:pPr>
        <w:numPr>
          <w:ilvl w:val="0"/>
          <w:numId w:val="17"/>
        </w:numPr>
        <w:spacing w:after="120"/>
      </w:pPr>
      <w:r w:rsidRPr="001A48D3">
        <w:t xml:space="preserve">PM emissions will fall significantly until about 2016, after which they are predicted to rise steeply (Figure </w:t>
      </w:r>
      <w:r w:rsidR="00244954" w:rsidRPr="001A48D3">
        <w:t>3</w:t>
      </w:r>
      <w:r w:rsidRPr="001A48D3">
        <w:t>).</w:t>
      </w:r>
    </w:p>
    <w:p w:rsidR="00600B56" w:rsidRPr="001A48D3" w:rsidRDefault="00600B56" w:rsidP="00C4701A">
      <w:pPr>
        <w:spacing w:after="120"/>
        <w:rPr>
          <w:sz w:val="16"/>
        </w:rPr>
      </w:pPr>
    </w:p>
    <w:p w:rsidR="00FA0ED4" w:rsidRPr="001A48D3" w:rsidRDefault="00836FFF" w:rsidP="00C4701A">
      <w:pPr>
        <w:spacing w:after="120"/>
      </w:pPr>
      <w:r>
        <w:rPr>
          <w:noProof/>
        </w:rPr>
        <w:drawing>
          <wp:inline distT="0" distB="0" distL="0" distR="0" wp14:anchorId="46CDAEC9" wp14:editId="5BB72EEF">
            <wp:extent cx="3295650" cy="2886075"/>
            <wp:effectExtent l="0" t="0" r="0" b="9525"/>
            <wp:docPr id="2" name="Chart 1" descr="The diagram is a technical diagram. If you are unable to view this image, please contact the Department of Infrastructure &amp; Regional Development for a hard copy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The diagram is a technical diagram. If you are unable to view this image, please contact the Department of Infrastructure &amp; Regional Development for a hard copy of this document."/>
                    <pic:cNvPicPr>
                      <a:picLocks noChangeAspect="1" noChangeArrowheads="1"/>
                    </pic:cNvPicPr>
                  </pic:nvPicPr>
                  <pic:blipFill>
                    <a:blip r:embed="rId15">
                      <a:extLst>
                        <a:ext uri="{28A0092B-C50C-407E-A947-70E740481C1C}">
                          <a14:useLocalDpi xmlns:a14="http://schemas.microsoft.com/office/drawing/2010/main" val="0"/>
                        </a:ext>
                      </a:extLst>
                    </a:blip>
                    <a:srcRect b="-79"/>
                    <a:stretch>
                      <a:fillRect/>
                    </a:stretch>
                  </pic:blipFill>
                  <pic:spPr bwMode="auto">
                    <a:xfrm>
                      <a:off x="0" y="0"/>
                      <a:ext cx="3295650" cy="2886075"/>
                    </a:xfrm>
                    <a:prstGeom prst="rect">
                      <a:avLst/>
                    </a:prstGeom>
                    <a:noFill/>
                    <a:ln>
                      <a:noFill/>
                    </a:ln>
                  </pic:spPr>
                </pic:pic>
              </a:graphicData>
            </a:graphic>
          </wp:inline>
        </w:drawing>
      </w:r>
    </w:p>
    <w:p w:rsidR="00555FDA" w:rsidRPr="001A48D3" w:rsidRDefault="00555FDA" w:rsidP="00C4701A">
      <w:pPr>
        <w:spacing w:afterLines="80" w:after="192"/>
        <w:rPr>
          <w:sz w:val="18"/>
          <w:szCs w:val="18"/>
        </w:rPr>
      </w:pPr>
      <w:r w:rsidRPr="001A48D3">
        <w:rPr>
          <w:sz w:val="18"/>
          <w:szCs w:val="18"/>
        </w:rPr>
        <w:t>Source:</w:t>
      </w:r>
      <w:r w:rsidRPr="001A48D3">
        <w:rPr>
          <w:sz w:val="18"/>
          <w:szCs w:val="18"/>
        </w:rPr>
        <w:tab/>
        <w:t>BITRE Estimates (2009)</w:t>
      </w:r>
    </w:p>
    <w:p w:rsidR="00FA0ED4" w:rsidRPr="00B52F7D" w:rsidRDefault="00FA0ED4" w:rsidP="00C4701A">
      <w:pPr>
        <w:pStyle w:val="Heading5"/>
        <w:spacing w:after="120"/>
        <w:rPr>
          <w:b/>
          <w:sz w:val="24"/>
        </w:rPr>
      </w:pPr>
      <w:bookmarkStart w:id="47" w:name="_Toc430182510"/>
      <w:r w:rsidRPr="00B52F7D">
        <w:rPr>
          <w:b/>
          <w:sz w:val="24"/>
        </w:rPr>
        <w:t xml:space="preserve">Figure </w:t>
      </w:r>
      <w:r w:rsidR="00244954" w:rsidRPr="00B52F7D">
        <w:rPr>
          <w:b/>
          <w:sz w:val="24"/>
        </w:rPr>
        <w:t>2</w:t>
      </w:r>
      <w:r w:rsidRPr="00B52F7D">
        <w:rPr>
          <w:b/>
          <w:sz w:val="24"/>
        </w:rPr>
        <w:tab/>
        <w:t xml:space="preserve">Projected </w:t>
      </w:r>
      <w:r w:rsidR="00143CBA" w:rsidRPr="00B52F7D">
        <w:rPr>
          <w:b/>
          <w:sz w:val="24"/>
        </w:rPr>
        <w:t>Impact on</w:t>
      </w:r>
      <w:r w:rsidRPr="00B52F7D">
        <w:rPr>
          <w:b/>
          <w:sz w:val="24"/>
        </w:rPr>
        <w:t xml:space="preserve"> NOx Emissions </w:t>
      </w:r>
      <w:r w:rsidR="00143CBA" w:rsidRPr="00B52F7D">
        <w:rPr>
          <w:b/>
          <w:sz w:val="24"/>
        </w:rPr>
        <w:t>of</w:t>
      </w:r>
      <w:r w:rsidRPr="00B52F7D">
        <w:rPr>
          <w:b/>
          <w:sz w:val="24"/>
        </w:rPr>
        <w:t xml:space="preserve"> the Light Vehicle Fleet from Existing Standards</w:t>
      </w:r>
      <w:bookmarkEnd w:id="47"/>
      <w:r w:rsidR="00612C45" w:rsidRPr="00B52F7D">
        <w:rPr>
          <w:b/>
          <w:sz w:val="24"/>
        </w:rPr>
        <w:t xml:space="preserve"> </w:t>
      </w:r>
    </w:p>
    <w:p w:rsidR="007D5B9B" w:rsidRPr="001A48D3" w:rsidRDefault="007D5B9B" w:rsidP="00C4701A">
      <w:pPr>
        <w:spacing w:after="120"/>
      </w:pPr>
    </w:p>
    <w:p w:rsidR="007D5B9B" w:rsidRPr="001A48D3" w:rsidRDefault="00836FFF" w:rsidP="00C4701A">
      <w:pPr>
        <w:spacing w:after="120"/>
      </w:pPr>
      <w:r>
        <w:rPr>
          <w:noProof/>
        </w:rPr>
        <w:lastRenderedPageBreak/>
        <w:drawing>
          <wp:inline distT="0" distB="0" distL="0" distR="0" wp14:anchorId="32A1C295" wp14:editId="02B2A294">
            <wp:extent cx="3295650" cy="2714625"/>
            <wp:effectExtent l="0" t="0" r="0" b="9525"/>
            <wp:docPr id="3" name="Chart 1" descr="The diagram is a technical diagram. If you are unable to view this image, please contact the Department of Infrastructure &amp; Regional Development for a hard copy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The diagram is a technical diagram. If you are unable to view this image, please contact the Department of Infrastructure &amp; Regional Development for a hard copy of this docu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5650" cy="2714625"/>
                    </a:xfrm>
                    <a:prstGeom prst="rect">
                      <a:avLst/>
                    </a:prstGeom>
                    <a:noFill/>
                    <a:ln>
                      <a:noFill/>
                    </a:ln>
                  </pic:spPr>
                </pic:pic>
              </a:graphicData>
            </a:graphic>
          </wp:inline>
        </w:drawing>
      </w:r>
    </w:p>
    <w:p w:rsidR="00555FDA" w:rsidRPr="001A48D3" w:rsidRDefault="00555FDA" w:rsidP="00C4701A">
      <w:pPr>
        <w:spacing w:afterLines="80" w:after="192"/>
        <w:rPr>
          <w:sz w:val="18"/>
          <w:szCs w:val="18"/>
        </w:rPr>
      </w:pPr>
      <w:r w:rsidRPr="001A48D3">
        <w:rPr>
          <w:sz w:val="18"/>
          <w:szCs w:val="18"/>
        </w:rPr>
        <w:t>Source:</w:t>
      </w:r>
      <w:r w:rsidRPr="001A48D3">
        <w:rPr>
          <w:sz w:val="18"/>
          <w:szCs w:val="18"/>
        </w:rPr>
        <w:tab/>
        <w:t>BITRE Estimates (2009)</w:t>
      </w:r>
    </w:p>
    <w:p w:rsidR="007D5B9B" w:rsidRPr="001A48D3" w:rsidRDefault="007D5B9B" w:rsidP="00B52F7D">
      <w:pPr>
        <w:pStyle w:val="Heading5"/>
        <w:spacing w:after="120"/>
      </w:pPr>
      <w:bookmarkStart w:id="48" w:name="_Toc430182511"/>
      <w:r w:rsidRPr="00B52F7D">
        <w:rPr>
          <w:b/>
          <w:sz w:val="24"/>
        </w:rPr>
        <w:t xml:space="preserve">Figure </w:t>
      </w:r>
      <w:r w:rsidR="00244954" w:rsidRPr="00B52F7D">
        <w:rPr>
          <w:b/>
          <w:sz w:val="24"/>
        </w:rPr>
        <w:t>3</w:t>
      </w:r>
      <w:r w:rsidRPr="00B52F7D">
        <w:rPr>
          <w:b/>
          <w:sz w:val="24"/>
        </w:rPr>
        <w:tab/>
        <w:t xml:space="preserve">Projected </w:t>
      </w:r>
      <w:r w:rsidR="00143CBA" w:rsidRPr="00B52F7D">
        <w:rPr>
          <w:b/>
          <w:sz w:val="24"/>
        </w:rPr>
        <w:t>Impact on</w:t>
      </w:r>
      <w:r w:rsidRPr="00B52F7D">
        <w:rPr>
          <w:b/>
          <w:sz w:val="24"/>
        </w:rPr>
        <w:t xml:space="preserve"> PM Emissions </w:t>
      </w:r>
      <w:r w:rsidR="00143CBA" w:rsidRPr="00B52F7D">
        <w:rPr>
          <w:b/>
          <w:sz w:val="24"/>
        </w:rPr>
        <w:t>of</w:t>
      </w:r>
      <w:r w:rsidRPr="00B52F7D">
        <w:rPr>
          <w:b/>
          <w:sz w:val="24"/>
        </w:rPr>
        <w:t xml:space="preserve"> the Light Vehicle Fleet from Existing Standards</w:t>
      </w:r>
      <w:bookmarkEnd w:id="48"/>
      <w:r w:rsidR="00612C45" w:rsidRPr="001A48D3">
        <w:t xml:space="preserve"> </w:t>
      </w:r>
    </w:p>
    <w:p w:rsidR="0061435C" w:rsidRDefault="0061435C" w:rsidP="00C4701A">
      <w:pPr>
        <w:spacing w:after="120"/>
      </w:pPr>
    </w:p>
    <w:p w:rsidR="00896A37" w:rsidRPr="001A48D3" w:rsidRDefault="00FA0ED4" w:rsidP="00C4701A">
      <w:pPr>
        <w:spacing w:after="120"/>
      </w:pPr>
      <w:r w:rsidRPr="001A48D3">
        <w:t xml:space="preserve">So </w:t>
      </w:r>
      <w:r w:rsidR="00D663AE" w:rsidRPr="001A48D3">
        <w:t xml:space="preserve">this </w:t>
      </w:r>
      <w:r w:rsidRPr="001A48D3">
        <w:t xml:space="preserve">existing </w:t>
      </w:r>
      <w:r w:rsidR="00D663AE" w:rsidRPr="001A48D3">
        <w:t>package of standards will provide air quality benefits</w:t>
      </w:r>
      <w:r w:rsidRPr="001A48D3">
        <w:t xml:space="preserve">, </w:t>
      </w:r>
      <w:r w:rsidR="00921D65" w:rsidRPr="001A48D3">
        <w:t xml:space="preserve">but </w:t>
      </w:r>
      <w:r w:rsidRPr="001A48D3">
        <w:t>the projections indicate</w:t>
      </w:r>
      <w:r w:rsidR="00D663AE" w:rsidRPr="001A48D3">
        <w:t xml:space="preserve"> it</w:t>
      </w:r>
      <w:r w:rsidR="00896A37" w:rsidRPr="001A48D3">
        <w:t xml:space="preserve"> may be insufficient in the longer term in delivering reductions in levels of photochemical smog (</w:t>
      </w:r>
      <w:r w:rsidRPr="001A48D3">
        <w:t xml:space="preserve">NOx emissions are a precursor to smog formation) </w:t>
      </w:r>
      <w:r w:rsidR="00D663AE" w:rsidRPr="001A48D3">
        <w:t xml:space="preserve">and </w:t>
      </w:r>
      <w:r w:rsidR="007D5B9B" w:rsidRPr="001A48D3">
        <w:t xml:space="preserve">most </w:t>
      </w:r>
      <w:r w:rsidRPr="001A48D3">
        <w:t xml:space="preserve">particularly </w:t>
      </w:r>
      <w:r w:rsidR="00D663AE" w:rsidRPr="001A48D3">
        <w:t>PM emissions</w:t>
      </w:r>
      <w:r w:rsidR="007D5B9B" w:rsidRPr="001A48D3">
        <w:t xml:space="preserve">.  This is largely attributable to </w:t>
      </w:r>
      <w:r w:rsidR="00896A37" w:rsidRPr="001A48D3">
        <w:t>significant increases in vehicle numbers</w:t>
      </w:r>
      <w:r w:rsidR="008B1786" w:rsidRPr="001A48D3">
        <w:t xml:space="preserve">, increased </w:t>
      </w:r>
      <w:r w:rsidR="00896A37" w:rsidRPr="001A48D3">
        <w:t>vehicle kilometres travelled</w:t>
      </w:r>
      <w:r w:rsidR="008B1786" w:rsidRPr="001A48D3">
        <w:t xml:space="preserve"> (</w:t>
      </w:r>
      <w:r w:rsidR="00896A37" w:rsidRPr="001A48D3">
        <w:t>parti</w:t>
      </w:r>
      <w:r w:rsidR="00D663AE" w:rsidRPr="001A48D3">
        <w:t xml:space="preserve">cularly in </w:t>
      </w:r>
      <w:r w:rsidRPr="001A48D3">
        <w:t xml:space="preserve">light commercial </w:t>
      </w:r>
      <w:r w:rsidR="007D5B9B" w:rsidRPr="001A48D3">
        <w:t>vehicles</w:t>
      </w:r>
      <w:r w:rsidR="008B1786" w:rsidRPr="001A48D3">
        <w:t>) and the expected increase in diesel vehicle penetration (substituting for petrol vehicles) in the fleet (in both passenger cars and light commercials)</w:t>
      </w:r>
      <w:r w:rsidR="00D663AE" w:rsidRPr="001A48D3">
        <w:t>.</w:t>
      </w:r>
      <w:r w:rsidR="008B1786" w:rsidRPr="001A48D3">
        <w:t xml:space="preserve">  Diesel vehicles have much higher PM emission rates (even at the Euro 4 level) than petrol vehicles and thus under the status quo option these combination of factors are expected to lead to significant PM emissions from the fleet overall.  </w:t>
      </w:r>
    </w:p>
    <w:p w:rsidR="00BF333C" w:rsidRPr="001A48D3" w:rsidRDefault="00896A37" w:rsidP="00C4701A">
      <w:pPr>
        <w:spacing w:after="120"/>
      </w:pPr>
      <w:r w:rsidRPr="001A48D3">
        <w:t xml:space="preserve">In the absence of any new vehicle standards, a proportion of imported vehicles will comply with </w:t>
      </w:r>
      <w:r w:rsidR="00921D65" w:rsidRPr="001A48D3">
        <w:t xml:space="preserve">one of </w:t>
      </w:r>
      <w:r w:rsidRPr="001A48D3">
        <w:t xml:space="preserve">the more stringent </w:t>
      </w:r>
      <w:r w:rsidR="00921D65" w:rsidRPr="001A48D3">
        <w:t>overseas</w:t>
      </w:r>
      <w:r w:rsidRPr="001A48D3">
        <w:t xml:space="preserve"> standards in place at the time of their manufacture, even though </w:t>
      </w:r>
      <w:r w:rsidR="00921D65" w:rsidRPr="001A48D3">
        <w:t>those standards have</w:t>
      </w:r>
      <w:r w:rsidRPr="001A48D3">
        <w:t xml:space="preserve"> not been adopted in Australia.  Thus Australia will benefit, to some extent, from the more stringent overseas standards, even without adopting them in Australia.  The magnitude of this “free ride</w:t>
      </w:r>
      <w:r w:rsidR="000E6446" w:rsidRPr="001A48D3">
        <w:t>r</w:t>
      </w:r>
      <w:r w:rsidRPr="001A48D3">
        <w:t>” benefit is difficult to measure</w:t>
      </w:r>
      <w:r w:rsidR="00234AFD" w:rsidRPr="001A48D3">
        <w:t xml:space="preserve"> accurately</w:t>
      </w:r>
      <w:r w:rsidRPr="001A48D3">
        <w:t xml:space="preserve">, as it depends on decisions by individual manufacturers on the economics of “de-specifying” and re-certifying a model for the Australian market.  </w:t>
      </w:r>
      <w:r w:rsidR="00794FAA" w:rsidRPr="001A48D3">
        <w:t xml:space="preserve">However, </w:t>
      </w:r>
      <w:r w:rsidR="00BF333C" w:rsidRPr="001A48D3">
        <w:t>previous experience indicates</w:t>
      </w:r>
      <w:r w:rsidR="00794FAA" w:rsidRPr="001A48D3">
        <w:t xml:space="preserve"> that many models are not upgraded to meet more stringent standards until the latest practical timeframe.  </w:t>
      </w:r>
    </w:p>
    <w:p w:rsidR="00B163A2" w:rsidRDefault="00794FAA" w:rsidP="00B52F7D">
      <w:pPr>
        <w:spacing w:after="120"/>
      </w:pPr>
      <w:r w:rsidRPr="001A48D3">
        <w:t xml:space="preserve">It is </w:t>
      </w:r>
      <w:r w:rsidR="00427437" w:rsidRPr="001A48D3">
        <w:t>also</w:t>
      </w:r>
      <w:r w:rsidRPr="001A48D3">
        <w:t xml:space="preserve"> reasonable to conclude that </w:t>
      </w:r>
      <w:r w:rsidR="00B855A6" w:rsidRPr="001A48D3">
        <w:t>where</w:t>
      </w:r>
      <w:r w:rsidRPr="001A48D3">
        <w:t xml:space="preserve"> it is cost effective to provide older technology vehicles for markets with less stringent standards, some manufacturers will </w:t>
      </w:r>
      <w:r w:rsidR="00B855A6" w:rsidRPr="001A48D3">
        <w:t xml:space="preserve">also </w:t>
      </w:r>
      <w:r w:rsidRPr="001A48D3">
        <w:t>choose to provide those models to the Austr</w:t>
      </w:r>
      <w:r w:rsidR="00B855A6" w:rsidRPr="001A48D3">
        <w:t>al</w:t>
      </w:r>
      <w:r w:rsidRPr="001A48D3">
        <w:t xml:space="preserve">ian market in the absence of more stringent </w:t>
      </w:r>
      <w:r w:rsidR="00427437" w:rsidRPr="001A48D3">
        <w:t>mandatory</w:t>
      </w:r>
      <w:r w:rsidRPr="001A48D3">
        <w:t xml:space="preserve"> standards.  </w:t>
      </w:r>
      <w:r w:rsidR="00B855A6" w:rsidRPr="001A48D3">
        <w:t xml:space="preserve">This practice has been clearly illustrated </w:t>
      </w:r>
      <w:r w:rsidR="001E5B08" w:rsidRPr="001A48D3">
        <w:t xml:space="preserve">from the test data collected in the </w:t>
      </w:r>
      <w:r w:rsidR="00BF333C" w:rsidRPr="001A48D3">
        <w:t xml:space="preserve">recent </w:t>
      </w:r>
      <w:r w:rsidR="001E5B08" w:rsidRPr="001A48D3">
        <w:t>2</w:t>
      </w:r>
      <w:r w:rsidR="001E5B08" w:rsidRPr="001A48D3">
        <w:rPr>
          <w:vertAlign w:val="superscript"/>
        </w:rPr>
        <w:t>nd</w:t>
      </w:r>
      <w:r w:rsidR="001E5B08" w:rsidRPr="001A48D3">
        <w:t xml:space="preserve"> National In-service Emissions Study (NISE 2)</w:t>
      </w:r>
      <w:r w:rsidR="00921D65" w:rsidRPr="001A48D3">
        <w:t xml:space="preserve"> </w:t>
      </w:r>
      <w:r w:rsidR="00B855A6" w:rsidRPr="001A48D3">
        <w:t xml:space="preserve">where light commercial and large 4WD models </w:t>
      </w:r>
      <w:r w:rsidR="00BF333C" w:rsidRPr="001A48D3">
        <w:t xml:space="preserve">were subject to a significantly less </w:t>
      </w:r>
      <w:r w:rsidR="00BF333C" w:rsidRPr="001A48D3">
        <w:lastRenderedPageBreak/>
        <w:t xml:space="preserve">stringent standard (ADR36/00) than other light vehicles, and many models continued the use of older engine technology and minimal </w:t>
      </w:r>
      <w:r w:rsidR="00AF01A3" w:rsidRPr="001A48D3">
        <w:t>emissions</w:t>
      </w:r>
      <w:r w:rsidR="00BF333C" w:rsidRPr="001A48D3">
        <w:t xml:space="preserve"> controls until the introduction of tighter mandatory standards in 2002/3, even though such technology had not been in common use in other light vehicles for many years</w:t>
      </w:r>
      <w:r w:rsidR="001E5B08" w:rsidRPr="001A48D3">
        <w:t xml:space="preserve">.  Figure </w:t>
      </w:r>
      <w:r w:rsidR="00244954" w:rsidRPr="001A48D3">
        <w:t>4</w:t>
      </w:r>
      <w:r w:rsidR="001E5B08" w:rsidRPr="001A48D3">
        <w:t xml:space="preserve"> from NISE 2 illustrates this</w:t>
      </w:r>
      <w:r w:rsidR="00B163A2" w:rsidRPr="001A48D3">
        <w:t xml:space="preserve"> circumstance for HC emissions whereby large SUVs and light commercial vehicles did not provide comparable emissions performance as other light vehicles until they were brought in under the same standards umbrella as other light vehicles </w:t>
      </w:r>
      <w:r w:rsidR="00921D65" w:rsidRPr="001A48D3">
        <w:t xml:space="preserve">from 2004 </w:t>
      </w:r>
      <w:r w:rsidR="00B163A2" w:rsidRPr="001A48D3">
        <w:t xml:space="preserve">(similar </w:t>
      </w:r>
      <w:r w:rsidR="00921D65" w:rsidRPr="001A48D3">
        <w:t>patterns</w:t>
      </w:r>
      <w:r w:rsidR="00B163A2" w:rsidRPr="001A48D3">
        <w:t xml:space="preserve"> are also ob</w:t>
      </w:r>
      <w:r w:rsidR="00921D65" w:rsidRPr="001A48D3">
        <w:t>served</w:t>
      </w:r>
      <w:r w:rsidR="00B163A2" w:rsidRPr="001A48D3">
        <w:t xml:space="preserve"> for CO and NOx emissions).  </w:t>
      </w:r>
    </w:p>
    <w:p w:rsidR="00B163A2" w:rsidRPr="001A48D3" w:rsidRDefault="00B163A2" w:rsidP="00B52F7D">
      <w:pPr>
        <w:spacing w:after="120"/>
      </w:pPr>
    </w:p>
    <w:p w:rsidR="00B163A2" w:rsidRPr="001A48D3" w:rsidRDefault="00836FFF" w:rsidP="00C4701A">
      <w:pPr>
        <w:spacing w:afterLines="80" w:after="192"/>
      </w:pPr>
      <w:r>
        <w:rPr>
          <w:noProof/>
        </w:rPr>
        <w:drawing>
          <wp:inline distT="0" distB="0" distL="0" distR="0" wp14:anchorId="2404F03A" wp14:editId="6C80B044">
            <wp:extent cx="5229225" cy="3952875"/>
            <wp:effectExtent l="0" t="0" r="0" b="0"/>
            <wp:docPr id="4" name="Picture 4" descr="The diagram is a technical diagram. If you are unable to view this image, please contact the Department of Infrastructure &amp; Regional Development for a hard copy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diagram is a technical diagram. If you are unable to view this image, please contact the Department of Infrastructure &amp; Regional Development for a hard copy of this docu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9225" cy="3952875"/>
                    </a:xfrm>
                    <a:prstGeom prst="rect">
                      <a:avLst/>
                    </a:prstGeom>
                    <a:noFill/>
                    <a:ln>
                      <a:noFill/>
                    </a:ln>
                  </pic:spPr>
                </pic:pic>
              </a:graphicData>
            </a:graphic>
          </wp:inline>
        </w:drawing>
      </w:r>
    </w:p>
    <w:p w:rsidR="00B163A2" w:rsidRPr="001A48D3" w:rsidRDefault="00B163A2" w:rsidP="00C4701A">
      <w:pPr>
        <w:spacing w:after="120"/>
        <w:rPr>
          <w:sz w:val="18"/>
          <w:szCs w:val="18"/>
        </w:rPr>
      </w:pPr>
      <w:r w:rsidRPr="001A48D3">
        <w:rPr>
          <w:sz w:val="18"/>
          <w:szCs w:val="18"/>
        </w:rPr>
        <w:t>Note:</w:t>
      </w:r>
      <w:r w:rsidRPr="001A48D3">
        <w:rPr>
          <w:sz w:val="18"/>
          <w:szCs w:val="18"/>
        </w:rPr>
        <w:tab/>
      </w:r>
      <w:r w:rsidR="00921D65" w:rsidRPr="001A48D3">
        <w:rPr>
          <w:sz w:val="18"/>
          <w:szCs w:val="18"/>
        </w:rPr>
        <w:t>PV-S, PV-M</w:t>
      </w:r>
      <w:r w:rsidRPr="001A48D3">
        <w:rPr>
          <w:sz w:val="18"/>
          <w:szCs w:val="18"/>
        </w:rPr>
        <w:t>, PV-L = small, medium and large passenger vehicles;, SUV-C, SUV-L = compact and large sports utility vehicles; LCV = light commercial vehicles; THC = total hydrocarbons</w:t>
      </w:r>
    </w:p>
    <w:p w:rsidR="00B163A2" w:rsidRPr="001A48D3" w:rsidRDefault="00555FDA" w:rsidP="00C4701A">
      <w:pPr>
        <w:spacing w:after="120"/>
        <w:rPr>
          <w:sz w:val="18"/>
          <w:szCs w:val="18"/>
        </w:rPr>
      </w:pPr>
      <w:r w:rsidRPr="001A48D3">
        <w:rPr>
          <w:sz w:val="18"/>
          <w:szCs w:val="18"/>
        </w:rPr>
        <w:t>Source: NISE 2</w:t>
      </w:r>
    </w:p>
    <w:p w:rsidR="00B163A2" w:rsidRPr="001A48D3" w:rsidRDefault="00B163A2" w:rsidP="00B52F7D">
      <w:pPr>
        <w:pStyle w:val="Heading5"/>
        <w:spacing w:after="120"/>
      </w:pPr>
      <w:bookmarkStart w:id="49" w:name="_Toc430182512"/>
      <w:r w:rsidRPr="00B52F7D">
        <w:rPr>
          <w:b/>
          <w:sz w:val="24"/>
        </w:rPr>
        <w:t xml:space="preserve">Figure </w:t>
      </w:r>
      <w:r w:rsidR="00244954" w:rsidRPr="00B52F7D">
        <w:rPr>
          <w:b/>
          <w:sz w:val="24"/>
        </w:rPr>
        <w:t>4</w:t>
      </w:r>
      <w:r w:rsidRPr="00B52F7D">
        <w:rPr>
          <w:b/>
          <w:sz w:val="24"/>
        </w:rPr>
        <w:tab/>
        <w:t>HC Emissions of In-service Light Petrol Vehicles (1994-2007)</w:t>
      </w:r>
      <w:bookmarkEnd w:id="49"/>
    </w:p>
    <w:p w:rsidR="00BF02CD" w:rsidRDefault="00BF02CD" w:rsidP="00C4701A">
      <w:pPr>
        <w:spacing w:after="120"/>
      </w:pPr>
    </w:p>
    <w:p w:rsidR="00896A37" w:rsidRPr="001A48D3" w:rsidRDefault="00BF333C" w:rsidP="00C4701A">
      <w:pPr>
        <w:spacing w:after="120"/>
      </w:pPr>
      <w:r w:rsidRPr="001A48D3">
        <w:t>This practice</w:t>
      </w:r>
      <w:r w:rsidR="00794FAA" w:rsidRPr="001A48D3">
        <w:t xml:space="preserve"> is particularly </w:t>
      </w:r>
      <w:r w:rsidRPr="001A48D3">
        <w:t>likely with</w:t>
      </w:r>
      <w:r w:rsidR="00794FAA" w:rsidRPr="001A48D3">
        <w:t xml:space="preserve"> respect to standards controlling urban air pollution, as such </w:t>
      </w:r>
      <w:r w:rsidRPr="001A48D3">
        <w:t>emissions</w:t>
      </w:r>
      <w:r w:rsidR="00794FAA" w:rsidRPr="001A48D3">
        <w:t xml:space="preserve"> do not have a high profile in the mind of new vehicle consumers (unlike vehicle safety </w:t>
      </w:r>
      <w:r w:rsidR="00921D65" w:rsidRPr="001A48D3">
        <w:t>for example</w:t>
      </w:r>
      <w:r w:rsidR="00794FAA" w:rsidRPr="001A48D3">
        <w:t>), and thus consumer</w:t>
      </w:r>
      <w:r w:rsidRPr="001A48D3">
        <w:t>s are</w:t>
      </w:r>
      <w:r w:rsidR="00794FAA" w:rsidRPr="001A48D3">
        <w:t xml:space="preserve"> less likely to drive demand for vehicles meeting more stringent </w:t>
      </w:r>
      <w:r w:rsidR="00AF01A3" w:rsidRPr="001A48D3">
        <w:t>emissions</w:t>
      </w:r>
      <w:r w:rsidR="00794FAA" w:rsidRPr="001A48D3">
        <w:t xml:space="preserve"> standards.</w:t>
      </w:r>
    </w:p>
    <w:p w:rsidR="00427437" w:rsidRPr="001A48D3" w:rsidRDefault="00427437" w:rsidP="00C4701A">
      <w:pPr>
        <w:spacing w:after="120"/>
      </w:pPr>
      <w:r w:rsidRPr="001A48D3">
        <w:t xml:space="preserve">In broad terms, </w:t>
      </w:r>
      <w:r w:rsidR="00F80712" w:rsidRPr="001A48D3">
        <w:t>t</w:t>
      </w:r>
      <w:r w:rsidRPr="001A48D3">
        <w:t xml:space="preserve">he ‘do nothing’ approach is </w:t>
      </w:r>
      <w:r w:rsidR="00F80712" w:rsidRPr="001A48D3">
        <w:t xml:space="preserve">also </w:t>
      </w:r>
      <w:r w:rsidRPr="001A48D3">
        <w:t xml:space="preserve">inconsistent with the Government’s policy to harmonise with international standards </w:t>
      </w:r>
      <w:r w:rsidR="00F56324" w:rsidRPr="001A48D3">
        <w:t xml:space="preserve">(where justified) </w:t>
      </w:r>
      <w:r w:rsidRPr="001A48D3">
        <w:t xml:space="preserve">and could have negative ramifications for </w:t>
      </w:r>
      <w:r w:rsidR="00234AFD" w:rsidRPr="001A48D3">
        <w:t xml:space="preserve">the international competitiveness of the </w:t>
      </w:r>
      <w:r w:rsidRPr="001A48D3">
        <w:t xml:space="preserve">Australian </w:t>
      </w:r>
      <w:r w:rsidR="00234AFD" w:rsidRPr="001A48D3">
        <w:t xml:space="preserve">vehicle manufacturing </w:t>
      </w:r>
      <w:r w:rsidRPr="001A48D3">
        <w:t xml:space="preserve">industry.  </w:t>
      </w:r>
    </w:p>
    <w:p w:rsidR="00896A37" w:rsidRPr="001A48D3" w:rsidRDefault="002209F2" w:rsidP="00153F3E">
      <w:pPr>
        <w:pStyle w:val="Heading2"/>
      </w:pPr>
      <w:r w:rsidRPr="001A48D3">
        <w:br w:type="page"/>
      </w:r>
      <w:bookmarkStart w:id="50" w:name="_Toc89846637"/>
      <w:bookmarkStart w:id="51" w:name="_Toc430182513"/>
      <w:r w:rsidR="00BA1B94">
        <w:lastRenderedPageBreak/>
        <w:t>3.3</w:t>
      </w:r>
      <w:r w:rsidR="00BA1B94">
        <w:tab/>
      </w:r>
      <w:r w:rsidR="00896A37" w:rsidRPr="001A48D3">
        <w:t>Option 2:</w:t>
      </w:r>
      <w:r w:rsidR="00427437" w:rsidRPr="001A48D3">
        <w:tab/>
      </w:r>
      <w:bookmarkEnd w:id="50"/>
      <w:r w:rsidR="0043752F" w:rsidRPr="001A48D3">
        <w:t>Introduction of Euro 5/6 on earliest practical timeframes</w:t>
      </w:r>
      <w:bookmarkEnd w:id="51"/>
    </w:p>
    <w:p w:rsidR="00896A37" w:rsidRPr="001A48D3" w:rsidRDefault="00896A37" w:rsidP="00B52F7D"/>
    <w:p w:rsidR="00896A37" w:rsidRPr="001A48D3" w:rsidRDefault="00234AFD" w:rsidP="00C4701A">
      <w:pPr>
        <w:pBdr>
          <w:top w:val="single" w:sz="4" w:space="1" w:color="auto"/>
          <w:left w:val="single" w:sz="4" w:space="4" w:color="auto"/>
          <w:bottom w:val="single" w:sz="4" w:space="1" w:color="auto"/>
          <w:right w:val="single" w:sz="4" w:space="4" w:color="auto"/>
        </w:pBdr>
        <w:spacing w:afterLines="80" w:after="192"/>
        <w:rPr>
          <w:b/>
        </w:rPr>
      </w:pPr>
      <w:r w:rsidRPr="001A48D3">
        <w:rPr>
          <w:b/>
          <w:i/>
        </w:rPr>
        <w:t>Action:</w:t>
      </w:r>
      <w:r w:rsidRPr="001A48D3">
        <w:rPr>
          <w:b/>
        </w:rPr>
        <w:tab/>
      </w:r>
      <w:r w:rsidR="00A171AA" w:rsidRPr="001A48D3">
        <w:rPr>
          <w:b/>
        </w:rPr>
        <w:tab/>
      </w:r>
      <w:r w:rsidR="00896A37" w:rsidRPr="001A48D3">
        <w:rPr>
          <w:b/>
        </w:rPr>
        <w:t xml:space="preserve">Mandate </w:t>
      </w:r>
      <w:r w:rsidR="0043752F" w:rsidRPr="001A48D3">
        <w:rPr>
          <w:b/>
        </w:rPr>
        <w:t>Euro 5/6</w:t>
      </w:r>
      <w:r w:rsidR="00896A37" w:rsidRPr="001A48D3">
        <w:rPr>
          <w:b/>
        </w:rPr>
        <w:t xml:space="preserve"> standards for light vehicles</w:t>
      </w:r>
    </w:p>
    <w:p w:rsidR="005D433F" w:rsidRPr="001A48D3" w:rsidRDefault="00896A37" w:rsidP="00B52F7D">
      <w:pPr>
        <w:pBdr>
          <w:top w:val="single" w:sz="4" w:space="1" w:color="auto"/>
          <w:left w:val="single" w:sz="4" w:space="4" w:color="auto"/>
          <w:bottom w:val="single" w:sz="4" w:space="1" w:color="auto"/>
          <w:right w:val="single" w:sz="4" w:space="4" w:color="auto"/>
        </w:pBdr>
        <w:spacing w:afterLines="80" w:after="192"/>
        <w:ind w:left="2160" w:hanging="2160"/>
      </w:pPr>
      <w:r w:rsidRPr="001A48D3">
        <w:rPr>
          <w:b/>
          <w:i/>
        </w:rPr>
        <w:t>Timeframe</w:t>
      </w:r>
      <w:r w:rsidR="00A171AA" w:rsidRPr="001A48D3">
        <w:rPr>
          <w:rStyle w:val="FootnoteReference"/>
          <w:b/>
          <w:i/>
        </w:rPr>
        <w:footnoteReference w:id="25"/>
      </w:r>
      <w:r w:rsidR="0043752F" w:rsidRPr="001A48D3">
        <w:rPr>
          <w:b/>
          <w:i/>
        </w:rPr>
        <w:t>:</w:t>
      </w:r>
      <w:r w:rsidR="00234AFD" w:rsidRPr="001A48D3">
        <w:rPr>
          <w:b/>
        </w:rPr>
        <w:tab/>
      </w:r>
      <w:r w:rsidR="0043752F" w:rsidRPr="001A48D3">
        <w:rPr>
          <w:b/>
        </w:rPr>
        <w:t>2012</w:t>
      </w:r>
      <w:r w:rsidR="000C705B" w:rsidRPr="001A48D3">
        <w:rPr>
          <w:b/>
        </w:rPr>
        <w:t>-</w:t>
      </w:r>
      <w:r w:rsidR="00234AFD" w:rsidRPr="001A48D3">
        <w:rPr>
          <w:b/>
        </w:rPr>
        <w:t>1</w:t>
      </w:r>
      <w:r w:rsidR="00404445" w:rsidRPr="001A48D3">
        <w:rPr>
          <w:b/>
        </w:rPr>
        <w:t xml:space="preserve">3 (Euro 5) </w:t>
      </w:r>
      <w:r w:rsidR="00234AFD" w:rsidRPr="001A48D3">
        <w:rPr>
          <w:b/>
        </w:rPr>
        <w:br/>
      </w:r>
      <w:r w:rsidR="0043752F" w:rsidRPr="001A48D3">
        <w:rPr>
          <w:b/>
        </w:rPr>
        <w:t>2015-17 (Euro 6)</w:t>
      </w:r>
    </w:p>
    <w:p w:rsidR="00573D65" w:rsidRPr="001A48D3" w:rsidRDefault="00896A37" w:rsidP="00C4701A">
      <w:pPr>
        <w:spacing w:after="120"/>
      </w:pPr>
      <w:r w:rsidRPr="001A48D3">
        <w:t xml:space="preserve">In terms of air quality, the adoption of the </w:t>
      </w:r>
      <w:r w:rsidR="00681772" w:rsidRPr="001A48D3">
        <w:t>Euro 5</w:t>
      </w:r>
      <w:r w:rsidR="00C21C6C" w:rsidRPr="001A48D3">
        <w:t>/6</w:t>
      </w:r>
      <w:r w:rsidRPr="001A48D3">
        <w:t xml:space="preserve"> </w:t>
      </w:r>
      <w:r w:rsidRPr="001A48D3">
        <w:rPr>
          <w:iCs/>
        </w:rPr>
        <w:t>light vehicle</w:t>
      </w:r>
      <w:r w:rsidRPr="001A48D3">
        <w:t xml:space="preserve"> standards would build on the </w:t>
      </w:r>
      <w:r w:rsidR="00573D65" w:rsidRPr="001A48D3">
        <w:t xml:space="preserve">NOx </w:t>
      </w:r>
      <w:r w:rsidR="00AF01A3" w:rsidRPr="001A48D3">
        <w:t>emissions</w:t>
      </w:r>
      <w:r w:rsidR="00573D65" w:rsidRPr="001A48D3">
        <w:t xml:space="preserve"> </w:t>
      </w:r>
      <w:r w:rsidRPr="001A48D3">
        <w:t>benefits of the status quo scenario outlined in Option 1</w:t>
      </w:r>
      <w:r w:rsidR="00681772" w:rsidRPr="001A48D3">
        <w:t xml:space="preserve">, </w:t>
      </w:r>
      <w:r w:rsidR="00573D65" w:rsidRPr="001A48D3">
        <w:t xml:space="preserve">and reverse the projected growth in PM emissions (see comparative analysis in </w:t>
      </w:r>
      <w:r w:rsidR="00CE0A88" w:rsidRPr="001A48D3">
        <w:t>Section</w:t>
      </w:r>
      <w:r w:rsidR="00573D65" w:rsidRPr="001A48D3">
        <w:t xml:space="preserve"> 4.1 for more detail)</w:t>
      </w:r>
      <w:r w:rsidRPr="001A48D3">
        <w:t>.</w:t>
      </w:r>
    </w:p>
    <w:p w:rsidR="00681772" w:rsidRPr="001A48D3" w:rsidRDefault="00573D65" w:rsidP="00C4701A">
      <w:pPr>
        <w:spacing w:after="120"/>
      </w:pPr>
      <w:r w:rsidRPr="001A48D3">
        <w:t>At a vehicle level,</w:t>
      </w:r>
      <w:r w:rsidR="00F645C0" w:rsidRPr="001A48D3">
        <w:t xml:space="preserve"> the </w:t>
      </w:r>
      <w:r w:rsidR="00896A37" w:rsidRPr="001A48D3">
        <w:t xml:space="preserve">adoption of the </w:t>
      </w:r>
      <w:r w:rsidR="00681772" w:rsidRPr="001A48D3">
        <w:t>Euro 5</w:t>
      </w:r>
      <w:r w:rsidR="00460BA4" w:rsidRPr="001A48D3">
        <w:t>/6</w:t>
      </w:r>
      <w:r w:rsidR="00896A37" w:rsidRPr="001A48D3">
        <w:t xml:space="preserve"> standards would </w:t>
      </w:r>
      <w:r w:rsidR="00F645C0" w:rsidRPr="001A48D3">
        <w:t>deliver</w:t>
      </w:r>
      <w:r w:rsidR="00896A37" w:rsidRPr="001A48D3">
        <w:t xml:space="preserve"> </w:t>
      </w:r>
      <w:r w:rsidR="00F645C0" w:rsidRPr="001A48D3">
        <w:t xml:space="preserve">the following </w:t>
      </w:r>
      <w:r w:rsidR="00460BA4" w:rsidRPr="001A48D3">
        <w:t xml:space="preserve">key </w:t>
      </w:r>
      <w:r w:rsidR="00F645C0" w:rsidRPr="001A48D3">
        <w:t>benefits in the new light vehicle fleet</w:t>
      </w:r>
      <w:r w:rsidR="00460BA4" w:rsidRPr="001A48D3">
        <w:t xml:space="preserve"> (relative to the current </w:t>
      </w:r>
      <w:r w:rsidR="00460BA4" w:rsidRPr="001A48D3">
        <w:rPr>
          <w:rFonts w:cs="Arial"/>
          <w:szCs w:val="24"/>
        </w:rPr>
        <w:t>Euro 4</w:t>
      </w:r>
      <w:r w:rsidR="00460BA4" w:rsidRPr="001A48D3">
        <w:t xml:space="preserve"> standards</w:t>
      </w:r>
      <w:r w:rsidRPr="001A48D3">
        <w:t xml:space="preserve"> embodied in Option 1</w:t>
      </w:r>
      <w:r w:rsidR="00460BA4" w:rsidRPr="001A48D3">
        <w:t>)</w:t>
      </w:r>
      <w:r w:rsidR="00F645C0" w:rsidRPr="001A48D3">
        <w:t>:</w:t>
      </w:r>
    </w:p>
    <w:p w:rsidR="00460BA4" w:rsidRPr="001A48D3" w:rsidRDefault="00460BA4" w:rsidP="00C4701A">
      <w:pPr>
        <w:numPr>
          <w:ilvl w:val="0"/>
          <w:numId w:val="18"/>
        </w:numPr>
        <w:spacing w:after="120"/>
      </w:pPr>
      <w:r w:rsidRPr="001A48D3">
        <w:t>For all vehicles:</w:t>
      </w:r>
    </w:p>
    <w:p w:rsidR="002209F2" w:rsidRPr="001A48D3" w:rsidRDefault="00460BA4" w:rsidP="00C4701A">
      <w:pPr>
        <w:numPr>
          <w:ilvl w:val="0"/>
          <w:numId w:val="19"/>
        </w:numPr>
        <w:spacing w:after="120"/>
      </w:pPr>
      <w:r w:rsidRPr="001A48D3">
        <w:t xml:space="preserve">an increase in the durability requirement for vehicle </w:t>
      </w:r>
      <w:r w:rsidR="00AF01A3" w:rsidRPr="001A48D3">
        <w:t>emissions</w:t>
      </w:r>
      <w:r w:rsidRPr="001A48D3">
        <w:t xml:space="preserve"> control systems from 100,000km to 160,00km;</w:t>
      </w:r>
    </w:p>
    <w:p w:rsidR="00460BA4" w:rsidRPr="001A48D3" w:rsidRDefault="00CE332D" w:rsidP="00C4701A">
      <w:pPr>
        <w:numPr>
          <w:ilvl w:val="0"/>
          <w:numId w:val="19"/>
        </w:numPr>
        <w:spacing w:after="120"/>
      </w:pPr>
      <w:r w:rsidRPr="001A48D3">
        <w:t xml:space="preserve">the </w:t>
      </w:r>
      <w:r w:rsidR="002209F2" w:rsidRPr="001A48D3">
        <w:t>removal of concession</w:t>
      </w:r>
      <w:r w:rsidR="00234AFD" w:rsidRPr="001A48D3">
        <w:t>al limits</w:t>
      </w:r>
      <w:r w:rsidR="002209F2" w:rsidRPr="001A48D3">
        <w:t xml:space="preserve"> for heavy passenger vehicles;</w:t>
      </w:r>
      <w:r w:rsidR="00460BA4" w:rsidRPr="001A48D3">
        <w:t xml:space="preserve"> and </w:t>
      </w:r>
    </w:p>
    <w:p w:rsidR="00460BA4" w:rsidRPr="001A48D3" w:rsidRDefault="00460BA4" w:rsidP="00C4701A">
      <w:pPr>
        <w:numPr>
          <w:ilvl w:val="0"/>
          <w:numId w:val="19"/>
        </w:numPr>
        <w:spacing w:after="120"/>
      </w:pPr>
      <w:r w:rsidRPr="001A48D3">
        <w:t xml:space="preserve">enhanced on board diagnostics (OBD) requirements to detect </w:t>
      </w:r>
      <w:r w:rsidR="00AF01A3" w:rsidRPr="001A48D3">
        <w:t>emissions</w:t>
      </w:r>
      <w:r w:rsidRPr="001A48D3">
        <w:t xml:space="preserve"> related faults</w:t>
      </w:r>
      <w:r w:rsidR="002209F2" w:rsidRPr="001A48D3">
        <w:t xml:space="preserve"> in-service</w:t>
      </w:r>
      <w:r w:rsidRPr="001A48D3">
        <w:t>.</w:t>
      </w:r>
    </w:p>
    <w:p w:rsidR="00D579BF" w:rsidRPr="001A48D3" w:rsidRDefault="00681772" w:rsidP="00C4701A">
      <w:pPr>
        <w:numPr>
          <w:ilvl w:val="0"/>
          <w:numId w:val="20"/>
        </w:numPr>
        <w:spacing w:after="120"/>
      </w:pPr>
      <w:r w:rsidRPr="001A48D3">
        <w:t xml:space="preserve">For </w:t>
      </w:r>
      <w:r w:rsidR="00F645C0" w:rsidRPr="001A48D3">
        <w:t>petrol vehicles</w:t>
      </w:r>
      <w:r w:rsidR="00D579BF" w:rsidRPr="001A48D3">
        <w:t>:</w:t>
      </w:r>
    </w:p>
    <w:p w:rsidR="00D579BF" w:rsidRPr="001A48D3" w:rsidRDefault="00F645C0" w:rsidP="00C4701A">
      <w:pPr>
        <w:numPr>
          <w:ilvl w:val="0"/>
          <w:numId w:val="21"/>
        </w:numPr>
        <w:spacing w:after="120"/>
      </w:pPr>
      <w:r w:rsidRPr="001A48D3">
        <w:t xml:space="preserve">a 25% </w:t>
      </w:r>
      <w:r w:rsidR="00460BA4" w:rsidRPr="001A48D3">
        <w:t>reduction in NOx emissions</w:t>
      </w:r>
      <w:r w:rsidR="00D579BF" w:rsidRPr="001A48D3">
        <w:t xml:space="preserve">; </w:t>
      </w:r>
    </w:p>
    <w:p w:rsidR="00C21C6C" w:rsidRPr="001A48D3" w:rsidRDefault="00CE332D" w:rsidP="00C4701A">
      <w:pPr>
        <w:numPr>
          <w:ilvl w:val="0"/>
          <w:numId w:val="21"/>
        </w:numPr>
        <w:spacing w:after="120"/>
      </w:pPr>
      <w:r w:rsidRPr="001A48D3">
        <w:t xml:space="preserve">the </w:t>
      </w:r>
      <w:r w:rsidR="002209F2" w:rsidRPr="001A48D3">
        <w:t>extension</w:t>
      </w:r>
      <w:r w:rsidR="00D579BF" w:rsidRPr="001A48D3">
        <w:t xml:space="preserve"> of</w:t>
      </w:r>
      <w:r w:rsidR="002209F2" w:rsidRPr="001A48D3">
        <w:t xml:space="preserve"> low temperature test to</w:t>
      </w:r>
      <w:r w:rsidR="00D579BF" w:rsidRPr="001A48D3">
        <w:t xml:space="preserve"> all light petrol vehicles</w:t>
      </w:r>
      <w:r w:rsidR="00C21C6C" w:rsidRPr="001A48D3">
        <w:t>; and</w:t>
      </w:r>
    </w:p>
    <w:p w:rsidR="00460BA4" w:rsidRPr="001A48D3" w:rsidRDefault="00CE332D" w:rsidP="00B52F7D">
      <w:pPr>
        <w:numPr>
          <w:ilvl w:val="0"/>
          <w:numId w:val="21"/>
        </w:numPr>
        <w:spacing w:after="120"/>
      </w:pPr>
      <w:r w:rsidRPr="001A48D3">
        <w:t xml:space="preserve">the </w:t>
      </w:r>
      <w:r w:rsidR="00C21C6C" w:rsidRPr="001A48D3">
        <w:t xml:space="preserve">application of PM </w:t>
      </w:r>
      <w:r w:rsidR="00AF01A3" w:rsidRPr="001A48D3">
        <w:t>emissions</w:t>
      </w:r>
      <w:r w:rsidR="00C21C6C" w:rsidRPr="001A48D3">
        <w:t xml:space="preserve"> limits to direct injection petrol engines (in recognition of the significantly higher rate of PM emissions from these engines relative to conventional petrol engines)</w:t>
      </w:r>
      <w:r w:rsidR="00460BA4" w:rsidRPr="001A48D3">
        <w:t>.</w:t>
      </w:r>
    </w:p>
    <w:p w:rsidR="00460BA4" w:rsidRPr="001A48D3" w:rsidRDefault="00460BA4" w:rsidP="00C4701A">
      <w:pPr>
        <w:numPr>
          <w:ilvl w:val="0"/>
          <w:numId w:val="22"/>
        </w:numPr>
        <w:spacing w:after="120"/>
      </w:pPr>
      <w:r w:rsidRPr="001A48D3">
        <w:t>For diesel vehicles:</w:t>
      </w:r>
    </w:p>
    <w:p w:rsidR="00921D65" w:rsidRPr="001A48D3" w:rsidRDefault="00921D65" w:rsidP="00C4701A">
      <w:pPr>
        <w:numPr>
          <w:ilvl w:val="0"/>
          <w:numId w:val="23"/>
        </w:numPr>
        <w:spacing w:after="120"/>
      </w:pPr>
      <w:r w:rsidRPr="001A48D3">
        <w:t>a 25% reduction in HC emission</w:t>
      </w:r>
      <w:r w:rsidR="00BB55FA" w:rsidRPr="001A48D3">
        <w:t>s at the Euro 5 level, and 40-50</w:t>
      </w:r>
      <w:r w:rsidRPr="001A48D3">
        <w:t>% by Euro 6</w:t>
      </w:r>
      <w:r w:rsidR="00E86AE0" w:rsidRPr="001A48D3">
        <w:t>;</w:t>
      </w:r>
    </w:p>
    <w:p w:rsidR="00681772" w:rsidRPr="001A48D3" w:rsidRDefault="00460BA4" w:rsidP="00C4701A">
      <w:pPr>
        <w:numPr>
          <w:ilvl w:val="0"/>
          <w:numId w:val="23"/>
        </w:numPr>
        <w:spacing w:after="120"/>
      </w:pPr>
      <w:r w:rsidRPr="001A48D3">
        <w:t xml:space="preserve">a </w:t>
      </w:r>
      <w:r w:rsidR="00681772" w:rsidRPr="001A48D3">
        <w:t xml:space="preserve">30% </w:t>
      </w:r>
      <w:r w:rsidRPr="001A48D3">
        <w:t>reduction in NOx emis</w:t>
      </w:r>
      <w:r w:rsidR="00F80712" w:rsidRPr="001A48D3">
        <w:t>sions</w:t>
      </w:r>
      <w:r w:rsidR="001A0BD2" w:rsidRPr="001A48D3">
        <w:t xml:space="preserve"> </w:t>
      </w:r>
      <w:r w:rsidR="00BB55FA" w:rsidRPr="001A48D3">
        <w:t xml:space="preserve">at the Euro 5 level, and </w:t>
      </w:r>
      <w:r w:rsidR="001A0BD2" w:rsidRPr="001A48D3">
        <w:t>70% by Euro 6</w:t>
      </w:r>
      <w:r w:rsidRPr="001A48D3">
        <w:t xml:space="preserve">; </w:t>
      </w:r>
    </w:p>
    <w:p w:rsidR="00460BA4" w:rsidRPr="001A48D3" w:rsidRDefault="00460BA4" w:rsidP="00C4701A">
      <w:pPr>
        <w:numPr>
          <w:ilvl w:val="0"/>
          <w:numId w:val="23"/>
        </w:numPr>
        <w:spacing w:after="120"/>
      </w:pPr>
      <w:r w:rsidRPr="001A48D3">
        <w:t xml:space="preserve">a 80-90% reduction in </w:t>
      </w:r>
      <w:r w:rsidR="00681772" w:rsidRPr="001A48D3">
        <w:t xml:space="preserve">PM </w:t>
      </w:r>
      <w:r w:rsidR="00BB55FA" w:rsidRPr="001A48D3">
        <w:t xml:space="preserve">mass </w:t>
      </w:r>
      <w:r w:rsidR="00681772" w:rsidRPr="001A48D3">
        <w:t xml:space="preserve">limits </w:t>
      </w:r>
      <w:r w:rsidRPr="001A48D3">
        <w:t>from Euro 5</w:t>
      </w:r>
      <w:r w:rsidR="00BB55FA" w:rsidRPr="001A48D3">
        <w:t xml:space="preserve"> (no change for Euro </w:t>
      </w:r>
      <w:r w:rsidRPr="001A48D3">
        <w:t>6</w:t>
      </w:r>
      <w:r w:rsidR="004B7EAD" w:rsidRPr="001A48D3">
        <w:t>)</w:t>
      </w:r>
      <w:r w:rsidRPr="001A48D3">
        <w:t xml:space="preserve"> with all light vehicle categories meeting the same limit; and</w:t>
      </w:r>
    </w:p>
    <w:p w:rsidR="00681772" w:rsidRPr="001A48D3" w:rsidRDefault="00460BA4" w:rsidP="00C4701A">
      <w:pPr>
        <w:numPr>
          <w:ilvl w:val="0"/>
          <w:numId w:val="23"/>
        </w:numPr>
        <w:spacing w:after="120"/>
      </w:pPr>
      <w:r w:rsidRPr="001A48D3">
        <w:t xml:space="preserve">a particle </w:t>
      </w:r>
      <w:r w:rsidR="00681772" w:rsidRPr="001A48D3">
        <w:t xml:space="preserve">number standard </w:t>
      </w:r>
      <w:r w:rsidRPr="001A48D3">
        <w:t>as a second stage element for Euro 5 and continuing for</w:t>
      </w:r>
      <w:r w:rsidR="00681772" w:rsidRPr="001A48D3">
        <w:t xml:space="preserve"> E</w:t>
      </w:r>
      <w:r w:rsidRPr="001A48D3">
        <w:t xml:space="preserve">uro </w:t>
      </w:r>
      <w:r w:rsidR="00681772" w:rsidRPr="001A48D3">
        <w:t>6</w:t>
      </w:r>
      <w:r w:rsidRPr="001A48D3">
        <w:t>.</w:t>
      </w:r>
    </w:p>
    <w:p w:rsidR="004B7EAD" w:rsidRPr="001A48D3" w:rsidRDefault="004B7EAD" w:rsidP="00C4701A">
      <w:pPr>
        <w:spacing w:after="120"/>
      </w:pPr>
      <w:r w:rsidRPr="001A48D3">
        <w:t>As the formal determination of any new ADR to adopt Euro 5 would not occur until early 2010, a new model start date of 1 January 2012 is considered the earliest practical date for manufacturers to achieve without unduly disrupting business planning.</w:t>
      </w:r>
    </w:p>
    <w:p w:rsidR="00E33F76" w:rsidRPr="001A48D3" w:rsidRDefault="00E33F76" w:rsidP="00C4701A">
      <w:pPr>
        <w:spacing w:after="120"/>
      </w:pPr>
      <w:r w:rsidRPr="001A48D3">
        <w:lastRenderedPageBreak/>
        <w:t xml:space="preserve">It is logical to consider Euro 5 and Euro 6 as a package of progressive linked standards.  The petrol and LPG </w:t>
      </w:r>
      <w:r w:rsidR="00AF01A3" w:rsidRPr="001A48D3">
        <w:t>emissions</w:t>
      </w:r>
      <w:r w:rsidRPr="001A48D3">
        <w:t xml:space="preserve"> limits do not change from Euro 5 to Euro 6, except for the introduction of PM number limits at a second stage of Euro 5 and progressive changes to on board diagnostics (OBD) elements.  In the case of diesel vehicles, Euro 6 also tightens the HC and NOx limits relative to Euro 5.  If the case is made for introducing the standards, establishing a timeframe for both Euro 5 and Euro 6 now, will assist vehicle manufacturers in planning for compliance.</w:t>
      </w:r>
    </w:p>
    <w:p w:rsidR="00E86AE0" w:rsidRPr="001A48D3" w:rsidRDefault="00CE332D" w:rsidP="00C4701A">
      <w:pPr>
        <w:spacing w:after="120"/>
        <w:rPr>
          <w:bCs/>
          <w:szCs w:val="24"/>
        </w:rPr>
      </w:pPr>
      <w:r w:rsidRPr="001A48D3">
        <w:rPr>
          <w:bCs/>
          <w:szCs w:val="24"/>
        </w:rPr>
        <w:t xml:space="preserve">For manufacturers, the steps required to achieve compliance with the Euro 5/6 standards will vary between petrol and diesel vehicles, and are more significant for diesel vehicles.  </w:t>
      </w:r>
    </w:p>
    <w:p w:rsidR="00E86AE0" w:rsidRPr="001A48D3" w:rsidRDefault="00CE332D" w:rsidP="00C4701A">
      <w:pPr>
        <w:spacing w:after="120"/>
        <w:rPr>
          <w:bCs/>
          <w:szCs w:val="24"/>
        </w:rPr>
      </w:pPr>
      <w:r w:rsidRPr="001A48D3">
        <w:rPr>
          <w:bCs/>
          <w:szCs w:val="24"/>
        </w:rPr>
        <w:t xml:space="preserve">For petrol vehicles, there are no major technological/manufacturing process changes required and compliance is likely to be achieved by upgrading existing catalyst performance through the use of increased precious metal loadings and/or refinements of </w:t>
      </w:r>
      <w:r w:rsidR="00E86AE0" w:rsidRPr="001A48D3">
        <w:rPr>
          <w:bCs/>
          <w:szCs w:val="24"/>
        </w:rPr>
        <w:t xml:space="preserve">engine/fuel management systems. </w:t>
      </w:r>
      <w:r w:rsidRPr="001A48D3">
        <w:rPr>
          <w:bCs/>
          <w:szCs w:val="24"/>
        </w:rPr>
        <w:t xml:space="preserve"> </w:t>
      </w:r>
    </w:p>
    <w:p w:rsidR="00E86AE0" w:rsidRPr="001A48D3" w:rsidRDefault="00CE332D" w:rsidP="00C4701A">
      <w:pPr>
        <w:spacing w:after="120"/>
        <w:rPr>
          <w:bCs/>
          <w:szCs w:val="24"/>
        </w:rPr>
      </w:pPr>
      <w:r w:rsidRPr="001A48D3">
        <w:rPr>
          <w:bCs/>
          <w:szCs w:val="24"/>
        </w:rPr>
        <w:t xml:space="preserve">For diesel vehicles also, there are no major changes to manufacturing processes, but the new standards will effectively require the fitment of high efficiency particulate filters, which are, in most cases, not necessary to achieve compliance with current Euro 4 standards.  Diesel vehicles are also likely to require adjustments to engine/fuel management systems, and in some cases, improved oxidation catalyst performance.  </w:t>
      </w:r>
    </w:p>
    <w:p w:rsidR="00CE332D" w:rsidRPr="001A48D3" w:rsidRDefault="00CE332D" w:rsidP="00C4701A">
      <w:pPr>
        <w:spacing w:after="120"/>
        <w:rPr>
          <w:bCs/>
          <w:szCs w:val="24"/>
        </w:rPr>
      </w:pPr>
      <w:r w:rsidRPr="001A48D3">
        <w:rPr>
          <w:bCs/>
          <w:szCs w:val="24"/>
        </w:rPr>
        <w:t xml:space="preserve">All of the technology required to achieve compliance is fully commercialized and the engineering processes to achieve these </w:t>
      </w:r>
      <w:r w:rsidR="00AF01A3" w:rsidRPr="001A48D3">
        <w:rPr>
          <w:bCs/>
          <w:szCs w:val="24"/>
        </w:rPr>
        <w:t>emissions</w:t>
      </w:r>
      <w:r w:rsidRPr="001A48D3">
        <w:rPr>
          <w:bCs/>
          <w:szCs w:val="24"/>
        </w:rPr>
        <w:t xml:space="preserve"> reductions are well understood.</w:t>
      </w:r>
    </w:p>
    <w:p w:rsidR="00896A37" w:rsidRPr="001A48D3" w:rsidRDefault="00F73AAF" w:rsidP="00B52F7D">
      <w:pPr>
        <w:spacing w:after="120"/>
      </w:pPr>
      <w:r w:rsidRPr="001A48D3">
        <w:t xml:space="preserve">These differential impacts on manufacturers are reflected in the estimated costs.  </w:t>
      </w:r>
      <w:r w:rsidR="00D810FC" w:rsidRPr="001A48D3">
        <w:t>From a cos</w:t>
      </w:r>
      <w:r w:rsidR="00D7697E" w:rsidRPr="001A48D3">
        <w:t>t perspective</w:t>
      </w:r>
      <w:r w:rsidR="00255C03" w:rsidRPr="001A48D3">
        <w:t xml:space="preserve"> relative to Euro 4</w:t>
      </w:r>
      <w:r w:rsidR="00D7697E" w:rsidRPr="001A48D3">
        <w:t xml:space="preserve">, </w:t>
      </w:r>
      <w:r w:rsidR="00255C03" w:rsidRPr="001A48D3">
        <w:t xml:space="preserve">in 2005/6 </w:t>
      </w:r>
      <w:r w:rsidR="00D7697E" w:rsidRPr="001A48D3">
        <w:t>the EC</w:t>
      </w:r>
      <w:r w:rsidR="00255C03" w:rsidRPr="001A48D3">
        <w:rPr>
          <w:rStyle w:val="FootnoteReference"/>
        </w:rPr>
        <w:footnoteReference w:id="26"/>
      </w:r>
      <w:r w:rsidR="00D7697E" w:rsidRPr="001A48D3">
        <w:t xml:space="preserve"> estimated </w:t>
      </w:r>
      <w:r w:rsidR="00234AFD" w:rsidRPr="001A48D3">
        <w:t xml:space="preserve">the incremental </w:t>
      </w:r>
      <w:r w:rsidR="00255C03" w:rsidRPr="001A48D3">
        <w:t>cost of a petrol vehicle complying with the Euro</w:t>
      </w:r>
      <w:r w:rsidR="00E86AE0" w:rsidRPr="001A48D3">
        <w:t> </w:t>
      </w:r>
      <w:r w:rsidR="00255C03" w:rsidRPr="001A48D3">
        <w:t xml:space="preserve">5/6 standards was around </w:t>
      </w:r>
      <w:r w:rsidR="003441DD" w:rsidRPr="001A48D3">
        <w:t>$85</w:t>
      </w:r>
      <w:r w:rsidR="00964521" w:rsidRPr="001A48D3">
        <w:t xml:space="preserve">, with </w:t>
      </w:r>
      <w:r w:rsidR="00234AFD" w:rsidRPr="001A48D3">
        <w:t xml:space="preserve">significantly </w:t>
      </w:r>
      <w:r w:rsidR="00964521" w:rsidRPr="001A48D3">
        <w:t>higher c</w:t>
      </w:r>
      <w:r w:rsidR="003441DD" w:rsidRPr="001A48D3">
        <w:t>osts for diesel vehicles around $630</w:t>
      </w:r>
      <w:r w:rsidR="00964521" w:rsidRPr="001A48D3">
        <w:t xml:space="preserve"> f</w:t>
      </w:r>
      <w:r w:rsidR="003441DD" w:rsidRPr="001A48D3">
        <w:t>or Euro 5 and an additional $355</w:t>
      </w:r>
      <w:r w:rsidR="00964521" w:rsidRPr="001A48D3">
        <w:t xml:space="preserve"> for Euro 6.  </w:t>
      </w:r>
      <w:r w:rsidR="00866471" w:rsidRPr="001A48D3">
        <w:t>The costs and benefits of this option are discussed in detail in the comparative analy</w:t>
      </w:r>
      <w:r w:rsidR="00612666" w:rsidRPr="001A48D3">
        <w:t xml:space="preserve">sis in </w:t>
      </w:r>
      <w:r w:rsidR="00CE0A88" w:rsidRPr="001A48D3">
        <w:t>Section</w:t>
      </w:r>
      <w:r w:rsidR="00612666" w:rsidRPr="001A48D3">
        <w:t xml:space="preserve"> 4.2 of this RIS.</w:t>
      </w:r>
    </w:p>
    <w:p w:rsidR="00361D22" w:rsidRDefault="002209F2" w:rsidP="00B52F7D">
      <w:r w:rsidRPr="001A48D3">
        <w:br w:type="page"/>
      </w:r>
      <w:bookmarkStart w:id="52" w:name="_Toc89846638"/>
    </w:p>
    <w:p w:rsidR="00896A37" w:rsidRPr="001A48D3" w:rsidRDefault="00BA1B94" w:rsidP="00153F3E">
      <w:pPr>
        <w:pStyle w:val="Heading2"/>
      </w:pPr>
      <w:bookmarkStart w:id="53" w:name="_Toc430182514"/>
      <w:r>
        <w:lastRenderedPageBreak/>
        <w:t>3.4</w:t>
      </w:r>
      <w:r>
        <w:tab/>
      </w:r>
      <w:r w:rsidR="00681772" w:rsidRPr="001A48D3">
        <w:t xml:space="preserve">Option </w:t>
      </w:r>
      <w:r w:rsidR="00456E77" w:rsidRPr="001A48D3">
        <w:t>3</w:t>
      </w:r>
      <w:r w:rsidR="00896A37" w:rsidRPr="001A48D3">
        <w:t>:</w:t>
      </w:r>
      <w:r w:rsidR="00896A37" w:rsidRPr="001A48D3">
        <w:tab/>
      </w:r>
      <w:r w:rsidR="00A171AA" w:rsidRPr="001A48D3">
        <w:t xml:space="preserve">As for </w:t>
      </w:r>
      <w:r w:rsidR="00896A37" w:rsidRPr="001A48D3">
        <w:t>Option 2</w:t>
      </w:r>
      <w:r w:rsidR="00681772" w:rsidRPr="001A48D3">
        <w:t xml:space="preserve">, </w:t>
      </w:r>
      <w:r w:rsidR="007E52DD" w:rsidRPr="001A48D3">
        <w:t xml:space="preserve">with </w:t>
      </w:r>
      <w:r w:rsidR="00681772" w:rsidRPr="001A48D3">
        <w:t>delayed timeframe</w:t>
      </w:r>
      <w:bookmarkEnd w:id="52"/>
      <w:bookmarkEnd w:id="53"/>
    </w:p>
    <w:p w:rsidR="00896A37" w:rsidRPr="001A48D3" w:rsidRDefault="00896A37" w:rsidP="00B52F7D"/>
    <w:p w:rsidR="00896A37" w:rsidRPr="001A48D3" w:rsidRDefault="00234AFD" w:rsidP="00C4701A">
      <w:pPr>
        <w:pBdr>
          <w:top w:val="single" w:sz="4" w:space="1" w:color="auto"/>
          <w:left w:val="single" w:sz="4" w:space="4" w:color="auto"/>
          <w:bottom w:val="single" w:sz="4" w:space="1" w:color="auto"/>
          <w:right w:val="single" w:sz="4" w:space="4" w:color="auto"/>
        </w:pBdr>
        <w:spacing w:afterLines="80" w:after="192"/>
        <w:rPr>
          <w:b/>
        </w:rPr>
      </w:pPr>
      <w:r w:rsidRPr="001A48D3">
        <w:rPr>
          <w:b/>
          <w:i/>
        </w:rPr>
        <w:t>Action:</w:t>
      </w:r>
      <w:r w:rsidRPr="001A48D3">
        <w:rPr>
          <w:b/>
          <w:i/>
        </w:rPr>
        <w:tab/>
      </w:r>
      <w:r w:rsidR="00A171AA" w:rsidRPr="001A48D3">
        <w:rPr>
          <w:b/>
          <w:i/>
        </w:rPr>
        <w:tab/>
      </w:r>
      <w:r w:rsidR="00896A37" w:rsidRPr="001A48D3">
        <w:rPr>
          <w:b/>
        </w:rPr>
        <w:t xml:space="preserve">Mandate </w:t>
      </w:r>
      <w:r w:rsidR="00896A37" w:rsidRPr="001A48D3">
        <w:rPr>
          <w:b/>
          <w:i/>
        </w:rPr>
        <w:t xml:space="preserve">Euro </w:t>
      </w:r>
      <w:r w:rsidR="00681772" w:rsidRPr="001A48D3">
        <w:rPr>
          <w:b/>
          <w:i/>
        </w:rPr>
        <w:t>5/6</w:t>
      </w:r>
      <w:r w:rsidR="00896A37" w:rsidRPr="001A48D3">
        <w:rPr>
          <w:b/>
        </w:rPr>
        <w:t xml:space="preserve"> </w:t>
      </w:r>
      <w:r w:rsidR="00A171AA" w:rsidRPr="001A48D3">
        <w:rPr>
          <w:b/>
        </w:rPr>
        <w:t xml:space="preserve">standards </w:t>
      </w:r>
      <w:r w:rsidR="00896A37" w:rsidRPr="001A48D3">
        <w:rPr>
          <w:b/>
        </w:rPr>
        <w:t>for light vehicles</w:t>
      </w:r>
    </w:p>
    <w:p w:rsidR="006835FC" w:rsidRPr="001A48D3" w:rsidRDefault="00896A37" w:rsidP="00B52F7D">
      <w:pPr>
        <w:pBdr>
          <w:top w:val="single" w:sz="4" w:space="1" w:color="auto"/>
          <w:left w:val="single" w:sz="4" w:space="4" w:color="auto"/>
          <w:bottom w:val="single" w:sz="4" w:space="1" w:color="auto"/>
          <w:right w:val="single" w:sz="4" w:space="4" w:color="auto"/>
        </w:pBdr>
        <w:spacing w:afterLines="80" w:after="192"/>
        <w:ind w:left="2160" w:hanging="2160"/>
      </w:pPr>
      <w:r w:rsidRPr="001A48D3">
        <w:rPr>
          <w:b/>
          <w:i/>
        </w:rPr>
        <w:t>Timeframe</w:t>
      </w:r>
      <w:r w:rsidR="00A171AA" w:rsidRPr="001A48D3">
        <w:rPr>
          <w:rStyle w:val="FootnoteReference"/>
          <w:b/>
          <w:i/>
        </w:rPr>
        <w:footnoteReference w:id="27"/>
      </w:r>
      <w:r w:rsidR="00234AFD" w:rsidRPr="001A48D3">
        <w:rPr>
          <w:b/>
        </w:rPr>
        <w:t>:</w:t>
      </w:r>
      <w:r w:rsidR="00234AFD" w:rsidRPr="001A48D3">
        <w:rPr>
          <w:b/>
        </w:rPr>
        <w:tab/>
      </w:r>
      <w:r w:rsidR="00D0409A" w:rsidRPr="001A48D3">
        <w:rPr>
          <w:b/>
        </w:rPr>
        <w:t xml:space="preserve">2012-13 (Euro 5 </w:t>
      </w:r>
      <w:r w:rsidR="00234AFD" w:rsidRPr="001A48D3">
        <w:rPr>
          <w:b/>
        </w:rPr>
        <w:t xml:space="preserve">- </w:t>
      </w:r>
      <w:r w:rsidR="00D0409A" w:rsidRPr="001A48D3">
        <w:rPr>
          <w:b/>
        </w:rPr>
        <w:t>diesel vehicles</w:t>
      </w:r>
      <w:r w:rsidR="00234AFD" w:rsidRPr="001A48D3">
        <w:rPr>
          <w:b/>
        </w:rPr>
        <w:t>)</w:t>
      </w:r>
      <w:r w:rsidR="00234AFD" w:rsidRPr="001A48D3">
        <w:rPr>
          <w:b/>
        </w:rPr>
        <w:br/>
      </w:r>
      <w:r w:rsidR="000C705B" w:rsidRPr="001A48D3">
        <w:rPr>
          <w:b/>
        </w:rPr>
        <w:t xml:space="preserve">2013-14 (Euro 5 </w:t>
      </w:r>
      <w:r w:rsidR="00234AFD" w:rsidRPr="001A48D3">
        <w:rPr>
          <w:b/>
        </w:rPr>
        <w:t xml:space="preserve">- </w:t>
      </w:r>
      <w:r w:rsidR="000C705B" w:rsidRPr="001A48D3">
        <w:rPr>
          <w:b/>
        </w:rPr>
        <w:t>petrol &amp; LPG</w:t>
      </w:r>
      <w:r w:rsidR="00404445" w:rsidRPr="001A48D3">
        <w:rPr>
          <w:b/>
        </w:rPr>
        <w:t xml:space="preserve"> vehicles) </w:t>
      </w:r>
      <w:r w:rsidR="00234AFD" w:rsidRPr="001A48D3">
        <w:rPr>
          <w:b/>
        </w:rPr>
        <w:br/>
      </w:r>
      <w:r w:rsidR="00D0409A" w:rsidRPr="001A48D3">
        <w:rPr>
          <w:b/>
        </w:rPr>
        <w:t>2015-17 (Euro 6 – all vehicle</w:t>
      </w:r>
      <w:r w:rsidR="000C705B" w:rsidRPr="001A48D3">
        <w:rPr>
          <w:b/>
        </w:rPr>
        <w:t>s)</w:t>
      </w:r>
    </w:p>
    <w:p w:rsidR="005C0BCB" w:rsidRDefault="005C0BCB" w:rsidP="00C4701A">
      <w:pPr>
        <w:spacing w:after="120"/>
      </w:pPr>
    </w:p>
    <w:p w:rsidR="005D433F" w:rsidRPr="001A48D3" w:rsidRDefault="005D433F" w:rsidP="00C4701A">
      <w:pPr>
        <w:spacing w:after="120"/>
      </w:pPr>
      <w:r w:rsidRPr="001A48D3">
        <w:t xml:space="preserve">Option </w:t>
      </w:r>
      <w:r w:rsidR="007E52DD" w:rsidRPr="001A48D3">
        <w:t>3</w:t>
      </w:r>
      <w:r w:rsidRPr="001A48D3">
        <w:t xml:space="preserve"> is identical to Option 2</w:t>
      </w:r>
      <w:r w:rsidR="00681772" w:rsidRPr="001A48D3">
        <w:t>, except that a 1 year delay is applied to petrol and LPG vehicles for compliance with Euro 5</w:t>
      </w:r>
      <w:r w:rsidR="00896A37" w:rsidRPr="001A48D3">
        <w:t xml:space="preserve">.  </w:t>
      </w:r>
    </w:p>
    <w:p w:rsidR="004B3139" w:rsidRPr="001A48D3" w:rsidRDefault="000C705B" w:rsidP="00C4701A">
      <w:pPr>
        <w:spacing w:after="120"/>
      </w:pPr>
      <w:r w:rsidRPr="001A48D3">
        <w:t>For petrol and LPG vehicles, t</w:t>
      </w:r>
      <w:r w:rsidR="005D433F" w:rsidRPr="001A48D3">
        <w:t xml:space="preserve">his relaxed timeframe would provide a </w:t>
      </w:r>
      <w:r w:rsidRPr="001A48D3">
        <w:t>larger gap (3.5-4.5 years) between implementation</w:t>
      </w:r>
      <w:r w:rsidR="00A171AA" w:rsidRPr="001A48D3">
        <w:t xml:space="preserve"> of the current standards (Euro </w:t>
      </w:r>
      <w:r w:rsidRPr="001A48D3">
        <w:t>4) and the Euro 5 standards.  The Euro 4 standards for diesel</w:t>
      </w:r>
      <w:r w:rsidR="004E66E5" w:rsidRPr="001A48D3">
        <w:t xml:space="preserve"> vehicles</w:t>
      </w:r>
      <w:r w:rsidRPr="001A48D3">
        <w:t xml:space="preserve"> were fully implemented in Australia by the end of 2007, so the 2012 date already provides a 5-6 year gap between the change in standards.  </w:t>
      </w:r>
    </w:p>
    <w:p w:rsidR="005C0BCB" w:rsidRPr="001A48D3" w:rsidRDefault="00C32A37" w:rsidP="00C4701A">
      <w:pPr>
        <w:spacing w:after="120"/>
      </w:pPr>
      <w:r w:rsidRPr="001A48D3">
        <w:t xml:space="preserve">This delay would provide manufacturers </w:t>
      </w:r>
      <w:r w:rsidR="004B7EAD" w:rsidRPr="001A48D3">
        <w:t>supplying</w:t>
      </w:r>
      <w:r w:rsidRPr="001A48D3">
        <w:t xml:space="preserve"> petrol and LPG models that achieved compliance with the Euro 4 standards relative</w:t>
      </w:r>
      <w:r w:rsidR="004E66E5" w:rsidRPr="001A48D3">
        <w:t>l</w:t>
      </w:r>
      <w:r w:rsidRPr="001A48D3">
        <w:t xml:space="preserve">y </w:t>
      </w:r>
      <w:r w:rsidR="00F80712" w:rsidRPr="001A48D3">
        <w:t xml:space="preserve">late in the allowable timeframe, </w:t>
      </w:r>
      <w:r w:rsidRPr="001A48D3">
        <w:t xml:space="preserve">more time to amortise development costs for those vehicles, ahead of </w:t>
      </w:r>
      <w:r w:rsidR="003441DD" w:rsidRPr="001A48D3">
        <w:t xml:space="preserve">the </w:t>
      </w:r>
      <w:r w:rsidRPr="001A48D3">
        <w:t>introduction a Euro 5 compliant model.  Th</w:t>
      </w:r>
      <w:r w:rsidR="00573D65" w:rsidRPr="001A48D3">
        <w:t>e</w:t>
      </w:r>
      <w:r w:rsidRPr="001A48D3">
        <w:t xml:space="preserve"> delay </w:t>
      </w:r>
      <w:r w:rsidR="00573D65" w:rsidRPr="001A48D3">
        <w:t>would</w:t>
      </w:r>
      <w:r w:rsidRPr="001A48D3">
        <w:t xml:space="preserve"> </w:t>
      </w:r>
      <w:r w:rsidR="00573D65" w:rsidRPr="001A48D3">
        <w:t>not</w:t>
      </w:r>
      <w:r w:rsidRPr="001A48D3">
        <w:t xml:space="preserve"> have a noticeable impact on the long term emissions outcomes.</w:t>
      </w:r>
      <w:r w:rsidR="00866471" w:rsidRPr="001A48D3">
        <w:t xml:space="preserve">  The costs and benefits of this option are discussed in detail in the comparative analysis in </w:t>
      </w:r>
      <w:r w:rsidR="00CE0A88" w:rsidRPr="001A48D3">
        <w:t>Section</w:t>
      </w:r>
      <w:r w:rsidR="00866471" w:rsidRPr="001A48D3">
        <w:t xml:space="preserve"> 4.2 of this RIS.</w:t>
      </w:r>
    </w:p>
    <w:p w:rsidR="00E33F76" w:rsidRPr="001A48D3" w:rsidRDefault="005C0BCB" w:rsidP="005C0BCB">
      <w:pPr>
        <w:pStyle w:val="Heading2"/>
      </w:pPr>
      <w:r>
        <w:br w:type="page"/>
      </w:r>
      <w:bookmarkStart w:id="54" w:name="_Toc430182515"/>
      <w:r w:rsidR="00BA1B94">
        <w:lastRenderedPageBreak/>
        <w:t>3.5</w:t>
      </w:r>
      <w:r w:rsidR="00BA1B94">
        <w:tab/>
      </w:r>
      <w:r w:rsidR="00E33F76" w:rsidRPr="001A48D3">
        <w:t>Option 4:</w:t>
      </w:r>
      <w:r w:rsidR="00E33F76" w:rsidRPr="001A48D3">
        <w:tab/>
        <w:t>As for Option 2, except apply to diesel</w:t>
      </w:r>
      <w:r w:rsidR="00B304E1" w:rsidRPr="001A48D3">
        <w:t xml:space="preserve"> </w:t>
      </w:r>
      <w:r w:rsidR="00E33F76" w:rsidRPr="001A48D3">
        <w:t>vehicles only</w:t>
      </w:r>
      <w:bookmarkEnd w:id="54"/>
    </w:p>
    <w:p w:rsidR="003E390A" w:rsidRPr="001A48D3" w:rsidRDefault="003E390A" w:rsidP="00B52F7D"/>
    <w:p w:rsidR="003E390A" w:rsidRPr="001A48D3" w:rsidRDefault="003E390A" w:rsidP="00C4701A">
      <w:pPr>
        <w:pBdr>
          <w:top w:val="single" w:sz="4" w:space="1" w:color="auto"/>
          <w:left w:val="single" w:sz="4" w:space="4" w:color="auto"/>
          <w:bottom w:val="single" w:sz="4" w:space="1" w:color="auto"/>
          <w:right w:val="single" w:sz="4" w:space="4" w:color="auto"/>
        </w:pBdr>
        <w:spacing w:afterLines="80" w:after="192"/>
        <w:rPr>
          <w:b/>
        </w:rPr>
      </w:pPr>
      <w:r w:rsidRPr="001A48D3">
        <w:rPr>
          <w:b/>
          <w:i/>
        </w:rPr>
        <w:t>Action:</w:t>
      </w:r>
      <w:r w:rsidRPr="001A48D3">
        <w:rPr>
          <w:b/>
          <w:i/>
        </w:rPr>
        <w:tab/>
      </w:r>
      <w:r w:rsidRPr="001A48D3">
        <w:rPr>
          <w:b/>
          <w:i/>
        </w:rPr>
        <w:tab/>
      </w:r>
      <w:r w:rsidRPr="001A48D3">
        <w:rPr>
          <w:b/>
        </w:rPr>
        <w:t xml:space="preserve">Mandate </w:t>
      </w:r>
      <w:r w:rsidRPr="001A48D3">
        <w:rPr>
          <w:b/>
          <w:i/>
        </w:rPr>
        <w:t>Euro 5/6</w:t>
      </w:r>
      <w:r w:rsidRPr="001A48D3">
        <w:rPr>
          <w:b/>
        </w:rPr>
        <w:t xml:space="preserve"> standards for diesel vehicles only</w:t>
      </w:r>
    </w:p>
    <w:p w:rsidR="006835FC" w:rsidRPr="001A48D3" w:rsidRDefault="003E390A" w:rsidP="00B52F7D">
      <w:pPr>
        <w:pBdr>
          <w:top w:val="single" w:sz="4" w:space="1" w:color="auto"/>
          <w:left w:val="single" w:sz="4" w:space="4" w:color="auto"/>
          <w:bottom w:val="single" w:sz="4" w:space="1" w:color="auto"/>
          <w:right w:val="single" w:sz="4" w:space="4" w:color="auto"/>
        </w:pBdr>
        <w:spacing w:afterLines="80" w:after="192"/>
        <w:ind w:left="2160" w:hanging="2160"/>
      </w:pPr>
      <w:r w:rsidRPr="001A48D3">
        <w:rPr>
          <w:b/>
          <w:i/>
        </w:rPr>
        <w:t>Timeframe</w:t>
      </w:r>
      <w:r w:rsidRPr="001A48D3">
        <w:rPr>
          <w:rStyle w:val="FootnoteReference"/>
          <w:b/>
          <w:i/>
        </w:rPr>
        <w:footnoteReference w:id="28"/>
      </w:r>
      <w:r w:rsidRPr="001A48D3">
        <w:rPr>
          <w:b/>
        </w:rPr>
        <w:t>:</w:t>
      </w:r>
      <w:r w:rsidRPr="001A48D3">
        <w:rPr>
          <w:b/>
        </w:rPr>
        <w:tab/>
        <w:t>2012-13 (Euro 5 - diesel vehicles)</w:t>
      </w:r>
      <w:r w:rsidRPr="001A48D3">
        <w:rPr>
          <w:b/>
        </w:rPr>
        <w:br/>
        <w:t xml:space="preserve">2015-17 (Euro 6 – </w:t>
      </w:r>
      <w:r w:rsidR="006835FC" w:rsidRPr="001A48D3">
        <w:rPr>
          <w:b/>
        </w:rPr>
        <w:t xml:space="preserve">diesel </w:t>
      </w:r>
      <w:r w:rsidRPr="001A48D3">
        <w:rPr>
          <w:b/>
        </w:rPr>
        <w:t>vehicles)</w:t>
      </w:r>
    </w:p>
    <w:p w:rsidR="005C0BCB" w:rsidRDefault="005C0BCB" w:rsidP="00C4701A">
      <w:pPr>
        <w:spacing w:after="120"/>
      </w:pPr>
    </w:p>
    <w:p w:rsidR="00E33F76" w:rsidRPr="001A48D3" w:rsidRDefault="003E390A" w:rsidP="00C4701A">
      <w:pPr>
        <w:spacing w:after="120"/>
      </w:pPr>
      <w:r w:rsidRPr="001A48D3">
        <w:t xml:space="preserve">Option 4 is identical to Option 2, except that the new standards only apply to diesel vehicles.  Under this option, petrol </w:t>
      </w:r>
      <w:r w:rsidR="00AF01A3" w:rsidRPr="001A48D3">
        <w:t>emissions</w:t>
      </w:r>
      <w:r w:rsidRPr="001A48D3">
        <w:t xml:space="preserve"> standards would remain at Euro 4.</w:t>
      </w:r>
    </w:p>
    <w:p w:rsidR="006410A1" w:rsidRPr="001A48D3" w:rsidRDefault="003E390A" w:rsidP="00C4701A">
      <w:pPr>
        <w:spacing w:after="120"/>
      </w:pPr>
      <w:r w:rsidRPr="001A48D3">
        <w:t>It is clear that the substantial reduction in PM emissions from diesel vehicles from the introduction of the Euro 5/6 standards dominate the overall health benefits.  And as noted in Option</w:t>
      </w:r>
      <w:r w:rsidR="006410A1" w:rsidRPr="001A48D3">
        <w:t xml:space="preserve"> 2</w:t>
      </w:r>
      <w:r w:rsidRPr="001A48D3">
        <w:t xml:space="preserve">, </w:t>
      </w:r>
      <w:r w:rsidR="006410A1" w:rsidRPr="001A48D3">
        <w:t xml:space="preserve">the diesel standards also deliver HC and NOx benefits, as well as other improvements in durability and in-service compliance.  </w:t>
      </w:r>
      <w:r w:rsidR="00B6723D" w:rsidRPr="001A48D3">
        <w:t>Thus in overall terms, this option will deliver health benefits almost as large as Option 2</w:t>
      </w:r>
      <w:r w:rsidR="009A1A01" w:rsidRPr="001A48D3">
        <w:t xml:space="preserve">, despite the removal of any benefits attributable to the application of Euro 5/6 </w:t>
      </w:r>
      <w:r w:rsidR="00AF01A3" w:rsidRPr="001A48D3">
        <w:t>emissions</w:t>
      </w:r>
      <w:r w:rsidR="009A1A01" w:rsidRPr="001A48D3">
        <w:t xml:space="preserve"> standards to petrol vehicles</w:t>
      </w:r>
      <w:r w:rsidR="001552AB" w:rsidRPr="001A48D3">
        <w:t xml:space="preserve"> (which provide a 25% reduction in NOx emissions relative to Euro 4</w:t>
      </w:r>
      <w:r w:rsidR="009A1A01" w:rsidRPr="001A48D3">
        <w:t>.</w:t>
      </w:r>
    </w:p>
    <w:p w:rsidR="001552AB" w:rsidRPr="001A48D3" w:rsidRDefault="001552AB" w:rsidP="00C4701A">
      <w:pPr>
        <w:spacing w:after="120"/>
      </w:pPr>
      <w:r w:rsidRPr="001A48D3">
        <w:t xml:space="preserve">This is a consequence of the relatively low avoided health cost values assigned to NOx emissions which in the BCA are not sufficient to offset the vehicle costs in the first 20 years (even though those costs are also relatively low).  </w:t>
      </w:r>
    </w:p>
    <w:p w:rsidR="006410A1" w:rsidRPr="001A48D3" w:rsidRDefault="006410A1" w:rsidP="00C4701A">
      <w:pPr>
        <w:spacing w:after="120"/>
      </w:pPr>
      <w:r w:rsidRPr="001A48D3">
        <w:t xml:space="preserve">Nevertheless, petrol vehicles remain the dominant source of NOx emissions from the light vehicle fleet (even though on a per vehicle basis, diesel vehicles emit higher levels of NOx).  </w:t>
      </w:r>
      <w:r w:rsidR="00B6723D" w:rsidRPr="001A48D3">
        <w:t>In addition</w:t>
      </w:r>
      <w:r w:rsidRPr="001A48D3">
        <w:t xml:space="preserve">, as noted in Option 2, </w:t>
      </w:r>
      <w:r w:rsidR="00B6723D" w:rsidRPr="001A48D3">
        <w:t xml:space="preserve">the adoption of </w:t>
      </w:r>
      <w:r w:rsidRPr="001A48D3">
        <w:t xml:space="preserve">Euro 5 </w:t>
      </w:r>
      <w:r w:rsidR="00B6723D" w:rsidRPr="001A48D3">
        <w:t xml:space="preserve">for petrol vehicles </w:t>
      </w:r>
      <w:r w:rsidRPr="001A48D3">
        <w:t xml:space="preserve">will remove some concessions available under Euro 4, and like diesel vehicles, </w:t>
      </w:r>
      <w:r w:rsidR="00B6723D" w:rsidRPr="001A48D3">
        <w:t xml:space="preserve">will </w:t>
      </w:r>
      <w:r w:rsidRPr="001A48D3">
        <w:t>deliver improvements in durability and in-service compliance.</w:t>
      </w:r>
      <w:r w:rsidR="00B6723D" w:rsidRPr="001A48D3">
        <w:t xml:space="preserve">  </w:t>
      </w:r>
      <w:r w:rsidR="00C21C6C" w:rsidRPr="001A48D3">
        <w:t>Exclusion of petrol vehicles from the application of the Euro 5 standards would also mean that direct injection petrol engines, which are known to produce much higher levels of PM emissions than conventional petrol engines, would not be subject to any limits on PM emissions (as these emissions are currently not regulated under the Euro 4 standards for petrol vehicles).</w:t>
      </w:r>
    </w:p>
    <w:p w:rsidR="00B6723D" w:rsidRPr="001A48D3" w:rsidRDefault="006410A1" w:rsidP="00C4701A">
      <w:pPr>
        <w:spacing w:after="120"/>
      </w:pPr>
      <w:r w:rsidRPr="001A48D3">
        <w:t xml:space="preserve">From a vehicle cost perspective, the major per vehicle costs are significantly higher for diesel vehicles than petrol vehicles. </w:t>
      </w:r>
      <w:r w:rsidR="003E390A" w:rsidRPr="001A48D3">
        <w:t xml:space="preserve"> </w:t>
      </w:r>
      <w:r w:rsidRPr="001A48D3">
        <w:t xml:space="preserve">The costs and benefits of this option are discussed in detail in the comparative analysis in </w:t>
      </w:r>
      <w:r w:rsidR="00CE0A88" w:rsidRPr="001A48D3">
        <w:t>Section</w:t>
      </w:r>
      <w:r w:rsidRPr="001A48D3">
        <w:t xml:space="preserve"> 4.2 of this RIS.</w:t>
      </w:r>
    </w:p>
    <w:p w:rsidR="005C0BCB" w:rsidRDefault="00B6723D" w:rsidP="00B52F7D">
      <w:r w:rsidRPr="001A48D3">
        <w:br w:type="page"/>
      </w:r>
    </w:p>
    <w:p w:rsidR="00B6723D" w:rsidRPr="001A48D3" w:rsidRDefault="00BA1B94" w:rsidP="00B52F7D">
      <w:pPr>
        <w:pStyle w:val="Heading2"/>
      </w:pPr>
      <w:bookmarkStart w:id="55" w:name="_Toc430182516"/>
      <w:r>
        <w:lastRenderedPageBreak/>
        <w:t>3.6</w:t>
      </w:r>
      <w:r>
        <w:tab/>
      </w:r>
      <w:r w:rsidR="00B6723D" w:rsidRPr="001A48D3">
        <w:t>Option 5:</w:t>
      </w:r>
      <w:r w:rsidR="00B6723D" w:rsidRPr="001A48D3">
        <w:tab/>
        <w:t>Introduction of Euro 5 only on earliest practical timeframes</w:t>
      </w:r>
      <w:bookmarkEnd w:id="55"/>
    </w:p>
    <w:p w:rsidR="00B6723D" w:rsidRPr="001A48D3" w:rsidRDefault="00B6723D" w:rsidP="00B52F7D"/>
    <w:p w:rsidR="00B6723D" w:rsidRPr="001A48D3" w:rsidRDefault="00B6723D" w:rsidP="00C4701A">
      <w:pPr>
        <w:pBdr>
          <w:top w:val="single" w:sz="4" w:space="1" w:color="auto"/>
          <w:left w:val="single" w:sz="4" w:space="4" w:color="auto"/>
          <w:bottom w:val="single" w:sz="4" w:space="1" w:color="auto"/>
          <w:right w:val="single" w:sz="4" w:space="4" w:color="auto"/>
        </w:pBdr>
        <w:spacing w:afterLines="80" w:after="192"/>
        <w:rPr>
          <w:b/>
        </w:rPr>
      </w:pPr>
      <w:r w:rsidRPr="001A48D3">
        <w:rPr>
          <w:b/>
          <w:i/>
        </w:rPr>
        <w:t>Action:</w:t>
      </w:r>
      <w:r w:rsidRPr="001A48D3">
        <w:rPr>
          <w:b/>
        </w:rPr>
        <w:tab/>
      </w:r>
      <w:r w:rsidRPr="001A48D3">
        <w:rPr>
          <w:b/>
        </w:rPr>
        <w:tab/>
        <w:t xml:space="preserve">Mandate Euro 5 standards </w:t>
      </w:r>
      <w:r w:rsidR="00DE6A01" w:rsidRPr="001A48D3">
        <w:rPr>
          <w:b/>
        </w:rPr>
        <w:t xml:space="preserve">only </w:t>
      </w:r>
      <w:r w:rsidRPr="001A48D3">
        <w:rPr>
          <w:b/>
        </w:rPr>
        <w:t>for light vehicles</w:t>
      </w:r>
    </w:p>
    <w:p w:rsidR="00B6723D" w:rsidRPr="001A48D3" w:rsidRDefault="00B6723D" w:rsidP="00B52F7D">
      <w:pPr>
        <w:pBdr>
          <w:top w:val="single" w:sz="4" w:space="1" w:color="auto"/>
          <w:left w:val="single" w:sz="4" w:space="4" w:color="auto"/>
          <w:bottom w:val="single" w:sz="4" w:space="1" w:color="auto"/>
          <w:right w:val="single" w:sz="4" w:space="4" w:color="auto"/>
        </w:pBdr>
        <w:spacing w:afterLines="80" w:after="192"/>
        <w:ind w:left="2160" w:hanging="2160"/>
      </w:pPr>
      <w:r w:rsidRPr="001A48D3">
        <w:rPr>
          <w:b/>
          <w:i/>
        </w:rPr>
        <w:t>Timeframe</w:t>
      </w:r>
      <w:r w:rsidRPr="001A48D3">
        <w:rPr>
          <w:rStyle w:val="FootnoteReference"/>
          <w:b/>
          <w:i/>
        </w:rPr>
        <w:footnoteReference w:id="29"/>
      </w:r>
      <w:r w:rsidRPr="001A48D3">
        <w:rPr>
          <w:b/>
          <w:i/>
        </w:rPr>
        <w:t>:</w:t>
      </w:r>
      <w:r w:rsidRPr="001A48D3">
        <w:rPr>
          <w:b/>
        </w:rPr>
        <w:tab/>
        <w:t>2012-13</w:t>
      </w:r>
      <w:r w:rsidR="006835FC" w:rsidRPr="001A48D3">
        <w:rPr>
          <w:b/>
        </w:rPr>
        <w:t xml:space="preserve"> (all vehicles)</w:t>
      </w:r>
    </w:p>
    <w:p w:rsidR="005C0BCB" w:rsidRDefault="005C0BCB" w:rsidP="00C4701A">
      <w:pPr>
        <w:spacing w:after="120"/>
      </w:pPr>
    </w:p>
    <w:p w:rsidR="00B6723D" w:rsidRPr="001A48D3" w:rsidRDefault="00B6723D" w:rsidP="00C4701A">
      <w:pPr>
        <w:spacing w:after="120"/>
      </w:pPr>
      <w:r w:rsidRPr="001A48D3">
        <w:t>Option 5 is identical to Option 2, except that only the Euro 5 standards are adopted for both petrol and diesel vehicles.</w:t>
      </w:r>
    </w:p>
    <w:p w:rsidR="00F956E3" w:rsidRPr="001A48D3" w:rsidRDefault="00B6723D" w:rsidP="00C4701A">
      <w:pPr>
        <w:spacing w:after="120"/>
      </w:pPr>
      <w:r w:rsidRPr="001A48D3">
        <w:t xml:space="preserve">This </w:t>
      </w:r>
      <w:r w:rsidR="00F956E3" w:rsidRPr="001A48D3">
        <w:t xml:space="preserve">most significant impact of </w:t>
      </w:r>
      <w:r w:rsidRPr="001A48D3">
        <w:t>this approach</w:t>
      </w:r>
      <w:r w:rsidR="00F956E3" w:rsidRPr="001A48D3">
        <w:t>,</w:t>
      </w:r>
      <w:r w:rsidRPr="001A48D3">
        <w:t xml:space="preserve"> relative to Option 2, is that the </w:t>
      </w:r>
      <w:r w:rsidR="00F956E3" w:rsidRPr="001A48D3">
        <w:t xml:space="preserve">HC and </w:t>
      </w:r>
      <w:r w:rsidRPr="001A48D3">
        <w:t xml:space="preserve">NOx emissions reductions from diesel vehicles under </w:t>
      </w:r>
      <w:r w:rsidR="00F956E3" w:rsidRPr="001A48D3">
        <w:t xml:space="preserve">Euro 6 would not be delivered.  </w:t>
      </w:r>
    </w:p>
    <w:p w:rsidR="00F956E3" w:rsidRPr="001A48D3" w:rsidRDefault="00F956E3" w:rsidP="00C4701A">
      <w:pPr>
        <w:spacing w:after="120"/>
      </w:pPr>
      <w:r w:rsidRPr="001A48D3">
        <w:t xml:space="preserve">As noted in the discussion of Option 2, it is logical to consider Euro 5 and Euro 6 as a package of progressive linked standards.  </w:t>
      </w:r>
      <w:r w:rsidR="0044673A" w:rsidRPr="001A48D3">
        <w:t xml:space="preserve">The </w:t>
      </w:r>
      <w:r w:rsidR="000E27A2" w:rsidRPr="001A48D3">
        <w:t>primary (but not sole)</w:t>
      </w:r>
      <w:r w:rsidR="0044673A" w:rsidRPr="001A48D3">
        <w:t xml:space="preserve"> objective of </w:t>
      </w:r>
      <w:r w:rsidR="000E27A2" w:rsidRPr="001A48D3">
        <w:t xml:space="preserve">the </w:t>
      </w:r>
      <w:r w:rsidR="0044673A" w:rsidRPr="001A48D3">
        <w:t>Euro 5</w:t>
      </w:r>
      <w:r w:rsidR="000E27A2" w:rsidRPr="001A48D3">
        <w:t>/6 standard</w:t>
      </w:r>
      <w:r w:rsidR="0044673A" w:rsidRPr="001A48D3">
        <w:t xml:space="preserve"> </w:t>
      </w:r>
      <w:r w:rsidR="000E27A2" w:rsidRPr="001A48D3">
        <w:t>is</w:t>
      </w:r>
      <w:r w:rsidR="0044673A" w:rsidRPr="001A48D3">
        <w:t xml:space="preserve"> to address the emissions </w:t>
      </w:r>
      <w:r w:rsidR="000E27A2" w:rsidRPr="001A48D3">
        <w:t xml:space="preserve">from light diesel </w:t>
      </w:r>
      <w:r w:rsidR="00DE6A01" w:rsidRPr="001A48D3">
        <w:t xml:space="preserve">vehicles.  It was </w:t>
      </w:r>
      <w:r w:rsidR="0044673A" w:rsidRPr="001A48D3">
        <w:t xml:space="preserve">recognised by the European Commission that </w:t>
      </w:r>
      <w:r w:rsidR="00DE6A01" w:rsidRPr="001A48D3">
        <w:t xml:space="preserve">the availability of high efficiency PM traps enabled the PM issue to be largely tackled in a single step (Euro 5) – although more time was need to address the PM number aspects.  However, it was also acknowledged that </w:t>
      </w:r>
      <w:r w:rsidR="0044673A" w:rsidRPr="001A48D3">
        <w:t xml:space="preserve">the industry needed more time to develop and implement the technology required to lower NOx emissions from diesel vehicles, and thus </w:t>
      </w:r>
      <w:r w:rsidR="00DE6A01" w:rsidRPr="001A48D3">
        <w:t xml:space="preserve">it was </w:t>
      </w:r>
      <w:r w:rsidR="0044673A" w:rsidRPr="001A48D3">
        <w:t xml:space="preserve">decided to </w:t>
      </w:r>
      <w:r w:rsidR="00DE6A01" w:rsidRPr="001A48D3">
        <w:t xml:space="preserve">effectively </w:t>
      </w:r>
      <w:r w:rsidR="0044673A" w:rsidRPr="001A48D3">
        <w:t>set a two stage target</w:t>
      </w:r>
      <w:r w:rsidR="00DE6A01" w:rsidRPr="001A48D3">
        <w:t xml:space="preserve"> for NOx (30% reduction by Euro </w:t>
      </w:r>
      <w:r w:rsidR="0044673A" w:rsidRPr="001A48D3">
        <w:t xml:space="preserve">5, 70% by Euro 6).  </w:t>
      </w:r>
    </w:p>
    <w:p w:rsidR="00B6723D" w:rsidRPr="001A48D3" w:rsidRDefault="00F956E3" w:rsidP="00C4701A">
      <w:pPr>
        <w:spacing w:after="120"/>
      </w:pPr>
      <w:r w:rsidRPr="001A48D3">
        <w:t>From a vehicle cost perspective, the incremental cost of complying with Euro 6 is estimated to be significantly less th</w:t>
      </w:r>
      <w:r w:rsidR="000E27A2" w:rsidRPr="001A48D3">
        <w:t>an the step from Euro 5 to Euro </w:t>
      </w:r>
      <w:r w:rsidRPr="001A48D3">
        <w:t xml:space="preserve">6.  </w:t>
      </w:r>
      <w:r w:rsidR="00DE6A01" w:rsidRPr="001A48D3">
        <w:t xml:space="preserve">If the case is made for introducing the standards, establishing a timeframe for both Euro 5 and Euro 6 now (rather than revisiting the Euro 6 issue in a few </w:t>
      </w:r>
      <w:proofErr w:type="spellStart"/>
      <w:r w:rsidR="00DE6A01" w:rsidRPr="001A48D3">
        <w:t>years time</w:t>
      </w:r>
      <w:proofErr w:type="spellEnd"/>
      <w:r w:rsidR="00DE6A01" w:rsidRPr="001A48D3">
        <w:t xml:space="preserve">), will assist vehicle manufacturers in planning for compliance.  </w:t>
      </w:r>
      <w:r w:rsidRPr="001A48D3">
        <w:t>The long lead time for compliance</w:t>
      </w:r>
      <w:r w:rsidR="00DE6A01" w:rsidRPr="001A48D3">
        <w:t xml:space="preserve"> with Euro 6 (at least 5 years),</w:t>
      </w:r>
      <w:r w:rsidRPr="001A48D3">
        <w:t xml:space="preserve"> would </w:t>
      </w:r>
      <w:r w:rsidR="00DE6A01" w:rsidRPr="001A48D3">
        <w:t xml:space="preserve">also </w:t>
      </w:r>
      <w:r w:rsidRPr="001A48D3">
        <w:t>assist in ameliorating the costs of compliance for manufacturers.</w:t>
      </w:r>
    </w:p>
    <w:p w:rsidR="000E27A2" w:rsidRPr="001A48D3" w:rsidRDefault="000E27A2" w:rsidP="00C4701A">
      <w:pPr>
        <w:spacing w:after="120"/>
      </w:pPr>
      <w:r w:rsidRPr="001A48D3">
        <w:t xml:space="preserve">In conclusion, there would appear to be significant merit in considering Euro 5 and Euro 6 as linked standards, and for a decision on their </w:t>
      </w:r>
      <w:r w:rsidR="00DE6A01" w:rsidRPr="001A48D3">
        <w:t xml:space="preserve">joint </w:t>
      </w:r>
      <w:r w:rsidRPr="001A48D3">
        <w:t xml:space="preserve">implementation to be made in the context of this RIS (and not deferred).  </w:t>
      </w:r>
    </w:p>
    <w:p w:rsidR="0044673A" w:rsidRPr="001A48D3" w:rsidRDefault="00F956E3" w:rsidP="00B52F7D">
      <w:pPr>
        <w:spacing w:after="120"/>
      </w:pPr>
      <w:r w:rsidRPr="001A48D3">
        <w:t>This RIS does not propose to evaluate this option further.</w:t>
      </w:r>
    </w:p>
    <w:p w:rsidR="005C0BCB" w:rsidRDefault="0044673A" w:rsidP="00B52F7D">
      <w:r w:rsidRPr="001A48D3">
        <w:br w:type="page"/>
      </w:r>
    </w:p>
    <w:p w:rsidR="0044673A" w:rsidRPr="001A48D3" w:rsidRDefault="00BA1B94" w:rsidP="00153F3E">
      <w:pPr>
        <w:pStyle w:val="Heading2"/>
      </w:pPr>
      <w:bookmarkStart w:id="56" w:name="_Toc430182517"/>
      <w:r>
        <w:lastRenderedPageBreak/>
        <w:t>3.7</w:t>
      </w:r>
      <w:r>
        <w:tab/>
      </w:r>
      <w:r w:rsidR="0044673A" w:rsidRPr="001A48D3">
        <w:t xml:space="preserve">Option </w:t>
      </w:r>
      <w:r w:rsidR="00B304E1" w:rsidRPr="001A48D3">
        <w:t>6</w:t>
      </w:r>
      <w:r w:rsidR="0044673A" w:rsidRPr="001A48D3">
        <w:t>:</w:t>
      </w:r>
      <w:r w:rsidR="0044673A" w:rsidRPr="001A48D3">
        <w:tab/>
        <w:t>Introduction of Euro 6 only on earliest practical timeframes</w:t>
      </w:r>
      <w:bookmarkEnd w:id="56"/>
    </w:p>
    <w:p w:rsidR="0044673A" w:rsidRPr="001A48D3" w:rsidRDefault="0044673A" w:rsidP="00B52F7D"/>
    <w:p w:rsidR="0044673A" w:rsidRPr="001A48D3" w:rsidRDefault="0044673A" w:rsidP="00C4701A">
      <w:pPr>
        <w:pBdr>
          <w:top w:val="single" w:sz="4" w:space="1" w:color="auto"/>
          <w:left w:val="single" w:sz="4" w:space="4" w:color="auto"/>
          <w:bottom w:val="single" w:sz="4" w:space="1" w:color="auto"/>
          <w:right w:val="single" w:sz="4" w:space="4" w:color="auto"/>
        </w:pBdr>
        <w:spacing w:afterLines="80" w:after="192"/>
        <w:rPr>
          <w:b/>
        </w:rPr>
      </w:pPr>
      <w:r w:rsidRPr="001A48D3">
        <w:rPr>
          <w:b/>
          <w:i/>
        </w:rPr>
        <w:t>Action:</w:t>
      </w:r>
      <w:r w:rsidRPr="001A48D3">
        <w:rPr>
          <w:b/>
        </w:rPr>
        <w:tab/>
      </w:r>
      <w:r w:rsidRPr="001A48D3">
        <w:rPr>
          <w:b/>
        </w:rPr>
        <w:tab/>
        <w:t xml:space="preserve">Mandate Euro 6 standards </w:t>
      </w:r>
      <w:r w:rsidR="00DE6A01" w:rsidRPr="001A48D3">
        <w:rPr>
          <w:b/>
        </w:rPr>
        <w:t xml:space="preserve">only </w:t>
      </w:r>
      <w:r w:rsidRPr="001A48D3">
        <w:rPr>
          <w:b/>
        </w:rPr>
        <w:t>for light vehicles</w:t>
      </w:r>
    </w:p>
    <w:p w:rsidR="0044673A" w:rsidRPr="001A48D3" w:rsidRDefault="0044673A" w:rsidP="00B52F7D">
      <w:pPr>
        <w:pBdr>
          <w:top w:val="single" w:sz="4" w:space="1" w:color="auto"/>
          <w:left w:val="single" w:sz="4" w:space="4" w:color="auto"/>
          <w:bottom w:val="single" w:sz="4" w:space="1" w:color="auto"/>
          <w:right w:val="single" w:sz="4" w:space="4" w:color="auto"/>
        </w:pBdr>
        <w:spacing w:afterLines="80" w:after="192"/>
        <w:ind w:left="2160" w:hanging="2160"/>
      </w:pPr>
      <w:r w:rsidRPr="001A48D3">
        <w:rPr>
          <w:b/>
          <w:i/>
        </w:rPr>
        <w:t>Timeframe</w:t>
      </w:r>
      <w:r w:rsidRPr="001A48D3">
        <w:rPr>
          <w:rStyle w:val="FootnoteReference"/>
          <w:b/>
          <w:i/>
        </w:rPr>
        <w:footnoteReference w:id="30"/>
      </w:r>
      <w:r w:rsidRPr="001A48D3">
        <w:rPr>
          <w:b/>
          <w:i/>
        </w:rPr>
        <w:t>:</w:t>
      </w:r>
      <w:r w:rsidRPr="001A48D3">
        <w:rPr>
          <w:b/>
        </w:rPr>
        <w:tab/>
        <w:t>2015-17</w:t>
      </w:r>
      <w:r w:rsidR="006835FC" w:rsidRPr="001A48D3">
        <w:rPr>
          <w:b/>
        </w:rPr>
        <w:t xml:space="preserve"> (all vehicles)</w:t>
      </w:r>
    </w:p>
    <w:p w:rsidR="005C0BCB" w:rsidRDefault="005C0BCB" w:rsidP="00C4701A">
      <w:pPr>
        <w:spacing w:after="120"/>
      </w:pPr>
    </w:p>
    <w:p w:rsidR="0044673A" w:rsidRPr="001A48D3" w:rsidRDefault="0044673A" w:rsidP="00C4701A">
      <w:pPr>
        <w:spacing w:after="120"/>
      </w:pPr>
      <w:r w:rsidRPr="001A48D3">
        <w:t xml:space="preserve">Under </w:t>
      </w:r>
      <w:r w:rsidR="00DE6A01" w:rsidRPr="001A48D3">
        <w:t>O</w:t>
      </w:r>
      <w:r w:rsidRPr="001A48D3">
        <w:t>ption</w:t>
      </w:r>
      <w:r w:rsidR="00DE6A01" w:rsidRPr="001A48D3">
        <w:t xml:space="preserve"> 6</w:t>
      </w:r>
      <w:r w:rsidRPr="001A48D3">
        <w:t>, the Euro 5 standards would not be adopted, and Australia would move to adopt the Euro 6 standards at the earliest possible timeframe (2015-2017, depending on vehicle type).</w:t>
      </w:r>
    </w:p>
    <w:p w:rsidR="0044673A" w:rsidRPr="001A48D3" w:rsidRDefault="00B95FA6" w:rsidP="00C4701A">
      <w:pPr>
        <w:spacing w:after="120"/>
      </w:pPr>
      <w:r w:rsidRPr="001A48D3">
        <w:t>By “skipping” Euro 5, t</w:t>
      </w:r>
      <w:r w:rsidR="0044673A" w:rsidRPr="001A48D3">
        <w:t xml:space="preserve">his approach would delay the health benefits </w:t>
      </w:r>
      <w:r w:rsidRPr="001A48D3">
        <w:t>which would have otherwise been delivered by t</w:t>
      </w:r>
      <w:r w:rsidR="0044673A" w:rsidRPr="001A48D3">
        <w:t xml:space="preserve">he Euro 5 standards </w:t>
      </w:r>
      <w:r w:rsidR="00866471" w:rsidRPr="001A48D3">
        <w:t xml:space="preserve">(under Option 2) </w:t>
      </w:r>
      <w:r w:rsidR="0044673A" w:rsidRPr="001A48D3">
        <w:t>for 3-5 years</w:t>
      </w:r>
      <w:r w:rsidRPr="001A48D3">
        <w:t xml:space="preserve">.  It would defer compliance costs for some </w:t>
      </w:r>
      <w:r w:rsidR="00DE6A01" w:rsidRPr="001A48D3">
        <w:t xml:space="preserve">manufacturers where it was </w:t>
      </w:r>
      <w:r w:rsidR="00CE2EE7" w:rsidRPr="001A48D3">
        <w:t>cost-effective</w:t>
      </w:r>
      <w:r w:rsidRPr="001A48D3">
        <w:t xml:space="preserve"> to continue to manufacture Euro 4 compliant models until the introduction of the Euro 6 standards.  </w:t>
      </w:r>
    </w:p>
    <w:p w:rsidR="0044673A" w:rsidRPr="001A48D3" w:rsidRDefault="00B95FA6" w:rsidP="00C4701A">
      <w:pPr>
        <w:spacing w:after="120"/>
      </w:pPr>
      <w:r w:rsidRPr="001A48D3">
        <w:t xml:space="preserve">In the case of </w:t>
      </w:r>
      <w:r w:rsidR="000E27A2" w:rsidRPr="001A48D3">
        <w:t xml:space="preserve">light </w:t>
      </w:r>
      <w:r w:rsidRPr="001A48D3">
        <w:t xml:space="preserve">diesel vehicles, Australia’s current standards </w:t>
      </w:r>
      <w:r w:rsidR="000E27A2" w:rsidRPr="001A48D3">
        <w:t xml:space="preserve">(Euro 4) </w:t>
      </w:r>
      <w:r w:rsidRPr="001A48D3">
        <w:t xml:space="preserve">are </w:t>
      </w:r>
      <w:r w:rsidR="000E27A2" w:rsidRPr="001A48D3">
        <w:t xml:space="preserve">closely </w:t>
      </w:r>
      <w:r w:rsidRPr="001A48D3">
        <w:t xml:space="preserve">aligned with the UN ECE standards </w:t>
      </w:r>
      <w:r w:rsidR="000E27A2" w:rsidRPr="001A48D3">
        <w:t xml:space="preserve">timeframe </w:t>
      </w:r>
      <w:r w:rsidRPr="001A48D3">
        <w:t xml:space="preserve">– consistent with Australia’s policy to harmonise with international standards where possible.  The delay inherent in this Option would mean that Australia’s </w:t>
      </w:r>
      <w:r w:rsidR="00DE6A01" w:rsidRPr="001A48D3">
        <w:t xml:space="preserve">light diesel </w:t>
      </w:r>
      <w:r w:rsidR="00AF01A3" w:rsidRPr="001A48D3">
        <w:t>emissions</w:t>
      </w:r>
      <w:r w:rsidRPr="001A48D3">
        <w:t xml:space="preserve"> standards will have remain unch</w:t>
      </w:r>
      <w:r w:rsidR="00DE6A01" w:rsidRPr="001A48D3">
        <w:t>anged for almost 10 years (Euro </w:t>
      </w:r>
      <w:r w:rsidRPr="001A48D3">
        <w:t xml:space="preserve">4 for diesels was fully implemented on 1 January 2007), and place Australia’s diesel </w:t>
      </w:r>
      <w:r w:rsidR="00AF01A3" w:rsidRPr="001A48D3">
        <w:t>emissions</w:t>
      </w:r>
      <w:r w:rsidRPr="001A48D3">
        <w:t xml:space="preserve"> standards</w:t>
      </w:r>
      <w:r w:rsidR="000E27A2" w:rsidRPr="001A48D3">
        <w:t xml:space="preserve"> well behind UN ECE standards (where Euro 5 began to take effect from September 2009).</w:t>
      </w:r>
    </w:p>
    <w:p w:rsidR="00DE6A01" w:rsidRPr="001A48D3" w:rsidRDefault="000E27A2" w:rsidP="00C4701A">
      <w:pPr>
        <w:spacing w:after="120"/>
      </w:pPr>
      <w:r w:rsidRPr="001A48D3">
        <w:t>On balance, provided industry is provided with adequate lead time to comply</w:t>
      </w:r>
      <w:r w:rsidR="00DE6A01" w:rsidRPr="001A48D3">
        <w:t xml:space="preserve"> with Euro 5</w:t>
      </w:r>
      <w:r w:rsidRPr="001A48D3">
        <w:t xml:space="preserve">, there </w:t>
      </w:r>
      <w:r w:rsidR="00866471" w:rsidRPr="001A48D3">
        <w:t>does not</w:t>
      </w:r>
      <w:r w:rsidRPr="001A48D3">
        <w:t xml:space="preserve"> appear to be </w:t>
      </w:r>
      <w:r w:rsidR="00866471" w:rsidRPr="001A48D3">
        <w:t>a strong case for</w:t>
      </w:r>
      <w:r w:rsidRPr="001A48D3">
        <w:t xml:space="preserve"> skipping </w:t>
      </w:r>
      <w:r w:rsidR="00DE6A01" w:rsidRPr="001A48D3">
        <w:t>th</w:t>
      </w:r>
      <w:r w:rsidR="00866471" w:rsidRPr="001A48D3">
        <w:t>e Euro 5</w:t>
      </w:r>
      <w:r w:rsidR="00DE6A01" w:rsidRPr="001A48D3">
        <w:t xml:space="preserve"> standard</w:t>
      </w:r>
      <w:r w:rsidRPr="001A48D3">
        <w:t xml:space="preserve"> and </w:t>
      </w:r>
      <w:r w:rsidR="00DE6A01" w:rsidRPr="001A48D3">
        <w:t>simply</w:t>
      </w:r>
      <w:r w:rsidRPr="001A48D3">
        <w:t xml:space="preserve"> implementing Euro 6 in 5-7 </w:t>
      </w:r>
      <w:proofErr w:type="spellStart"/>
      <w:r w:rsidRPr="001A48D3">
        <w:t>years time</w:t>
      </w:r>
      <w:proofErr w:type="spellEnd"/>
      <w:r w:rsidRPr="001A48D3">
        <w:t xml:space="preserve">.  </w:t>
      </w:r>
      <w:r w:rsidR="00866471" w:rsidRPr="001A48D3">
        <w:t>Such an approach would delay significant health benefits and be inconsistent with the Australian Government’s broad vehicle standards harmonisation policy.</w:t>
      </w:r>
    </w:p>
    <w:p w:rsidR="005C0BCB" w:rsidRPr="001A48D3" w:rsidRDefault="000E27A2" w:rsidP="00C4701A">
      <w:pPr>
        <w:spacing w:after="120"/>
      </w:pPr>
      <w:r w:rsidRPr="001A48D3">
        <w:t>This RIS does not propose to evaluate this option further.</w:t>
      </w:r>
    </w:p>
    <w:p w:rsidR="005C0BCB" w:rsidRDefault="00146CBE" w:rsidP="00B52F7D">
      <w:pPr>
        <w:spacing w:after="120"/>
      </w:pPr>
      <w:r w:rsidRPr="001A48D3">
        <w:br w:type="page"/>
      </w:r>
      <w:bookmarkStart w:id="57" w:name="_Toc89846641"/>
    </w:p>
    <w:p w:rsidR="00896A37" w:rsidRPr="001A48D3" w:rsidRDefault="00610F9B" w:rsidP="005C0BCB">
      <w:pPr>
        <w:pStyle w:val="Heading1"/>
      </w:pPr>
      <w:bookmarkStart w:id="58" w:name="_Toc430182518"/>
      <w:r>
        <w:lastRenderedPageBreak/>
        <w:t>4.</w:t>
      </w:r>
      <w:r>
        <w:tab/>
      </w:r>
      <w:r w:rsidR="00896A37" w:rsidRPr="001A48D3">
        <w:t>Comparative Analysis of Options</w:t>
      </w:r>
      <w:bookmarkEnd w:id="57"/>
      <w:bookmarkEnd w:id="58"/>
    </w:p>
    <w:p w:rsidR="004B3139" w:rsidRPr="001A48D3" w:rsidRDefault="00896A37" w:rsidP="00C4701A">
      <w:pPr>
        <w:spacing w:after="120"/>
      </w:pPr>
      <w:r w:rsidRPr="001A48D3">
        <w:t xml:space="preserve">To assist </w:t>
      </w:r>
      <w:r w:rsidR="003441DD" w:rsidRPr="001A48D3">
        <w:t>the</w:t>
      </w:r>
      <w:r w:rsidRPr="001A48D3">
        <w:t xml:space="preserve"> assessment of the implications for strengthening vehicle emissions and fuel quality standards post-20</w:t>
      </w:r>
      <w:r w:rsidR="004B3139" w:rsidRPr="001A48D3">
        <w:t>10</w:t>
      </w:r>
      <w:r w:rsidRPr="001A48D3">
        <w:t xml:space="preserve">, </w:t>
      </w:r>
      <w:r w:rsidR="004B3139" w:rsidRPr="001A48D3">
        <w:t>the B</w:t>
      </w:r>
      <w:r w:rsidR="002D3A92" w:rsidRPr="001A48D3">
        <w:t>ureau of Infrastructure, Transport and Regional Economics (BITRE)</w:t>
      </w:r>
      <w:r w:rsidRPr="001A48D3">
        <w:t xml:space="preserve"> </w:t>
      </w:r>
      <w:r w:rsidR="004B3139" w:rsidRPr="001A48D3">
        <w:t xml:space="preserve">undertook a range of analyses to underpin a </w:t>
      </w:r>
      <w:r w:rsidR="006421E9" w:rsidRPr="001A48D3">
        <w:t>benefit-cost</w:t>
      </w:r>
      <w:r w:rsidR="004B3139" w:rsidRPr="001A48D3">
        <w:t xml:space="preserve"> </w:t>
      </w:r>
      <w:r w:rsidR="00B54C9F" w:rsidRPr="001A48D3">
        <w:t>analysis</w:t>
      </w:r>
      <w:r w:rsidRPr="001A48D3">
        <w:t xml:space="preserve"> (</w:t>
      </w:r>
      <w:r w:rsidR="006421E9" w:rsidRPr="001A48D3">
        <w:t>BCA</w:t>
      </w:r>
      <w:r w:rsidRPr="001A48D3">
        <w:t xml:space="preserve">) for </w:t>
      </w:r>
      <w:r w:rsidR="004B3139" w:rsidRPr="001A48D3">
        <w:t xml:space="preserve">the options described </w:t>
      </w:r>
      <w:r w:rsidR="00D579BF" w:rsidRPr="001A48D3">
        <w:t>in Section 3 of this RIS</w:t>
      </w:r>
      <w:r w:rsidRPr="001A48D3">
        <w:t xml:space="preserve">.  </w:t>
      </w:r>
      <w:r w:rsidR="006F3233" w:rsidRPr="001A48D3">
        <w:t>The full details of the BCA are at Appendix C.</w:t>
      </w:r>
    </w:p>
    <w:p w:rsidR="00306B4E" w:rsidRPr="001A48D3" w:rsidRDefault="004B7EAD" w:rsidP="00C4701A">
      <w:pPr>
        <w:spacing w:after="120"/>
      </w:pPr>
      <w:r w:rsidRPr="001A48D3">
        <w:t>Under this</w:t>
      </w:r>
      <w:r w:rsidR="00306B4E" w:rsidRPr="001A48D3">
        <w:t xml:space="preserve"> benefit–cost analysis, the base and price year is set to 2009 with the evaluation period extending to </w:t>
      </w:r>
      <w:r w:rsidR="009532D9" w:rsidRPr="001A48D3">
        <w:t>2029</w:t>
      </w:r>
      <w:r w:rsidR="00642508" w:rsidRPr="001A48D3">
        <w:rPr>
          <w:rStyle w:val="FootnoteReference"/>
        </w:rPr>
        <w:footnoteReference w:id="31"/>
      </w:r>
      <w:r w:rsidR="00306B4E" w:rsidRPr="001A48D3">
        <w:t xml:space="preserve">.  </w:t>
      </w:r>
      <w:r w:rsidR="004605B9" w:rsidRPr="001A48D3">
        <w:t xml:space="preserve">Consistent with </w:t>
      </w:r>
      <w:r w:rsidR="00306B4E" w:rsidRPr="001A48D3">
        <w:t xml:space="preserve">the recommendations in the </w:t>
      </w:r>
      <w:r w:rsidR="00306B4E" w:rsidRPr="001A48D3">
        <w:rPr>
          <w:i/>
        </w:rPr>
        <w:t>Best Practice Regulation Handbook</w:t>
      </w:r>
      <w:r w:rsidR="00306B4E" w:rsidRPr="001A48D3">
        <w:t xml:space="preserve"> </w:t>
      </w:r>
      <w:r w:rsidR="00573D65" w:rsidRPr="001A48D3">
        <w:t>published by the Office of Best Practice Regulation</w:t>
      </w:r>
      <w:r w:rsidR="00573D65" w:rsidRPr="001A48D3">
        <w:rPr>
          <w:rStyle w:val="FootnoteReference"/>
        </w:rPr>
        <w:footnoteReference w:id="32"/>
      </w:r>
      <w:r w:rsidR="00306B4E" w:rsidRPr="001A48D3">
        <w:t>, the discount rate used to estimate the net present value is 7%.  The key indicators for economic viability are net benefit expressed as Net Present Value (NPV) and the Benefit–Cost Ratio (BCR).  The BCA also includes a number of sensitivity analyses.</w:t>
      </w:r>
    </w:p>
    <w:p w:rsidR="0067682F" w:rsidRDefault="008648F4" w:rsidP="00B52F7D">
      <w:pPr>
        <w:spacing w:after="120"/>
      </w:pPr>
      <w:r w:rsidRPr="001A48D3">
        <w:t>Following the consideration of the public comment from the vehicle industry - whose primary concern was that the implementation timeframe</w:t>
      </w:r>
      <w:r w:rsidR="004605B9" w:rsidRPr="001A48D3">
        <w:t>s</w:t>
      </w:r>
      <w:r w:rsidRPr="001A48D3">
        <w:t xml:space="preserve"> for the proposals assessed in the BCA </w:t>
      </w:r>
      <w:r w:rsidR="004605B9" w:rsidRPr="001A48D3">
        <w:t>were</w:t>
      </w:r>
      <w:r w:rsidRPr="001A48D3">
        <w:t xml:space="preserve"> too early – additional </w:t>
      </w:r>
      <w:r w:rsidR="004605B9" w:rsidRPr="001A48D3">
        <w:t xml:space="preserve">(later) </w:t>
      </w:r>
      <w:r w:rsidRPr="001A48D3">
        <w:t>timing scenarios have been included as additional sensitivity analyses in Section 4.5</w:t>
      </w:r>
      <w:r w:rsidR="004605B9" w:rsidRPr="001A48D3">
        <w:t xml:space="preserve"> of this RIS.</w:t>
      </w:r>
      <w:r w:rsidRPr="001A48D3">
        <w:t xml:space="preserve">  </w:t>
      </w:r>
    </w:p>
    <w:p w:rsidR="004B3139" w:rsidRPr="001A48D3" w:rsidRDefault="00610F9B" w:rsidP="00153F3E">
      <w:pPr>
        <w:pStyle w:val="Heading2"/>
      </w:pPr>
      <w:bookmarkStart w:id="59" w:name="_Toc430182519"/>
      <w:r>
        <w:t>4.1</w:t>
      </w:r>
      <w:r>
        <w:tab/>
      </w:r>
      <w:r w:rsidR="00E1205A" w:rsidRPr="001A48D3">
        <w:t xml:space="preserve">Impact on </w:t>
      </w:r>
      <w:r w:rsidR="007E52DD" w:rsidRPr="001A48D3">
        <w:t xml:space="preserve">Vehicle </w:t>
      </w:r>
      <w:r w:rsidR="00972535" w:rsidRPr="001A48D3">
        <w:t>Emissions</w:t>
      </w:r>
      <w:bookmarkEnd w:id="59"/>
    </w:p>
    <w:p w:rsidR="00C33CBE" w:rsidRPr="001A48D3" w:rsidRDefault="00775A12" w:rsidP="00C4701A">
      <w:pPr>
        <w:spacing w:after="120"/>
      </w:pPr>
      <w:r w:rsidRPr="001A48D3">
        <w:t>The main pollutants of concern for air quality are HC, NO</w:t>
      </w:r>
      <w:r w:rsidRPr="001A48D3">
        <w:rPr>
          <w:vertAlign w:val="subscript"/>
        </w:rPr>
        <w:t>x</w:t>
      </w:r>
      <w:r w:rsidRPr="001A48D3">
        <w:t xml:space="preserve"> and PM (particulates).</w:t>
      </w:r>
      <w:r w:rsidR="003D7B5E" w:rsidRPr="001A48D3">
        <w:t xml:space="preserve">  </w:t>
      </w:r>
    </w:p>
    <w:p w:rsidR="005C0BCB" w:rsidRDefault="006A1EFC" w:rsidP="00C4701A">
      <w:pPr>
        <w:spacing w:after="120"/>
        <w:rPr>
          <w:iCs/>
        </w:rPr>
      </w:pPr>
      <w:r w:rsidRPr="001A48D3">
        <w:t>As summarised in Table 5</w:t>
      </w:r>
      <w:r w:rsidR="00C33CBE" w:rsidRPr="001A48D3">
        <w:t xml:space="preserve">, if adopted, the </w:t>
      </w:r>
      <w:r w:rsidR="00C33CBE" w:rsidRPr="001A48D3">
        <w:rPr>
          <w:iCs/>
        </w:rPr>
        <w:t xml:space="preserve">Euro 5/6 </w:t>
      </w:r>
      <w:r w:rsidR="00C33CBE" w:rsidRPr="001A48D3">
        <w:t>light vehicle standards would lead to significant reductions in NOx emissions from petrol vehicles, and HC and NOx emissions from diesel vehicles, and dramatic reductions in PM emissions from diesel vehicles</w:t>
      </w:r>
      <w:r w:rsidR="00C33CBE" w:rsidRPr="001A48D3">
        <w:rPr>
          <w:iCs/>
        </w:rPr>
        <w:t xml:space="preserve">.  The introduction of the new particle number limit standard and the other measures listed in </w:t>
      </w:r>
      <w:r w:rsidR="00CE0A88" w:rsidRPr="001A48D3">
        <w:rPr>
          <w:iCs/>
        </w:rPr>
        <w:t>Section</w:t>
      </w:r>
      <w:r w:rsidR="00C33CBE" w:rsidRPr="001A48D3">
        <w:rPr>
          <w:iCs/>
        </w:rPr>
        <w:t xml:space="preserve"> 1.5.1 will further enhance the emissions impact of the Euro 5/6 standards.</w:t>
      </w:r>
    </w:p>
    <w:p w:rsidR="005C0BCB" w:rsidRDefault="005C0BCB">
      <w:pPr>
        <w:rPr>
          <w:iCs/>
        </w:rPr>
      </w:pPr>
      <w:r>
        <w:rPr>
          <w:iCs/>
        </w:rPr>
        <w:br w:type="page"/>
      </w:r>
    </w:p>
    <w:p w:rsidR="00C33CBE" w:rsidRPr="001A48D3" w:rsidRDefault="006A1EFC" w:rsidP="00B52F7D">
      <w:pPr>
        <w:pStyle w:val="Heading3"/>
      </w:pPr>
      <w:bookmarkStart w:id="60" w:name="_Toc430182520"/>
      <w:r w:rsidRPr="001A48D3">
        <w:lastRenderedPageBreak/>
        <w:t>Table 5</w:t>
      </w:r>
      <w:r w:rsidR="00C33CBE" w:rsidRPr="001A48D3">
        <w:tab/>
        <w:t xml:space="preserve">Emissions Reduction from Adoption of Euro 5 and Euro 6 </w:t>
      </w:r>
      <w:r w:rsidR="00C33CBE" w:rsidRPr="00BF02CD">
        <w:t>Light</w:t>
      </w:r>
      <w:r w:rsidR="00C33CBE" w:rsidRPr="001A48D3">
        <w:t xml:space="preserve"> Vehicle Standards</w:t>
      </w:r>
      <w:bookmarkEnd w:id="60"/>
      <w:r w:rsidR="00C33CBE" w:rsidRPr="001A48D3">
        <w:t xml:space="preserve">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51"/>
        <w:gridCol w:w="851"/>
        <w:gridCol w:w="1134"/>
        <w:gridCol w:w="992"/>
        <w:gridCol w:w="992"/>
        <w:gridCol w:w="992"/>
        <w:gridCol w:w="993"/>
      </w:tblGrid>
      <w:tr w:rsidR="00C33CBE" w:rsidRPr="001A48D3" w:rsidTr="00153F3E">
        <w:tc>
          <w:tcPr>
            <w:tcW w:w="1951" w:type="dxa"/>
            <w:vMerge w:val="restart"/>
            <w:shd w:val="clear" w:color="auto" w:fill="FFC000"/>
          </w:tcPr>
          <w:p w:rsidR="00C33CBE" w:rsidRPr="001A48D3" w:rsidRDefault="00C33CBE" w:rsidP="00C4701A">
            <w:pPr>
              <w:spacing w:before="120" w:after="120"/>
              <w:jc w:val="center"/>
              <w:rPr>
                <w:b/>
                <w:sz w:val="22"/>
                <w:szCs w:val="22"/>
              </w:rPr>
            </w:pPr>
            <w:r w:rsidRPr="001A48D3">
              <w:rPr>
                <w:b/>
                <w:sz w:val="22"/>
                <w:szCs w:val="22"/>
              </w:rPr>
              <w:t>Vehicle Fuel Type</w:t>
            </w:r>
          </w:p>
        </w:tc>
        <w:tc>
          <w:tcPr>
            <w:tcW w:w="5954" w:type="dxa"/>
            <w:gridSpan w:val="6"/>
            <w:shd w:val="clear" w:color="auto" w:fill="FFC000"/>
          </w:tcPr>
          <w:p w:rsidR="00C33CBE" w:rsidRPr="001A48D3" w:rsidRDefault="00C33CBE" w:rsidP="00C4701A">
            <w:pPr>
              <w:spacing w:before="120" w:after="120"/>
              <w:jc w:val="center"/>
              <w:rPr>
                <w:b/>
                <w:sz w:val="22"/>
                <w:szCs w:val="22"/>
              </w:rPr>
            </w:pPr>
            <w:r w:rsidRPr="001A48D3">
              <w:rPr>
                <w:b/>
                <w:sz w:val="22"/>
                <w:szCs w:val="22"/>
              </w:rPr>
              <w:t>Emissions Reduction (%)*</w:t>
            </w:r>
          </w:p>
        </w:tc>
      </w:tr>
      <w:tr w:rsidR="00C33CBE" w:rsidRPr="001A48D3" w:rsidTr="00153F3E">
        <w:tc>
          <w:tcPr>
            <w:tcW w:w="1951" w:type="dxa"/>
            <w:vMerge/>
            <w:shd w:val="clear" w:color="auto" w:fill="FFC000"/>
          </w:tcPr>
          <w:p w:rsidR="00C33CBE" w:rsidRPr="001A48D3" w:rsidRDefault="00C33CBE" w:rsidP="00C4701A">
            <w:pPr>
              <w:spacing w:before="120" w:after="120"/>
              <w:jc w:val="center"/>
              <w:rPr>
                <w:b/>
                <w:sz w:val="22"/>
                <w:szCs w:val="22"/>
              </w:rPr>
            </w:pPr>
          </w:p>
        </w:tc>
        <w:tc>
          <w:tcPr>
            <w:tcW w:w="2977" w:type="dxa"/>
            <w:gridSpan w:val="3"/>
            <w:shd w:val="clear" w:color="auto" w:fill="FFC000"/>
          </w:tcPr>
          <w:p w:rsidR="00C33CBE" w:rsidRPr="001A48D3" w:rsidRDefault="00C33CBE" w:rsidP="00C4701A">
            <w:pPr>
              <w:spacing w:before="120" w:after="120"/>
              <w:jc w:val="center"/>
              <w:rPr>
                <w:b/>
                <w:sz w:val="22"/>
                <w:szCs w:val="22"/>
              </w:rPr>
            </w:pPr>
            <w:r w:rsidRPr="001A48D3">
              <w:rPr>
                <w:b/>
                <w:i/>
                <w:sz w:val="22"/>
                <w:szCs w:val="22"/>
              </w:rPr>
              <w:t>Euro 4</w:t>
            </w:r>
            <w:r w:rsidRPr="001A48D3">
              <w:rPr>
                <w:b/>
                <w:sz w:val="22"/>
                <w:szCs w:val="22"/>
              </w:rPr>
              <w:t xml:space="preserve"> </w:t>
            </w:r>
            <w:r w:rsidRPr="001A48D3">
              <w:rPr>
                <w:b/>
                <w:sz w:val="22"/>
                <w:szCs w:val="22"/>
              </w:rPr>
              <w:sym w:font="Wingdings" w:char="F0F0"/>
            </w:r>
            <w:r w:rsidRPr="001A48D3">
              <w:rPr>
                <w:b/>
                <w:sz w:val="22"/>
                <w:szCs w:val="22"/>
              </w:rPr>
              <w:t xml:space="preserve"> </w:t>
            </w:r>
            <w:r w:rsidRPr="001A48D3">
              <w:rPr>
                <w:b/>
                <w:i/>
                <w:sz w:val="22"/>
                <w:szCs w:val="22"/>
              </w:rPr>
              <w:t>Euro 5</w:t>
            </w:r>
          </w:p>
        </w:tc>
        <w:tc>
          <w:tcPr>
            <w:tcW w:w="2977" w:type="dxa"/>
            <w:gridSpan w:val="3"/>
            <w:tcBorders>
              <w:left w:val="single" w:sz="18" w:space="0" w:color="auto"/>
            </w:tcBorders>
            <w:shd w:val="clear" w:color="auto" w:fill="FFC000"/>
          </w:tcPr>
          <w:p w:rsidR="00C33CBE" w:rsidRPr="001A48D3" w:rsidRDefault="00C33CBE" w:rsidP="00C4701A">
            <w:pPr>
              <w:spacing w:before="120" w:after="120"/>
              <w:jc w:val="center"/>
              <w:rPr>
                <w:b/>
                <w:sz w:val="22"/>
                <w:szCs w:val="22"/>
              </w:rPr>
            </w:pPr>
            <w:r w:rsidRPr="001A48D3">
              <w:rPr>
                <w:b/>
                <w:i/>
                <w:sz w:val="22"/>
                <w:szCs w:val="22"/>
              </w:rPr>
              <w:t xml:space="preserve">Euro 5 </w:t>
            </w:r>
            <w:r w:rsidRPr="001A48D3">
              <w:rPr>
                <w:b/>
                <w:sz w:val="22"/>
                <w:szCs w:val="22"/>
              </w:rPr>
              <w:sym w:font="Wingdings" w:char="F0F0"/>
            </w:r>
            <w:r w:rsidRPr="001A48D3">
              <w:rPr>
                <w:b/>
                <w:sz w:val="22"/>
                <w:szCs w:val="22"/>
              </w:rPr>
              <w:t xml:space="preserve"> </w:t>
            </w:r>
            <w:r w:rsidRPr="001A48D3">
              <w:rPr>
                <w:b/>
                <w:i/>
                <w:sz w:val="22"/>
                <w:szCs w:val="22"/>
              </w:rPr>
              <w:t>Euro 6</w:t>
            </w:r>
          </w:p>
        </w:tc>
      </w:tr>
      <w:tr w:rsidR="00C33CBE" w:rsidRPr="001A48D3" w:rsidTr="00153F3E">
        <w:tc>
          <w:tcPr>
            <w:tcW w:w="1951" w:type="dxa"/>
            <w:vMerge/>
            <w:shd w:val="clear" w:color="auto" w:fill="FFC000"/>
          </w:tcPr>
          <w:p w:rsidR="00C33CBE" w:rsidRPr="001A48D3" w:rsidRDefault="00C33CBE" w:rsidP="00C4701A">
            <w:pPr>
              <w:spacing w:before="120" w:after="120"/>
              <w:jc w:val="center"/>
              <w:rPr>
                <w:b/>
                <w:sz w:val="22"/>
                <w:szCs w:val="22"/>
              </w:rPr>
            </w:pPr>
          </w:p>
        </w:tc>
        <w:tc>
          <w:tcPr>
            <w:tcW w:w="851" w:type="dxa"/>
            <w:shd w:val="clear" w:color="auto" w:fill="FFC000"/>
          </w:tcPr>
          <w:p w:rsidR="00C33CBE" w:rsidRPr="001A48D3" w:rsidRDefault="00C33CBE" w:rsidP="00C4701A">
            <w:pPr>
              <w:spacing w:before="120" w:after="120"/>
              <w:jc w:val="center"/>
              <w:rPr>
                <w:b/>
                <w:sz w:val="22"/>
                <w:szCs w:val="22"/>
              </w:rPr>
            </w:pPr>
            <w:r w:rsidRPr="001A48D3">
              <w:rPr>
                <w:b/>
                <w:sz w:val="22"/>
                <w:szCs w:val="22"/>
              </w:rPr>
              <w:t>HC</w:t>
            </w:r>
          </w:p>
        </w:tc>
        <w:tc>
          <w:tcPr>
            <w:tcW w:w="1134" w:type="dxa"/>
            <w:shd w:val="clear" w:color="auto" w:fill="FFC000"/>
          </w:tcPr>
          <w:p w:rsidR="00C33CBE" w:rsidRPr="001A48D3" w:rsidRDefault="00C33CBE" w:rsidP="00C4701A">
            <w:pPr>
              <w:spacing w:before="120" w:after="120"/>
              <w:jc w:val="center"/>
              <w:rPr>
                <w:b/>
                <w:sz w:val="22"/>
                <w:szCs w:val="22"/>
              </w:rPr>
            </w:pPr>
            <w:r w:rsidRPr="001A48D3">
              <w:rPr>
                <w:b/>
                <w:sz w:val="22"/>
                <w:szCs w:val="22"/>
              </w:rPr>
              <w:t>NOx</w:t>
            </w:r>
          </w:p>
        </w:tc>
        <w:tc>
          <w:tcPr>
            <w:tcW w:w="992" w:type="dxa"/>
            <w:tcBorders>
              <w:right w:val="nil"/>
            </w:tcBorders>
            <w:shd w:val="clear" w:color="auto" w:fill="FFC000"/>
          </w:tcPr>
          <w:p w:rsidR="00C33CBE" w:rsidRPr="001A48D3" w:rsidRDefault="00C33CBE" w:rsidP="00C4701A">
            <w:pPr>
              <w:spacing w:before="120" w:after="120"/>
              <w:jc w:val="center"/>
              <w:rPr>
                <w:b/>
                <w:sz w:val="22"/>
                <w:szCs w:val="22"/>
              </w:rPr>
            </w:pPr>
            <w:r w:rsidRPr="001A48D3">
              <w:rPr>
                <w:b/>
                <w:sz w:val="22"/>
                <w:szCs w:val="22"/>
              </w:rPr>
              <w:t>PM</w:t>
            </w:r>
          </w:p>
        </w:tc>
        <w:tc>
          <w:tcPr>
            <w:tcW w:w="992" w:type="dxa"/>
            <w:tcBorders>
              <w:left w:val="single" w:sz="18" w:space="0" w:color="auto"/>
            </w:tcBorders>
            <w:shd w:val="clear" w:color="auto" w:fill="FFC000"/>
          </w:tcPr>
          <w:p w:rsidR="00C33CBE" w:rsidRPr="001A48D3" w:rsidRDefault="00C33CBE" w:rsidP="00C4701A">
            <w:pPr>
              <w:spacing w:before="120" w:after="120"/>
              <w:jc w:val="center"/>
              <w:rPr>
                <w:b/>
                <w:sz w:val="22"/>
                <w:szCs w:val="22"/>
              </w:rPr>
            </w:pPr>
            <w:r w:rsidRPr="001A48D3">
              <w:rPr>
                <w:b/>
                <w:sz w:val="22"/>
                <w:szCs w:val="22"/>
              </w:rPr>
              <w:t>HC</w:t>
            </w:r>
          </w:p>
        </w:tc>
        <w:tc>
          <w:tcPr>
            <w:tcW w:w="992" w:type="dxa"/>
            <w:shd w:val="clear" w:color="auto" w:fill="FFC000"/>
          </w:tcPr>
          <w:p w:rsidR="00C33CBE" w:rsidRPr="001A48D3" w:rsidRDefault="00C33CBE" w:rsidP="00C4701A">
            <w:pPr>
              <w:spacing w:before="120" w:after="120"/>
              <w:jc w:val="center"/>
              <w:rPr>
                <w:b/>
                <w:sz w:val="22"/>
                <w:szCs w:val="22"/>
              </w:rPr>
            </w:pPr>
            <w:r w:rsidRPr="001A48D3">
              <w:rPr>
                <w:b/>
                <w:sz w:val="22"/>
                <w:szCs w:val="22"/>
              </w:rPr>
              <w:t>NOx</w:t>
            </w:r>
          </w:p>
        </w:tc>
        <w:tc>
          <w:tcPr>
            <w:tcW w:w="993" w:type="dxa"/>
            <w:shd w:val="clear" w:color="auto" w:fill="FFC000"/>
          </w:tcPr>
          <w:p w:rsidR="00C33CBE" w:rsidRPr="001A48D3" w:rsidRDefault="00C33CBE" w:rsidP="00C4701A">
            <w:pPr>
              <w:spacing w:before="120" w:after="120"/>
              <w:jc w:val="center"/>
              <w:rPr>
                <w:b/>
                <w:sz w:val="22"/>
                <w:szCs w:val="22"/>
              </w:rPr>
            </w:pPr>
            <w:r w:rsidRPr="001A48D3">
              <w:rPr>
                <w:b/>
                <w:sz w:val="22"/>
                <w:szCs w:val="22"/>
              </w:rPr>
              <w:t>PM</w:t>
            </w:r>
          </w:p>
        </w:tc>
      </w:tr>
      <w:tr w:rsidR="00C33CBE" w:rsidRPr="001A48D3" w:rsidTr="00153F3E">
        <w:tc>
          <w:tcPr>
            <w:tcW w:w="1951" w:type="dxa"/>
          </w:tcPr>
          <w:p w:rsidR="00C33CBE" w:rsidRPr="001A48D3" w:rsidRDefault="00C33CBE" w:rsidP="00C4701A">
            <w:pPr>
              <w:spacing w:before="120" w:after="120"/>
              <w:jc w:val="center"/>
              <w:rPr>
                <w:sz w:val="22"/>
                <w:szCs w:val="22"/>
              </w:rPr>
            </w:pPr>
            <w:r w:rsidRPr="001A48D3">
              <w:rPr>
                <w:sz w:val="22"/>
                <w:szCs w:val="22"/>
              </w:rPr>
              <w:t>Petrol/LPG</w:t>
            </w:r>
          </w:p>
        </w:tc>
        <w:tc>
          <w:tcPr>
            <w:tcW w:w="851" w:type="dxa"/>
          </w:tcPr>
          <w:p w:rsidR="00C33CBE" w:rsidRPr="001A48D3" w:rsidRDefault="00C33CBE" w:rsidP="00C4701A">
            <w:pPr>
              <w:spacing w:before="120" w:after="120"/>
              <w:jc w:val="center"/>
              <w:rPr>
                <w:sz w:val="22"/>
                <w:szCs w:val="22"/>
              </w:rPr>
            </w:pPr>
            <w:r w:rsidRPr="001A48D3">
              <w:rPr>
                <w:sz w:val="22"/>
                <w:szCs w:val="22"/>
              </w:rPr>
              <w:t>-</w:t>
            </w:r>
          </w:p>
        </w:tc>
        <w:tc>
          <w:tcPr>
            <w:tcW w:w="1134" w:type="dxa"/>
          </w:tcPr>
          <w:p w:rsidR="00C33CBE" w:rsidRPr="001A48D3" w:rsidRDefault="00C33CBE" w:rsidP="00C4701A">
            <w:pPr>
              <w:spacing w:before="120" w:after="120"/>
              <w:jc w:val="center"/>
              <w:rPr>
                <w:sz w:val="22"/>
                <w:szCs w:val="22"/>
              </w:rPr>
            </w:pPr>
            <w:r w:rsidRPr="001A48D3">
              <w:rPr>
                <w:sz w:val="22"/>
                <w:szCs w:val="22"/>
              </w:rPr>
              <w:t>25</w:t>
            </w:r>
          </w:p>
        </w:tc>
        <w:tc>
          <w:tcPr>
            <w:tcW w:w="992" w:type="dxa"/>
            <w:tcBorders>
              <w:right w:val="nil"/>
            </w:tcBorders>
          </w:tcPr>
          <w:p w:rsidR="00C33CBE" w:rsidRPr="001A48D3" w:rsidRDefault="00C33CBE" w:rsidP="00C4701A">
            <w:pPr>
              <w:spacing w:before="120" w:after="120"/>
              <w:jc w:val="center"/>
              <w:rPr>
                <w:sz w:val="22"/>
                <w:szCs w:val="22"/>
              </w:rPr>
            </w:pPr>
            <w:r w:rsidRPr="001A48D3">
              <w:rPr>
                <w:sz w:val="22"/>
                <w:szCs w:val="22"/>
              </w:rPr>
              <w:t>NA</w:t>
            </w:r>
          </w:p>
        </w:tc>
        <w:tc>
          <w:tcPr>
            <w:tcW w:w="992" w:type="dxa"/>
            <w:tcBorders>
              <w:left w:val="single" w:sz="18" w:space="0" w:color="auto"/>
            </w:tcBorders>
          </w:tcPr>
          <w:p w:rsidR="00C33CBE" w:rsidRPr="001A48D3" w:rsidRDefault="00C33CBE" w:rsidP="00C4701A">
            <w:pPr>
              <w:spacing w:before="120" w:after="120"/>
              <w:jc w:val="center"/>
              <w:rPr>
                <w:sz w:val="22"/>
                <w:szCs w:val="22"/>
              </w:rPr>
            </w:pPr>
            <w:r w:rsidRPr="001A48D3">
              <w:rPr>
                <w:sz w:val="22"/>
                <w:szCs w:val="22"/>
              </w:rPr>
              <w:t>-</w:t>
            </w:r>
          </w:p>
        </w:tc>
        <w:tc>
          <w:tcPr>
            <w:tcW w:w="992" w:type="dxa"/>
          </w:tcPr>
          <w:p w:rsidR="00C33CBE" w:rsidRPr="001A48D3" w:rsidRDefault="00C33CBE" w:rsidP="00C4701A">
            <w:pPr>
              <w:spacing w:before="120" w:after="120"/>
              <w:jc w:val="center"/>
              <w:rPr>
                <w:sz w:val="22"/>
                <w:szCs w:val="22"/>
              </w:rPr>
            </w:pPr>
            <w:r w:rsidRPr="001A48D3">
              <w:rPr>
                <w:sz w:val="22"/>
                <w:szCs w:val="22"/>
              </w:rPr>
              <w:t>-</w:t>
            </w:r>
          </w:p>
        </w:tc>
        <w:tc>
          <w:tcPr>
            <w:tcW w:w="993" w:type="dxa"/>
          </w:tcPr>
          <w:p w:rsidR="00C33CBE" w:rsidRPr="001A48D3" w:rsidRDefault="00C33CBE" w:rsidP="00C4701A">
            <w:pPr>
              <w:spacing w:before="120" w:after="120"/>
              <w:jc w:val="center"/>
              <w:rPr>
                <w:sz w:val="22"/>
                <w:szCs w:val="22"/>
              </w:rPr>
            </w:pPr>
            <w:r w:rsidRPr="001A48D3">
              <w:rPr>
                <w:sz w:val="22"/>
                <w:szCs w:val="22"/>
              </w:rPr>
              <w:t>-</w:t>
            </w:r>
          </w:p>
        </w:tc>
      </w:tr>
      <w:tr w:rsidR="00C33CBE" w:rsidRPr="001A48D3" w:rsidTr="00153F3E">
        <w:tc>
          <w:tcPr>
            <w:tcW w:w="1951" w:type="dxa"/>
          </w:tcPr>
          <w:p w:rsidR="00C33CBE" w:rsidRPr="001A48D3" w:rsidRDefault="00C33CBE" w:rsidP="00C4701A">
            <w:pPr>
              <w:spacing w:before="120" w:after="120"/>
              <w:jc w:val="center"/>
              <w:rPr>
                <w:sz w:val="22"/>
                <w:szCs w:val="22"/>
              </w:rPr>
            </w:pPr>
            <w:r w:rsidRPr="001A48D3">
              <w:rPr>
                <w:sz w:val="22"/>
                <w:szCs w:val="22"/>
              </w:rPr>
              <w:t>Diesel (and DI petrol)</w:t>
            </w:r>
          </w:p>
        </w:tc>
        <w:tc>
          <w:tcPr>
            <w:tcW w:w="851" w:type="dxa"/>
          </w:tcPr>
          <w:p w:rsidR="00C33CBE" w:rsidRPr="001A48D3" w:rsidRDefault="00C33CBE" w:rsidP="00C4701A">
            <w:pPr>
              <w:spacing w:before="120" w:after="120"/>
              <w:jc w:val="center"/>
              <w:rPr>
                <w:sz w:val="22"/>
                <w:szCs w:val="22"/>
              </w:rPr>
            </w:pPr>
            <w:r w:rsidRPr="001A48D3">
              <w:rPr>
                <w:sz w:val="22"/>
                <w:szCs w:val="22"/>
              </w:rPr>
              <w:t>25</w:t>
            </w:r>
          </w:p>
        </w:tc>
        <w:tc>
          <w:tcPr>
            <w:tcW w:w="1134" w:type="dxa"/>
          </w:tcPr>
          <w:p w:rsidR="00C33CBE" w:rsidRPr="001A48D3" w:rsidRDefault="00C33CBE" w:rsidP="00C4701A">
            <w:pPr>
              <w:spacing w:before="120" w:after="120"/>
              <w:jc w:val="center"/>
              <w:rPr>
                <w:sz w:val="22"/>
                <w:szCs w:val="22"/>
              </w:rPr>
            </w:pPr>
            <w:r w:rsidRPr="001A48D3">
              <w:rPr>
                <w:sz w:val="22"/>
                <w:szCs w:val="22"/>
              </w:rPr>
              <w:t>30</w:t>
            </w:r>
          </w:p>
        </w:tc>
        <w:tc>
          <w:tcPr>
            <w:tcW w:w="992" w:type="dxa"/>
            <w:tcBorders>
              <w:right w:val="nil"/>
            </w:tcBorders>
          </w:tcPr>
          <w:p w:rsidR="00C33CBE" w:rsidRPr="001A48D3" w:rsidRDefault="00C33CBE" w:rsidP="00C4701A">
            <w:pPr>
              <w:spacing w:before="120" w:after="120"/>
              <w:jc w:val="center"/>
              <w:rPr>
                <w:sz w:val="22"/>
                <w:szCs w:val="22"/>
              </w:rPr>
            </w:pPr>
            <w:r w:rsidRPr="001A48D3">
              <w:rPr>
                <w:sz w:val="22"/>
                <w:szCs w:val="22"/>
              </w:rPr>
              <w:t>80-90</w:t>
            </w:r>
          </w:p>
        </w:tc>
        <w:tc>
          <w:tcPr>
            <w:tcW w:w="992" w:type="dxa"/>
            <w:tcBorders>
              <w:left w:val="single" w:sz="18" w:space="0" w:color="auto"/>
            </w:tcBorders>
          </w:tcPr>
          <w:p w:rsidR="00C33CBE" w:rsidRPr="001A48D3" w:rsidRDefault="00C33CBE" w:rsidP="00C4701A">
            <w:pPr>
              <w:spacing w:before="120" w:after="120"/>
              <w:jc w:val="center"/>
              <w:rPr>
                <w:sz w:val="22"/>
                <w:szCs w:val="22"/>
              </w:rPr>
            </w:pPr>
            <w:r w:rsidRPr="001A48D3">
              <w:rPr>
                <w:sz w:val="22"/>
                <w:szCs w:val="22"/>
              </w:rPr>
              <w:t>26-40</w:t>
            </w:r>
          </w:p>
        </w:tc>
        <w:tc>
          <w:tcPr>
            <w:tcW w:w="992" w:type="dxa"/>
          </w:tcPr>
          <w:p w:rsidR="00C33CBE" w:rsidRPr="001A48D3" w:rsidRDefault="00C33CBE" w:rsidP="00C4701A">
            <w:pPr>
              <w:spacing w:before="120" w:after="120"/>
              <w:jc w:val="center"/>
              <w:rPr>
                <w:sz w:val="22"/>
                <w:szCs w:val="22"/>
              </w:rPr>
            </w:pPr>
            <w:r w:rsidRPr="001A48D3">
              <w:rPr>
                <w:sz w:val="22"/>
                <w:szCs w:val="22"/>
              </w:rPr>
              <w:t>55</w:t>
            </w:r>
          </w:p>
        </w:tc>
        <w:tc>
          <w:tcPr>
            <w:tcW w:w="993" w:type="dxa"/>
          </w:tcPr>
          <w:p w:rsidR="00C33CBE" w:rsidRPr="001A48D3" w:rsidRDefault="00C33CBE" w:rsidP="00C4701A">
            <w:pPr>
              <w:spacing w:before="120" w:after="120"/>
              <w:jc w:val="center"/>
              <w:rPr>
                <w:sz w:val="22"/>
                <w:szCs w:val="22"/>
              </w:rPr>
            </w:pPr>
            <w:r w:rsidRPr="001A48D3">
              <w:rPr>
                <w:sz w:val="22"/>
                <w:szCs w:val="22"/>
              </w:rPr>
              <w:t>-</w:t>
            </w:r>
          </w:p>
        </w:tc>
      </w:tr>
    </w:tbl>
    <w:p w:rsidR="00C33CBE" w:rsidRPr="001A48D3" w:rsidRDefault="00C33CBE" w:rsidP="00C4701A">
      <w:pPr>
        <w:spacing w:after="120"/>
        <w:rPr>
          <w:sz w:val="18"/>
          <w:szCs w:val="18"/>
        </w:rPr>
      </w:pPr>
    </w:p>
    <w:p w:rsidR="00C33CBE" w:rsidRPr="001A48D3" w:rsidRDefault="00C33CBE" w:rsidP="00C4701A">
      <w:pPr>
        <w:spacing w:after="120"/>
        <w:rPr>
          <w:sz w:val="18"/>
          <w:szCs w:val="18"/>
        </w:rPr>
      </w:pPr>
      <w:r w:rsidRPr="001A48D3">
        <w:rPr>
          <w:sz w:val="18"/>
          <w:szCs w:val="18"/>
        </w:rPr>
        <w:t>* To nearest 5%; a range indicates that the percentage reduction varies with vehicle category; “-“ indicates no change</w:t>
      </w:r>
    </w:p>
    <w:p w:rsidR="00C33CBE" w:rsidRPr="001A48D3" w:rsidRDefault="00C33CBE" w:rsidP="00C4701A">
      <w:pPr>
        <w:spacing w:after="120"/>
        <w:rPr>
          <w:sz w:val="18"/>
          <w:szCs w:val="18"/>
          <w:highlight w:val="yellow"/>
        </w:rPr>
      </w:pPr>
    </w:p>
    <w:p w:rsidR="00C33CBE" w:rsidRPr="001A48D3" w:rsidRDefault="00C33CBE" w:rsidP="00C4701A">
      <w:pPr>
        <w:spacing w:after="120"/>
      </w:pPr>
      <w:r w:rsidRPr="001A48D3">
        <w:t>The European Commission has concluded</w:t>
      </w:r>
      <w:r w:rsidRPr="001A48D3">
        <w:rPr>
          <w:rStyle w:val="FootnoteReference"/>
          <w:szCs w:val="24"/>
        </w:rPr>
        <w:footnoteReference w:id="33"/>
      </w:r>
      <w:r w:rsidRPr="001A48D3">
        <w:t xml:space="preserve"> that the introduction of the Euro 5/6 standards would have a negligible impact on fuel consumption and CO</w:t>
      </w:r>
      <w:r w:rsidRPr="001A48D3">
        <w:rPr>
          <w:vertAlign w:val="subscript"/>
        </w:rPr>
        <w:t>2</w:t>
      </w:r>
      <w:r w:rsidRPr="001A48D3">
        <w:t xml:space="preserve"> emissions.</w:t>
      </w:r>
    </w:p>
    <w:p w:rsidR="00775A12" w:rsidRPr="001A48D3" w:rsidRDefault="00C33CBE" w:rsidP="00C4701A">
      <w:pPr>
        <w:spacing w:after="120"/>
      </w:pPr>
      <w:r w:rsidRPr="001A48D3">
        <w:t xml:space="preserve">For this </w:t>
      </w:r>
      <w:r w:rsidR="00AD4C08" w:rsidRPr="001A48D3">
        <w:t>RIS</w:t>
      </w:r>
      <w:r w:rsidRPr="001A48D3">
        <w:t>, e</w:t>
      </w:r>
      <w:r w:rsidR="00775A12" w:rsidRPr="001A48D3">
        <w:t xml:space="preserve">missions of these pollutants from the Australian light vehicle fleet were modelled using a suite of BITRE fleet and projection models.  These models are described in a variety of BITRE publications (refer to Appendix B for more information).  These BITRE models allow for the effects of increasing traffic congestion levels within our urban areas, which leads not only to higher rates of fuel consumption than would otherwise have occurred, but also to higher rates of urban air </w:t>
      </w:r>
      <w:r w:rsidR="006E31B3" w:rsidRPr="001A48D3">
        <w:t>pollutants</w:t>
      </w:r>
      <w:r w:rsidR="00775A12" w:rsidRPr="001A48D3">
        <w:t xml:space="preserve"> being emitted from the affected vehicles.  </w:t>
      </w:r>
    </w:p>
    <w:p w:rsidR="00984FC5" w:rsidRPr="001A48D3" w:rsidRDefault="004158B5" w:rsidP="00C4701A">
      <w:pPr>
        <w:spacing w:after="120"/>
      </w:pPr>
      <w:r w:rsidRPr="001A48D3">
        <w:t xml:space="preserve">The </w:t>
      </w:r>
      <w:r w:rsidR="002D3A92" w:rsidRPr="001A48D3">
        <w:t>BITRE</w:t>
      </w:r>
      <w:r w:rsidRPr="001A48D3">
        <w:t xml:space="preserve"> estimated the impacts of Options 2</w:t>
      </w:r>
      <w:r w:rsidR="00866471" w:rsidRPr="001A48D3">
        <w:t xml:space="preserve">, </w:t>
      </w:r>
      <w:r w:rsidRPr="001A48D3">
        <w:t xml:space="preserve">3 </w:t>
      </w:r>
      <w:r w:rsidR="00866471" w:rsidRPr="001A48D3">
        <w:t xml:space="preserve">and 4 </w:t>
      </w:r>
      <w:r w:rsidR="00E1205A" w:rsidRPr="001A48D3">
        <w:t xml:space="preserve">on total light vehicle fleet emissions, </w:t>
      </w:r>
      <w:r w:rsidRPr="001A48D3">
        <w:t xml:space="preserve">relative to the Option 1.  </w:t>
      </w:r>
      <w:r w:rsidR="00306B4E" w:rsidRPr="001A48D3">
        <w:t>All options incorporate the following “base case” assumptions:</w:t>
      </w:r>
    </w:p>
    <w:p w:rsidR="00984FC5" w:rsidRPr="001A48D3" w:rsidRDefault="00306B4E" w:rsidP="00C4701A">
      <w:pPr>
        <w:numPr>
          <w:ilvl w:val="0"/>
          <w:numId w:val="22"/>
        </w:numPr>
        <w:spacing w:after="120"/>
      </w:pPr>
      <w:r w:rsidRPr="001A48D3">
        <w:t>o</w:t>
      </w:r>
      <w:r w:rsidR="00984FC5" w:rsidRPr="001A48D3">
        <w:t>il prices remain at current levels ($60-70 US per barrel)</w:t>
      </w:r>
      <w:r w:rsidRPr="001A48D3">
        <w:t>;</w:t>
      </w:r>
    </w:p>
    <w:p w:rsidR="00984FC5" w:rsidRPr="001A48D3" w:rsidRDefault="00306B4E" w:rsidP="00C4701A">
      <w:pPr>
        <w:numPr>
          <w:ilvl w:val="0"/>
          <w:numId w:val="22"/>
        </w:numPr>
        <w:spacing w:after="120"/>
      </w:pPr>
      <w:r w:rsidRPr="001A48D3">
        <w:t>p</w:t>
      </w:r>
      <w:r w:rsidR="00984FC5" w:rsidRPr="001A48D3">
        <w:t>opulation grows according to the mid-range ‘Series B’ scenario values of the la</w:t>
      </w:r>
      <w:r w:rsidRPr="001A48D3">
        <w:t>test ABS population projections;</w:t>
      </w:r>
    </w:p>
    <w:p w:rsidR="00984FC5" w:rsidRPr="001A48D3" w:rsidRDefault="00306B4E" w:rsidP="00C4701A">
      <w:pPr>
        <w:numPr>
          <w:ilvl w:val="0"/>
          <w:numId w:val="22"/>
        </w:numPr>
        <w:spacing w:after="120"/>
      </w:pPr>
      <w:r w:rsidRPr="001A48D3">
        <w:t>i</w:t>
      </w:r>
      <w:r w:rsidR="00984FC5" w:rsidRPr="001A48D3">
        <w:t xml:space="preserve">ncome grows in line with </w:t>
      </w:r>
      <w:r w:rsidR="004B7EAD" w:rsidRPr="001A48D3">
        <w:t xml:space="preserve">the </w:t>
      </w:r>
      <w:r w:rsidR="00984FC5" w:rsidRPr="001A48D3">
        <w:t xml:space="preserve">Treasury’s latest Budget statements for short term and </w:t>
      </w:r>
      <w:r w:rsidR="004B7EAD" w:rsidRPr="001A48D3">
        <w:t>the</w:t>
      </w:r>
      <w:r w:rsidR="00984FC5" w:rsidRPr="001A48D3">
        <w:t xml:space="preserve"> Inter-gene</w:t>
      </w:r>
      <w:r w:rsidRPr="001A48D3">
        <w:t>rational report for longer term;</w:t>
      </w:r>
    </w:p>
    <w:p w:rsidR="00984FC5" w:rsidRPr="001A48D3" w:rsidRDefault="00306B4E" w:rsidP="00C4701A">
      <w:pPr>
        <w:numPr>
          <w:ilvl w:val="0"/>
          <w:numId w:val="22"/>
        </w:numPr>
        <w:spacing w:after="120"/>
      </w:pPr>
      <w:r w:rsidRPr="001A48D3">
        <w:t>a</w:t>
      </w:r>
      <w:r w:rsidR="00984FC5" w:rsidRPr="001A48D3">
        <w:t>verage fleet travel behaviour remains roughly the same as now (e.g. cars average about 15000 km per annum), but with overall per capita travel approaching saturation levels with re</w:t>
      </w:r>
      <w:r w:rsidRPr="001A48D3">
        <w:t>spect to average income levels;</w:t>
      </w:r>
    </w:p>
    <w:p w:rsidR="00440F83" w:rsidRPr="001A48D3" w:rsidRDefault="00440F83" w:rsidP="00C4701A">
      <w:pPr>
        <w:numPr>
          <w:ilvl w:val="0"/>
          <w:numId w:val="22"/>
        </w:numPr>
        <w:spacing w:after="120"/>
      </w:pPr>
      <w:r w:rsidRPr="001A48D3">
        <w:t xml:space="preserve">new vehicle sales growth </w:t>
      </w:r>
      <w:r w:rsidR="00290197" w:rsidRPr="001A48D3">
        <w:t xml:space="preserve">(see Table 6) </w:t>
      </w:r>
      <w:r w:rsidRPr="001A48D3">
        <w:t xml:space="preserve">is driven by overall (i.e. economy-wide) travel demand and annual vehicle </w:t>
      </w:r>
      <w:proofErr w:type="spellStart"/>
      <w:r w:rsidRPr="001A48D3">
        <w:t>scrappage</w:t>
      </w:r>
      <w:proofErr w:type="spellEnd"/>
      <w:r w:rsidRPr="001A48D3">
        <w:t xml:space="preserve"> rates</w:t>
      </w:r>
      <w:r w:rsidRPr="001A48D3">
        <w:rPr>
          <w:rStyle w:val="FootnoteReference"/>
        </w:rPr>
        <w:footnoteReference w:id="34"/>
      </w:r>
      <w:r w:rsidRPr="001A48D3">
        <w:t xml:space="preserve">; </w:t>
      </w:r>
    </w:p>
    <w:p w:rsidR="00306B4E" w:rsidRPr="001A48D3" w:rsidRDefault="00306B4E" w:rsidP="00C4701A">
      <w:pPr>
        <w:numPr>
          <w:ilvl w:val="0"/>
          <w:numId w:val="22"/>
        </w:numPr>
        <w:spacing w:after="120"/>
      </w:pPr>
      <w:r w:rsidRPr="001A48D3">
        <w:lastRenderedPageBreak/>
        <w:t>no change to current fuel standards;</w:t>
      </w:r>
    </w:p>
    <w:p w:rsidR="00CA1B08" w:rsidRPr="001A48D3" w:rsidRDefault="00306B4E" w:rsidP="00C4701A">
      <w:pPr>
        <w:numPr>
          <w:ilvl w:val="0"/>
          <w:numId w:val="22"/>
        </w:numPr>
        <w:spacing w:after="120"/>
      </w:pPr>
      <w:r w:rsidRPr="001A48D3">
        <w:t>d</w:t>
      </w:r>
      <w:r w:rsidR="00984FC5" w:rsidRPr="001A48D3">
        <w:t xml:space="preserve">iesel vehicles continue to increase their market share in line with current growth trends, so that they will dominate LCV sales by 2040. They are a major component of SUV sales, but still account for only a small proportion of sedan sales. </w:t>
      </w:r>
      <w:r w:rsidR="00F80FF1" w:rsidRPr="001A48D3">
        <w:t xml:space="preserve"> </w:t>
      </w:r>
      <w:r w:rsidR="00984FC5" w:rsidRPr="001A48D3">
        <w:t>By 2040, diesel vehicles are forecast to achieve an overall market share of about 36</w:t>
      </w:r>
      <w:r w:rsidRPr="001A48D3">
        <w:t>%</w:t>
      </w:r>
      <w:r w:rsidR="00042B3B" w:rsidRPr="001A48D3">
        <w:t xml:space="preserve"> </w:t>
      </w:r>
      <w:r w:rsidRPr="001A48D3">
        <w:t xml:space="preserve">of annual light vehicle sales; </w:t>
      </w:r>
    </w:p>
    <w:p w:rsidR="009F2ED2" w:rsidRPr="001A48D3" w:rsidRDefault="009F2ED2" w:rsidP="00C4701A">
      <w:pPr>
        <w:numPr>
          <w:ilvl w:val="0"/>
          <w:numId w:val="22"/>
        </w:numPr>
        <w:spacing w:after="120"/>
      </w:pPr>
      <w:r w:rsidRPr="001A48D3">
        <w:t xml:space="preserve">hybrids significantly increase market share eventually accounting for 60% of all passenger car sales by 2040; </w:t>
      </w:r>
    </w:p>
    <w:p w:rsidR="00984FC5" w:rsidRPr="001A48D3" w:rsidRDefault="00CA1B08" w:rsidP="00C4701A">
      <w:pPr>
        <w:numPr>
          <w:ilvl w:val="0"/>
          <w:numId w:val="22"/>
        </w:numPr>
        <w:spacing w:after="120"/>
      </w:pPr>
      <w:r w:rsidRPr="001A48D3">
        <w:t xml:space="preserve">minor growth in </w:t>
      </w:r>
      <w:r w:rsidR="009F2ED2" w:rsidRPr="001A48D3">
        <w:t xml:space="preserve">the market share of </w:t>
      </w:r>
      <w:r w:rsidRPr="001A48D3">
        <w:t>direct injection petrol engines</w:t>
      </w:r>
      <w:r w:rsidR="009F2ED2" w:rsidRPr="001A48D3">
        <w:rPr>
          <w:rStyle w:val="FootnoteReference"/>
        </w:rPr>
        <w:footnoteReference w:id="35"/>
      </w:r>
      <w:r w:rsidR="009F2ED2" w:rsidRPr="001A48D3">
        <w:t>, electric vehicles and plug-in hybrid electric vehicles</w:t>
      </w:r>
      <w:r w:rsidRPr="001A48D3">
        <w:t xml:space="preserve">; </w:t>
      </w:r>
      <w:r w:rsidR="00306B4E" w:rsidRPr="001A48D3">
        <w:t>and</w:t>
      </w:r>
    </w:p>
    <w:p w:rsidR="005C0BCB" w:rsidRDefault="00AF01A3" w:rsidP="00361D22">
      <w:pPr>
        <w:numPr>
          <w:ilvl w:val="0"/>
          <w:numId w:val="22"/>
        </w:numPr>
        <w:spacing w:after="120"/>
      </w:pPr>
      <w:r w:rsidRPr="001A48D3">
        <w:t>emissions</w:t>
      </w:r>
      <w:r w:rsidR="00306B4E" w:rsidRPr="001A48D3">
        <w:t xml:space="preserve"> control technologies experience m</w:t>
      </w:r>
      <w:r w:rsidR="00984FC5" w:rsidRPr="001A48D3">
        <w:t>id-range deterioration rates</w:t>
      </w:r>
      <w:r w:rsidR="00306B4E" w:rsidRPr="001A48D3">
        <w:t xml:space="preserve">, </w:t>
      </w:r>
      <w:r w:rsidR="00984FC5" w:rsidRPr="001A48D3">
        <w:t xml:space="preserve">such that most vehicles are still within the standards after about 10 years. </w:t>
      </w:r>
      <w:r w:rsidR="00306B4E" w:rsidRPr="001A48D3">
        <w:t xml:space="preserve"> </w:t>
      </w:r>
      <w:r w:rsidR="00984FC5" w:rsidRPr="001A48D3">
        <w:t xml:space="preserve">A small proportion of the fleet, growing with vehicle age, will be </w:t>
      </w:r>
      <w:r w:rsidR="00306B4E" w:rsidRPr="001A48D3">
        <w:t>high emitters</w:t>
      </w:r>
      <w:r w:rsidR="00984FC5" w:rsidRPr="001A48D3">
        <w:t xml:space="preserve">, accounting for vehicles with poor service records or malfunctioning </w:t>
      </w:r>
      <w:r w:rsidRPr="001A48D3">
        <w:t>emissions</w:t>
      </w:r>
      <w:r w:rsidR="00984FC5" w:rsidRPr="001A48D3">
        <w:t xml:space="preserve"> control</w:t>
      </w:r>
      <w:r w:rsidR="002C5A11" w:rsidRPr="001A48D3">
        <w:t xml:space="preserve"> systems</w:t>
      </w:r>
      <w:r w:rsidR="00984FC5" w:rsidRPr="001A48D3">
        <w:t>.</w:t>
      </w:r>
    </w:p>
    <w:p w:rsidR="0067682F" w:rsidRDefault="0067682F" w:rsidP="00B52F7D">
      <w:pPr>
        <w:spacing w:after="120"/>
        <w:ind w:left="360"/>
      </w:pPr>
    </w:p>
    <w:p w:rsidR="00290197" w:rsidRPr="001A48D3" w:rsidRDefault="00290197" w:rsidP="00B52F7D">
      <w:pPr>
        <w:pStyle w:val="Heading3"/>
      </w:pPr>
      <w:bookmarkStart w:id="61" w:name="_Toc430182521"/>
      <w:r w:rsidRPr="001A48D3">
        <w:t>Table 6</w:t>
      </w:r>
      <w:r w:rsidRPr="001A48D3">
        <w:tab/>
        <w:t>New Vehicle Sales Growth Estimates</w:t>
      </w:r>
      <w:bookmarkEnd w:id="61"/>
      <w:r w:rsidRPr="001A48D3">
        <w:t xml:space="preserve"> </w:t>
      </w:r>
    </w:p>
    <w:tbl>
      <w:tblPr>
        <w:tblW w:w="0" w:type="auto"/>
        <w:tblInd w:w="534" w:type="dxa"/>
        <w:tblLook w:val="0020" w:firstRow="1" w:lastRow="0" w:firstColumn="0" w:lastColumn="0" w:noHBand="0" w:noVBand="0"/>
      </w:tblPr>
      <w:tblGrid>
        <w:gridCol w:w="1559"/>
        <w:gridCol w:w="1701"/>
        <w:gridCol w:w="1843"/>
        <w:gridCol w:w="1984"/>
      </w:tblGrid>
      <w:tr w:rsidR="00290197" w:rsidRPr="001A48D3" w:rsidTr="00153F3E">
        <w:trPr>
          <w:trHeight w:val="283"/>
          <w:tblHeader/>
        </w:trPr>
        <w:tc>
          <w:tcPr>
            <w:tcW w:w="1559" w:type="dxa"/>
            <w:tcBorders>
              <w:top w:val="single" w:sz="6" w:space="0" w:color="auto"/>
              <w:left w:val="single" w:sz="6" w:space="0" w:color="auto"/>
              <w:right w:val="single" w:sz="6" w:space="0" w:color="auto"/>
            </w:tcBorders>
            <w:shd w:val="clear" w:color="auto" w:fill="FFC000"/>
          </w:tcPr>
          <w:p w:rsidR="00290197" w:rsidRPr="001A48D3" w:rsidRDefault="00290197" w:rsidP="00C4701A">
            <w:pPr>
              <w:autoSpaceDE w:val="0"/>
              <w:autoSpaceDN w:val="0"/>
              <w:adjustRightInd w:val="0"/>
              <w:spacing w:before="120" w:after="120"/>
              <w:jc w:val="center"/>
              <w:rPr>
                <w:rFonts w:cs="Calibri"/>
                <w:b/>
                <w:color w:val="000000"/>
                <w:sz w:val="22"/>
                <w:szCs w:val="22"/>
              </w:rPr>
            </w:pPr>
            <w:r w:rsidRPr="001A48D3">
              <w:rPr>
                <w:rFonts w:cs="Calibri"/>
                <w:b/>
                <w:color w:val="000000"/>
                <w:sz w:val="22"/>
                <w:szCs w:val="22"/>
              </w:rPr>
              <w:t>Year</w:t>
            </w:r>
          </w:p>
        </w:tc>
        <w:tc>
          <w:tcPr>
            <w:tcW w:w="5528" w:type="dxa"/>
            <w:gridSpan w:val="3"/>
            <w:tcBorders>
              <w:top w:val="single" w:sz="6" w:space="0" w:color="auto"/>
              <w:left w:val="single" w:sz="6" w:space="0" w:color="auto"/>
              <w:bottom w:val="single" w:sz="2" w:space="0" w:color="000000"/>
              <w:right w:val="single" w:sz="6" w:space="0" w:color="auto"/>
            </w:tcBorders>
            <w:shd w:val="clear" w:color="auto" w:fill="FFC000"/>
          </w:tcPr>
          <w:p w:rsidR="00290197" w:rsidRPr="001A48D3" w:rsidRDefault="00290197" w:rsidP="00C4701A">
            <w:pPr>
              <w:autoSpaceDE w:val="0"/>
              <w:autoSpaceDN w:val="0"/>
              <w:adjustRightInd w:val="0"/>
              <w:spacing w:before="120" w:after="120"/>
              <w:jc w:val="center"/>
              <w:rPr>
                <w:rFonts w:cs="Calibri"/>
                <w:b/>
                <w:color w:val="000000"/>
                <w:sz w:val="22"/>
                <w:szCs w:val="22"/>
              </w:rPr>
            </w:pPr>
            <w:r w:rsidRPr="001A48D3">
              <w:rPr>
                <w:rFonts w:cs="Calibri"/>
                <w:b/>
                <w:color w:val="000000"/>
                <w:sz w:val="22"/>
                <w:szCs w:val="22"/>
              </w:rPr>
              <w:t>New Vehicle Sales</w:t>
            </w:r>
            <w:r w:rsidRPr="001A48D3">
              <w:rPr>
                <w:rFonts w:cs="Calibri"/>
                <w:b/>
                <w:color w:val="000000"/>
                <w:sz w:val="22"/>
              </w:rPr>
              <w:t xml:space="preserve"> (‘000)</w:t>
            </w:r>
          </w:p>
        </w:tc>
      </w:tr>
      <w:tr w:rsidR="00290197" w:rsidRPr="001A48D3" w:rsidTr="00153F3E">
        <w:trPr>
          <w:trHeight w:val="283"/>
          <w:tblHeader/>
        </w:trPr>
        <w:tc>
          <w:tcPr>
            <w:tcW w:w="1559" w:type="dxa"/>
            <w:tcBorders>
              <w:left w:val="single" w:sz="6" w:space="0" w:color="auto"/>
              <w:bottom w:val="single" w:sz="6" w:space="0" w:color="auto"/>
              <w:right w:val="single" w:sz="6" w:space="0" w:color="auto"/>
            </w:tcBorders>
            <w:shd w:val="clear" w:color="auto" w:fill="FFC000"/>
          </w:tcPr>
          <w:p w:rsidR="00290197" w:rsidRPr="001A48D3" w:rsidRDefault="00290197" w:rsidP="00C4701A">
            <w:pPr>
              <w:autoSpaceDE w:val="0"/>
              <w:autoSpaceDN w:val="0"/>
              <w:adjustRightInd w:val="0"/>
              <w:spacing w:before="120" w:after="120"/>
              <w:jc w:val="center"/>
              <w:rPr>
                <w:rFonts w:cs="Calibri"/>
                <w:b/>
                <w:color w:val="000000"/>
                <w:sz w:val="22"/>
                <w:szCs w:val="22"/>
              </w:rPr>
            </w:pPr>
          </w:p>
        </w:tc>
        <w:tc>
          <w:tcPr>
            <w:tcW w:w="1701" w:type="dxa"/>
            <w:tcBorders>
              <w:top w:val="single" w:sz="6" w:space="0" w:color="auto"/>
              <w:left w:val="single" w:sz="6" w:space="0" w:color="auto"/>
              <w:bottom w:val="single" w:sz="2" w:space="0" w:color="000000"/>
              <w:right w:val="single" w:sz="2" w:space="0" w:color="000000"/>
            </w:tcBorders>
            <w:shd w:val="clear" w:color="auto" w:fill="FFC000"/>
          </w:tcPr>
          <w:p w:rsidR="00290197" w:rsidRPr="001A48D3" w:rsidRDefault="00290197" w:rsidP="00C4701A">
            <w:pPr>
              <w:autoSpaceDE w:val="0"/>
              <w:autoSpaceDN w:val="0"/>
              <w:adjustRightInd w:val="0"/>
              <w:spacing w:before="120" w:after="120"/>
              <w:jc w:val="center"/>
              <w:rPr>
                <w:rFonts w:cs="Calibri"/>
                <w:b/>
                <w:color w:val="000000"/>
                <w:sz w:val="22"/>
                <w:szCs w:val="22"/>
              </w:rPr>
            </w:pPr>
            <w:r w:rsidRPr="001A48D3">
              <w:rPr>
                <w:rFonts w:cs="Calibri"/>
                <w:b/>
                <w:color w:val="000000"/>
                <w:sz w:val="22"/>
                <w:szCs w:val="22"/>
              </w:rPr>
              <w:t>Diesel</w:t>
            </w:r>
          </w:p>
        </w:tc>
        <w:tc>
          <w:tcPr>
            <w:tcW w:w="1843" w:type="dxa"/>
            <w:tcBorders>
              <w:top w:val="single" w:sz="6" w:space="0" w:color="auto"/>
              <w:left w:val="single" w:sz="2" w:space="0" w:color="000000"/>
              <w:bottom w:val="single" w:sz="2" w:space="0" w:color="000000"/>
              <w:right w:val="single" w:sz="2" w:space="0" w:color="000000"/>
            </w:tcBorders>
            <w:shd w:val="clear" w:color="auto" w:fill="FFC000"/>
          </w:tcPr>
          <w:p w:rsidR="00290197" w:rsidRPr="001A48D3" w:rsidRDefault="00290197" w:rsidP="00C4701A">
            <w:pPr>
              <w:autoSpaceDE w:val="0"/>
              <w:autoSpaceDN w:val="0"/>
              <w:adjustRightInd w:val="0"/>
              <w:spacing w:before="120" w:after="120"/>
              <w:jc w:val="center"/>
              <w:rPr>
                <w:rFonts w:cs="Calibri"/>
                <w:b/>
                <w:color w:val="000000"/>
                <w:sz w:val="22"/>
                <w:szCs w:val="22"/>
              </w:rPr>
            </w:pPr>
            <w:r w:rsidRPr="001A48D3">
              <w:rPr>
                <w:rFonts w:cs="Calibri"/>
                <w:b/>
                <w:color w:val="000000"/>
                <w:sz w:val="22"/>
                <w:szCs w:val="22"/>
              </w:rPr>
              <w:t>Petrol &amp; LPG</w:t>
            </w:r>
          </w:p>
        </w:tc>
        <w:tc>
          <w:tcPr>
            <w:tcW w:w="1984" w:type="dxa"/>
            <w:tcBorders>
              <w:top w:val="single" w:sz="6" w:space="0" w:color="auto"/>
              <w:left w:val="single" w:sz="2" w:space="0" w:color="000000"/>
              <w:bottom w:val="single" w:sz="2" w:space="0" w:color="000000"/>
              <w:right w:val="single" w:sz="6" w:space="0" w:color="auto"/>
            </w:tcBorders>
            <w:shd w:val="clear" w:color="auto" w:fill="FFC000"/>
          </w:tcPr>
          <w:p w:rsidR="00290197" w:rsidRPr="001A48D3" w:rsidRDefault="00290197" w:rsidP="00C4701A">
            <w:pPr>
              <w:autoSpaceDE w:val="0"/>
              <w:autoSpaceDN w:val="0"/>
              <w:adjustRightInd w:val="0"/>
              <w:spacing w:before="120" w:after="120"/>
              <w:jc w:val="center"/>
              <w:rPr>
                <w:rFonts w:cs="Calibri"/>
                <w:b/>
                <w:color w:val="000000"/>
                <w:sz w:val="22"/>
                <w:szCs w:val="22"/>
              </w:rPr>
            </w:pPr>
            <w:r w:rsidRPr="001A48D3">
              <w:rPr>
                <w:rFonts w:cs="Calibri"/>
                <w:b/>
                <w:color w:val="000000"/>
                <w:sz w:val="22"/>
                <w:szCs w:val="22"/>
              </w:rPr>
              <w:t>Total</w:t>
            </w:r>
          </w:p>
        </w:tc>
      </w:tr>
      <w:tr w:rsidR="00290197" w:rsidRPr="001A48D3" w:rsidTr="00153F3E">
        <w:trPr>
          <w:trHeight w:val="283"/>
        </w:trPr>
        <w:tc>
          <w:tcPr>
            <w:tcW w:w="1559" w:type="dxa"/>
            <w:tcBorders>
              <w:top w:val="single" w:sz="6" w:space="0" w:color="auto"/>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2009</w:t>
            </w:r>
          </w:p>
        </w:tc>
        <w:tc>
          <w:tcPr>
            <w:tcW w:w="1701" w:type="dxa"/>
            <w:tcBorders>
              <w:top w:val="single" w:sz="6" w:space="0" w:color="auto"/>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210</w:t>
            </w:r>
          </w:p>
        </w:tc>
        <w:tc>
          <w:tcPr>
            <w:tcW w:w="1843" w:type="dxa"/>
            <w:tcBorders>
              <w:top w:val="single" w:sz="6" w:space="0" w:color="auto"/>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683</w:t>
            </w:r>
          </w:p>
        </w:tc>
        <w:tc>
          <w:tcPr>
            <w:tcW w:w="1984" w:type="dxa"/>
            <w:tcBorders>
              <w:top w:val="single" w:sz="6" w:space="0" w:color="auto"/>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893</w:t>
            </w:r>
          </w:p>
        </w:tc>
      </w:tr>
      <w:tr w:rsidR="00290197" w:rsidRPr="001A48D3" w:rsidTr="00153F3E">
        <w:trPr>
          <w:trHeight w:val="28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2010</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222</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693</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915</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2011</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238</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720</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958</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2012</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257</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763</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1020</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2013</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267</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762</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1029</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2014</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278</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761</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1039</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2015</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289</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761</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1050</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2016</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300</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760</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1060</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2017</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312</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759</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1071</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lastRenderedPageBreak/>
              <w:t>2018</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323</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758</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1082</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2019</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335</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758</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1092</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2020</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346</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757</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1103</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2021</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355</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759</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1114</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2022</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364</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761</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1126</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2023</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374</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763</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1137</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2024</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384</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765</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1148</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2025</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393</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767</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1160</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2026</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402</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767</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1168</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2027</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409</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768</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1177</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2028</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416</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770</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1186</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2029</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422</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773</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1195</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2030</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426</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778</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1204</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2031</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430</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783</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1213</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2032</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434</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788</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1222</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2033</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438</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793</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1231</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2034</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442</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797</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1239</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2035</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445</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801</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1246</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2036</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449</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805</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1253</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2037</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452</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809</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1261</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2038</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456</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812</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1268</w:t>
            </w:r>
          </w:p>
        </w:tc>
      </w:tr>
      <w:tr w:rsidR="00290197" w:rsidRPr="001A48D3" w:rsidTr="00153F3E">
        <w:trPr>
          <w:trHeight w:val="293"/>
        </w:trPr>
        <w:tc>
          <w:tcPr>
            <w:tcW w:w="1559" w:type="dxa"/>
            <w:tcBorders>
              <w:top w:val="single" w:sz="2" w:space="0" w:color="000000"/>
              <w:left w:val="single" w:sz="6" w:space="0" w:color="auto"/>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2039</w:t>
            </w:r>
          </w:p>
        </w:tc>
        <w:tc>
          <w:tcPr>
            <w:tcW w:w="1701" w:type="dxa"/>
            <w:tcBorders>
              <w:top w:val="single" w:sz="2" w:space="0" w:color="000000"/>
              <w:left w:val="single" w:sz="6" w:space="0" w:color="auto"/>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459</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816</w:t>
            </w:r>
          </w:p>
        </w:tc>
        <w:tc>
          <w:tcPr>
            <w:tcW w:w="1984" w:type="dxa"/>
            <w:tcBorders>
              <w:top w:val="single" w:sz="2" w:space="0" w:color="000000"/>
              <w:left w:val="single" w:sz="2" w:space="0" w:color="000000"/>
              <w:bottom w:val="single" w:sz="2" w:space="0" w:color="000000"/>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1276</w:t>
            </w:r>
          </w:p>
        </w:tc>
      </w:tr>
      <w:tr w:rsidR="00290197" w:rsidRPr="001A48D3" w:rsidTr="00153F3E">
        <w:trPr>
          <w:trHeight w:val="283"/>
        </w:trPr>
        <w:tc>
          <w:tcPr>
            <w:tcW w:w="1559" w:type="dxa"/>
            <w:tcBorders>
              <w:top w:val="single" w:sz="2" w:space="0" w:color="000000"/>
              <w:left w:val="single" w:sz="6" w:space="0" w:color="auto"/>
              <w:bottom w:val="single" w:sz="6" w:space="0" w:color="auto"/>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2040</w:t>
            </w:r>
          </w:p>
        </w:tc>
        <w:tc>
          <w:tcPr>
            <w:tcW w:w="1701" w:type="dxa"/>
            <w:tcBorders>
              <w:top w:val="single" w:sz="2" w:space="0" w:color="000000"/>
              <w:left w:val="single" w:sz="6" w:space="0" w:color="auto"/>
              <w:bottom w:val="single" w:sz="6" w:space="0" w:color="auto"/>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463</w:t>
            </w:r>
          </w:p>
        </w:tc>
        <w:tc>
          <w:tcPr>
            <w:tcW w:w="1843" w:type="dxa"/>
            <w:tcBorders>
              <w:top w:val="single" w:sz="2" w:space="0" w:color="000000"/>
              <w:left w:val="single" w:sz="2" w:space="0" w:color="000000"/>
              <w:bottom w:val="single" w:sz="6" w:space="0" w:color="auto"/>
              <w:right w:val="single" w:sz="2" w:space="0" w:color="000000"/>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820</w:t>
            </w:r>
          </w:p>
        </w:tc>
        <w:tc>
          <w:tcPr>
            <w:tcW w:w="1984" w:type="dxa"/>
            <w:tcBorders>
              <w:top w:val="single" w:sz="2" w:space="0" w:color="000000"/>
              <w:left w:val="single" w:sz="2" w:space="0" w:color="000000"/>
              <w:bottom w:val="single" w:sz="6" w:space="0" w:color="auto"/>
              <w:right w:val="single" w:sz="6" w:space="0" w:color="auto"/>
            </w:tcBorders>
            <w:shd w:val="solid" w:color="FFFFFF" w:fill="auto"/>
          </w:tcPr>
          <w:p w:rsidR="00290197" w:rsidRPr="001A48D3" w:rsidRDefault="00290197"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1283</w:t>
            </w:r>
          </w:p>
        </w:tc>
      </w:tr>
    </w:tbl>
    <w:p w:rsidR="00290197" w:rsidRPr="001A48D3" w:rsidRDefault="00290197" w:rsidP="00B52F7D">
      <w:pPr>
        <w:spacing w:after="120"/>
      </w:pPr>
    </w:p>
    <w:p w:rsidR="0061435C" w:rsidRPr="001A48D3" w:rsidRDefault="00BB5EEA" w:rsidP="00361D22">
      <w:pPr>
        <w:spacing w:after="120"/>
        <w:rPr>
          <w:sz w:val="18"/>
          <w:szCs w:val="18"/>
        </w:rPr>
      </w:pPr>
      <w:r w:rsidRPr="001A48D3">
        <w:rPr>
          <w:sz w:val="18"/>
          <w:szCs w:val="18"/>
        </w:rPr>
        <w:t>Source:</w:t>
      </w:r>
      <w:r w:rsidRPr="001A48D3">
        <w:rPr>
          <w:sz w:val="18"/>
          <w:szCs w:val="18"/>
        </w:rPr>
        <w:tab/>
        <w:t>BITRE Estimates (2009)</w:t>
      </w:r>
    </w:p>
    <w:p w:rsidR="00BB5EEA" w:rsidRPr="001A48D3" w:rsidRDefault="00BB5EEA" w:rsidP="00B52F7D">
      <w:pPr>
        <w:spacing w:after="120"/>
      </w:pPr>
    </w:p>
    <w:p w:rsidR="006347F5" w:rsidRPr="001A48D3" w:rsidRDefault="0038029F" w:rsidP="00C4701A">
      <w:pPr>
        <w:spacing w:after="120"/>
      </w:pPr>
      <w:r w:rsidRPr="001A48D3">
        <w:t xml:space="preserve">The FCAI, and one vehicle manufacturer, questioned </w:t>
      </w:r>
      <w:r w:rsidR="00E639AD" w:rsidRPr="001A48D3">
        <w:t xml:space="preserve">some of </w:t>
      </w:r>
      <w:r w:rsidRPr="001A48D3">
        <w:t xml:space="preserve">the base case assumptions arguing that “significant numbers of alternatively fuelled vehicles [are] expected to enter the Australian new car market in the time period considered in the cost benefit analysis”.  The FCAI also states that “...companies have targets for worldwide production of electric vehicles or hybrids in the order of 20% production by 2020. </w:t>
      </w:r>
      <w:r w:rsidR="006347F5" w:rsidRPr="001A48D3">
        <w:t xml:space="preserve"> </w:t>
      </w:r>
      <w:r w:rsidRPr="001A48D3">
        <w:t xml:space="preserve">The draft RIS does not test for scenarios where electric vehicles or hybrid vehicles are sold in these quantities”. </w:t>
      </w:r>
    </w:p>
    <w:p w:rsidR="006347F5" w:rsidRPr="001A48D3" w:rsidRDefault="006347F5" w:rsidP="00C4701A">
      <w:pPr>
        <w:spacing w:after="120"/>
      </w:pPr>
      <w:r w:rsidRPr="001A48D3">
        <w:lastRenderedPageBreak/>
        <w:t>In response to these comments, t</w:t>
      </w:r>
      <w:r w:rsidR="0038029F" w:rsidRPr="001A48D3">
        <w:t xml:space="preserve">he BITRE </w:t>
      </w:r>
      <w:r w:rsidRPr="001A48D3">
        <w:t>notes that (as set out above), the base case for the RIS was a ‘business-as-usual’ scenario – incorporating stable real oil prices and continuing economic growth – which provides little incentive to move to (relatively costly) alternative fuels or propulsion technologies.  In relation to the comment on electric vehicles and hybrids, the BITRE acknowledges that the base case  scenario does not have any significant penetration of plug-ins or electric vehicles (since only marginal sales of such expensive technology would be expected under stable fuel prices).  However, it does assume reasonably strong increases in hybrid penetration rates – with current sales volumes growing well over twenty-fold by 2020; and with penetration rates continuing to grow strongly thereafter, eventually accounting for 60% of all car sales by the end of the projection period.  It also needs to be recognised that from the noxious emissions perspective, hybrids do not necessarily deliver a lower emissions outcome than conventional petrol vehicles.</w:t>
      </w:r>
    </w:p>
    <w:p w:rsidR="001B4BEB" w:rsidRPr="001A48D3" w:rsidRDefault="009C0A05" w:rsidP="00C4701A">
      <w:pPr>
        <w:spacing w:after="120"/>
      </w:pPr>
      <w:r w:rsidRPr="001A48D3">
        <w:t>One vehicle manufacturer also question the vehicle kilometres travelled (VKT) assumptions used in the BITRE analysis</w:t>
      </w:r>
      <w:r w:rsidR="001B4BEB" w:rsidRPr="001A48D3">
        <w:t>, arguing that the estimate is too high and that they do not reflect publicly available data and should be made available for scrutiny</w:t>
      </w:r>
      <w:r w:rsidRPr="001A48D3">
        <w:t xml:space="preserve">.  A detailed response to the </w:t>
      </w:r>
      <w:r w:rsidR="001B4BEB" w:rsidRPr="001A48D3">
        <w:t xml:space="preserve">comments is at Appendix D to this RIS.  </w:t>
      </w:r>
    </w:p>
    <w:p w:rsidR="00A7361E" w:rsidRPr="001A48D3" w:rsidRDefault="001B4BEB" w:rsidP="00C4701A">
      <w:pPr>
        <w:spacing w:after="120"/>
      </w:pPr>
      <w:r w:rsidRPr="001A48D3">
        <w:t xml:space="preserve">However in broad terms, the BITRE advises that its VKT projections are relatively conservative, especially when considered alongside expected strong population growth over the medium-term (e.g. as displayed in recent ABS projections), and are comparable to recent historical trends (where growth rates in light vehicle fleet VKT have averaged about 1.8% per annum over the last couple of decades, even with high fuel prices and low economic growth serving to weaken VKT growth over the last few years).  In addition, BITRE vehicle fleet dynamics models are fully consistent with the distributions contained within the ABS Survey of Motor Vehicle Use (SMVU) datasets – since the SMVU is one of the main data sources against which the BITRE projection models are calibrated.   Though the ABS SMVU is practically </w:t>
      </w:r>
      <w:proofErr w:type="spellStart"/>
      <w:r w:rsidRPr="001A48D3">
        <w:t>indispensible</w:t>
      </w:r>
      <w:proofErr w:type="spellEnd"/>
      <w:r w:rsidRPr="001A48D3">
        <w:t xml:space="preserve"> for many transport analysis tasks – and remains the best source for detailed VKT patterns or sectoral distributions – the best ‘publicly available data’</w:t>
      </w:r>
      <w:r w:rsidRPr="001A48D3">
        <w:rPr>
          <w:szCs w:val="24"/>
        </w:rPr>
        <w:t xml:space="preserve"> on aggregate Australian VKT values are actually the consistent (or ‘standardised’) time-series estimates from BITRE.  D</w:t>
      </w:r>
      <w:r w:rsidRPr="001A48D3">
        <w:t>escriptions and methodological details of BITRE vehicle fleet models are all publicly available (see references in Appendix D)</w:t>
      </w:r>
      <w:r w:rsidR="00B74CF6" w:rsidRPr="001A48D3">
        <w:t>.</w:t>
      </w:r>
      <w:r w:rsidR="00B74CF6" w:rsidRPr="001A48D3" w:rsidDel="00B74CF6">
        <w:t xml:space="preserve"> </w:t>
      </w:r>
    </w:p>
    <w:p w:rsidR="00CD0874" w:rsidRPr="001A48D3" w:rsidRDefault="00F80FF1" w:rsidP="00C4701A">
      <w:pPr>
        <w:spacing w:after="120"/>
      </w:pPr>
      <w:r w:rsidRPr="001A48D3">
        <w:t xml:space="preserve">The only difference between </w:t>
      </w:r>
      <w:r w:rsidR="00CD0874" w:rsidRPr="001A48D3">
        <w:t xml:space="preserve">Option 3 </w:t>
      </w:r>
      <w:r w:rsidRPr="001A48D3">
        <w:t xml:space="preserve">and Option 2, is a one year delay in </w:t>
      </w:r>
      <w:r w:rsidR="00CD0874" w:rsidRPr="001A48D3">
        <w:t xml:space="preserve">the introduction of petrol and LPG vehicle standards, so not unexpectedly, the BITRE analysis indicates that Option 3 delivers almost identical emissions outcomes to Option 2 over the analysis period.  Consequently, the values for Option 2 displayed in the charts below can be considered to </w:t>
      </w:r>
      <w:r w:rsidR="004B7EAD" w:rsidRPr="001A48D3">
        <w:t>mirror</w:t>
      </w:r>
      <w:r w:rsidR="00CD0874" w:rsidRPr="001A48D3">
        <w:t xml:space="preserve"> the </w:t>
      </w:r>
      <w:r w:rsidR="00266203" w:rsidRPr="001A48D3">
        <w:t xml:space="preserve">expected </w:t>
      </w:r>
      <w:r w:rsidR="00CD0874" w:rsidRPr="001A48D3">
        <w:t>outcomes from Option 3.</w:t>
      </w:r>
      <w:r w:rsidR="00866471" w:rsidRPr="001A48D3">
        <w:t xml:space="preserve">  </w:t>
      </w:r>
    </w:p>
    <w:p w:rsidR="00CD0874" w:rsidRPr="001A48D3" w:rsidRDefault="00CD0874" w:rsidP="00C4701A">
      <w:pPr>
        <w:spacing w:after="120"/>
      </w:pPr>
      <w:r w:rsidRPr="001A48D3">
        <w:t xml:space="preserve">As indicated in Figure </w:t>
      </w:r>
      <w:r w:rsidR="00244954" w:rsidRPr="001A48D3">
        <w:t>5</w:t>
      </w:r>
      <w:r w:rsidRPr="001A48D3">
        <w:t xml:space="preserve">, the BITRE analysis indicates that introduction of Euro 5/6 emissions standards for light vehicles would begin to deliver net emissions reductions in total NOx emissions in the light vehicle fleet from about 2015 and in the longer term result in a significant reduction in total </w:t>
      </w:r>
      <w:r w:rsidR="00266203" w:rsidRPr="001A48D3">
        <w:t xml:space="preserve">annual </w:t>
      </w:r>
      <w:r w:rsidRPr="001A48D3">
        <w:t xml:space="preserve">emissions - 53% lower in 2040 relative to Option 1 (no change).  </w:t>
      </w:r>
    </w:p>
    <w:p w:rsidR="000A75BE" w:rsidRPr="001A48D3" w:rsidRDefault="000A75BE" w:rsidP="00C4701A">
      <w:pPr>
        <w:spacing w:afterLines="80" w:after="192"/>
        <w:rPr>
          <w:sz w:val="22"/>
          <w:szCs w:val="22"/>
        </w:rPr>
      </w:pPr>
    </w:p>
    <w:p w:rsidR="00272B33" w:rsidRPr="001A48D3" w:rsidRDefault="00836FFF" w:rsidP="00C4701A">
      <w:pPr>
        <w:spacing w:afterLines="80" w:after="192"/>
        <w:rPr>
          <w:sz w:val="22"/>
          <w:szCs w:val="22"/>
        </w:rPr>
      </w:pPr>
      <w:r>
        <w:rPr>
          <w:noProof/>
          <w:szCs w:val="22"/>
        </w:rPr>
        <w:lastRenderedPageBreak/>
        <w:drawing>
          <wp:inline distT="0" distB="0" distL="0" distR="0" wp14:anchorId="1439F0DD" wp14:editId="0DD9FA92">
            <wp:extent cx="5153025" cy="4248150"/>
            <wp:effectExtent l="0" t="0" r="9525" b="0"/>
            <wp:docPr id="5" name="Picture 5" descr="The diagram is a technical diagram. If you are unable to view this image, please contact the Department of Infrastructure &amp; Regional Development for a hard copy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diagram is a technical diagram. If you are unable to view this image, please contact the Department of Infrastructure &amp; Regional Development for a hard copy of this docu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3025" cy="4248150"/>
                    </a:xfrm>
                    <a:prstGeom prst="rect">
                      <a:avLst/>
                    </a:prstGeom>
                    <a:noFill/>
                    <a:ln>
                      <a:noFill/>
                    </a:ln>
                  </pic:spPr>
                </pic:pic>
              </a:graphicData>
            </a:graphic>
          </wp:inline>
        </w:drawing>
      </w:r>
    </w:p>
    <w:p w:rsidR="00555FDA" w:rsidRPr="001A48D3" w:rsidRDefault="00555FDA" w:rsidP="00C4701A">
      <w:pPr>
        <w:spacing w:afterLines="80" w:after="192"/>
        <w:rPr>
          <w:sz w:val="18"/>
          <w:szCs w:val="18"/>
        </w:rPr>
      </w:pPr>
      <w:r w:rsidRPr="001A48D3">
        <w:rPr>
          <w:sz w:val="18"/>
          <w:szCs w:val="18"/>
        </w:rPr>
        <w:t>Source:</w:t>
      </w:r>
      <w:r w:rsidRPr="001A48D3">
        <w:rPr>
          <w:sz w:val="18"/>
          <w:szCs w:val="18"/>
        </w:rPr>
        <w:tab/>
        <w:t>BITRE Estimates (2009)</w:t>
      </w:r>
    </w:p>
    <w:p w:rsidR="004158B5" w:rsidRPr="001A48D3" w:rsidRDefault="004158B5" w:rsidP="00B52F7D">
      <w:pPr>
        <w:pStyle w:val="Heading3"/>
      </w:pPr>
      <w:bookmarkStart w:id="62" w:name="_Toc430182522"/>
      <w:r w:rsidRPr="001A48D3">
        <w:t xml:space="preserve">Figure </w:t>
      </w:r>
      <w:r w:rsidR="00244954" w:rsidRPr="001A48D3">
        <w:t>5</w:t>
      </w:r>
      <w:r w:rsidRPr="001A48D3">
        <w:tab/>
        <w:t xml:space="preserve">Projected </w:t>
      </w:r>
      <w:r w:rsidR="00143CBA" w:rsidRPr="001A48D3">
        <w:t>Impact on</w:t>
      </w:r>
      <w:r w:rsidRPr="001A48D3">
        <w:t xml:space="preserve"> NOx Emissions </w:t>
      </w:r>
      <w:r w:rsidR="00143CBA" w:rsidRPr="001A48D3">
        <w:t>of</w:t>
      </w:r>
      <w:r w:rsidRPr="001A48D3">
        <w:t xml:space="preserve"> the Light Vehicle Fleet from the Introduction of Euro 5/6 </w:t>
      </w:r>
      <w:r w:rsidR="00AF01A3" w:rsidRPr="001A48D3">
        <w:t>Emissions</w:t>
      </w:r>
      <w:r w:rsidRPr="001A48D3">
        <w:t xml:space="preserve"> Standards</w:t>
      </w:r>
      <w:bookmarkEnd w:id="62"/>
      <w:r w:rsidRPr="001A48D3">
        <w:t xml:space="preserve"> </w:t>
      </w:r>
    </w:p>
    <w:p w:rsidR="009C50EC" w:rsidRPr="001A48D3" w:rsidRDefault="009C50EC" w:rsidP="00C4701A">
      <w:pPr>
        <w:spacing w:afterLines="80" w:after="192"/>
        <w:rPr>
          <w:sz w:val="22"/>
          <w:szCs w:val="22"/>
        </w:rPr>
      </w:pPr>
    </w:p>
    <w:p w:rsidR="00CD0874" w:rsidRPr="001A48D3" w:rsidRDefault="00CD0874" w:rsidP="00C4701A">
      <w:pPr>
        <w:spacing w:after="120"/>
      </w:pPr>
      <w:r w:rsidRPr="001A48D3">
        <w:t xml:space="preserve">Figure </w:t>
      </w:r>
      <w:r w:rsidR="00244954" w:rsidRPr="001A48D3">
        <w:t>6</w:t>
      </w:r>
      <w:r w:rsidRPr="001A48D3">
        <w:t xml:space="preserve"> also indicates net reductions in PM emissions from the introduction of the standards from around the same time frame, but over the longer term the magnitude of the reductions is much more significant - 78% lower in 2040 re</w:t>
      </w:r>
      <w:r w:rsidR="004C28A3" w:rsidRPr="001A48D3">
        <w:t>lative to Option 1 (no change).</w:t>
      </w:r>
      <w:r w:rsidRPr="001A48D3">
        <w:t xml:space="preserve">  In addition, the PM reductions from the introduction </w:t>
      </w:r>
      <w:r w:rsidR="006E31B3" w:rsidRPr="001A48D3">
        <w:t xml:space="preserve">of the </w:t>
      </w:r>
      <w:r w:rsidRPr="001A48D3">
        <w:t xml:space="preserve">standards would be delivered against an otherwise steeply rising trend predicted in the absence of any new standards.  </w:t>
      </w:r>
    </w:p>
    <w:p w:rsidR="00CD0874" w:rsidRPr="001A48D3" w:rsidRDefault="00CD0874" w:rsidP="00C4701A">
      <w:pPr>
        <w:spacing w:afterLines="80" w:after="192"/>
        <w:rPr>
          <w:sz w:val="22"/>
          <w:szCs w:val="22"/>
        </w:rPr>
      </w:pPr>
    </w:p>
    <w:p w:rsidR="00CC0CEE" w:rsidRPr="001A48D3" w:rsidRDefault="00CC0CEE" w:rsidP="00C4701A">
      <w:pPr>
        <w:spacing w:afterLines="80" w:after="192"/>
        <w:rPr>
          <w:szCs w:val="22"/>
        </w:rPr>
      </w:pPr>
    </w:p>
    <w:p w:rsidR="00CC0CEE" w:rsidRPr="001A48D3" w:rsidRDefault="00CC0CEE" w:rsidP="00C4701A">
      <w:pPr>
        <w:spacing w:afterLines="80" w:after="192"/>
        <w:rPr>
          <w:szCs w:val="22"/>
        </w:rPr>
      </w:pPr>
    </w:p>
    <w:p w:rsidR="00CC0CEE" w:rsidRPr="001A48D3" w:rsidRDefault="00CC0CEE" w:rsidP="00C4701A">
      <w:pPr>
        <w:spacing w:afterLines="80" w:after="192"/>
        <w:rPr>
          <w:szCs w:val="22"/>
        </w:rPr>
      </w:pPr>
    </w:p>
    <w:p w:rsidR="00CC0CEE" w:rsidRPr="001A48D3" w:rsidRDefault="00CC0CEE" w:rsidP="00C4701A">
      <w:pPr>
        <w:spacing w:afterLines="80" w:after="192"/>
        <w:rPr>
          <w:szCs w:val="22"/>
        </w:rPr>
      </w:pPr>
    </w:p>
    <w:p w:rsidR="00CC0CEE" w:rsidRPr="001A48D3" w:rsidRDefault="00CC0CEE" w:rsidP="00C4701A">
      <w:pPr>
        <w:spacing w:afterLines="80" w:after="192"/>
        <w:rPr>
          <w:szCs w:val="22"/>
        </w:rPr>
      </w:pPr>
    </w:p>
    <w:p w:rsidR="000A75BE" w:rsidRPr="001A48D3" w:rsidRDefault="00836FFF" w:rsidP="00C4701A">
      <w:pPr>
        <w:spacing w:afterLines="80" w:after="192"/>
        <w:rPr>
          <w:sz w:val="22"/>
          <w:szCs w:val="22"/>
        </w:rPr>
      </w:pPr>
      <w:r>
        <w:rPr>
          <w:noProof/>
          <w:szCs w:val="22"/>
        </w:rPr>
        <w:lastRenderedPageBreak/>
        <w:drawing>
          <wp:inline distT="0" distB="0" distL="0" distR="0" wp14:anchorId="11518A62" wp14:editId="00368695">
            <wp:extent cx="5153025" cy="4248150"/>
            <wp:effectExtent l="0" t="0" r="9525" b="0"/>
            <wp:docPr id="6" name="Picture 6" descr="The diagram is a technical diagram. If you are unable to view this image, please contact the Department of Infrastructure &amp; Regional Development for a hard copy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diagram is a technical diagram. If you are unable to view this image, please contact the Department of Infrastructure &amp; Regional Development for a hard copy of this docu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3025" cy="4248150"/>
                    </a:xfrm>
                    <a:prstGeom prst="rect">
                      <a:avLst/>
                    </a:prstGeom>
                    <a:noFill/>
                    <a:ln>
                      <a:noFill/>
                    </a:ln>
                  </pic:spPr>
                </pic:pic>
              </a:graphicData>
            </a:graphic>
          </wp:inline>
        </w:drawing>
      </w:r>
    </w:p>
    <w:p w:rsidR="00555FDA" w:rsidRPr="001A48D3" w:rsidRDefault="00555FDA" w:rsidP="00C4701A">
      <w:pPr>
        <w:spacing w:afterLines="80" w:after="192"/>
        <w:rPr>
          <w:sz w:val="18"/>
          <w:szCs w:val="18"/>
        </w:rPr>
      </w:pPr>
      <w:r w:rsidRPr="001A48D3">
        <w:rPr>
          <w:sz w:val="18"/>
          <w:szCs w:val="18"/>
        </w:rPr>
        <w:t>Source:</w:t>
      </w:r>
      <w:r w:rsidRPr="001A48D3">
        <w:rPr>
          <w:sz w:val="18"/>
          <w:szCs w:val="18"/>
        </w:rPr>
        <w:tab/>
        <w:t>BITRE Estimates (2009)</w:t>
      </w:r>
    </w:p>
    <w:p w:rsidR="004158B5" w:rsidRPr="001A48D3" w:rsidRDefault="004158B5" w:rsidP="00B52F7D">
      <w:pPr>
        <w:pStyle w:val="Heading3"/>
      </w:pPr>
      <w:bookmarkStart w:id="63" w:name="_Toc430182523"/>
      <w:r w:rsidRPr="001A48D3">
        <w:t xml:space="preserve">Figure </w:t>
      </w:r>
      <w:r w:rsidR="00244954" w:rsidRPr="001A48D3">
        <w:t>6</w:t>
      </w:r>
      <w:r w:rsidRPr="001A48D3">
        <w:tab/>
        <w:t xml:space="preserve">Projected </w:t>
      </w:r>
      <w:r w:rsidR="00143CBA" w:rsidRPr="001A48D3">
        <w:t>Impact on</w:t>
      </w:r>
      <w:r w:rsidRPr="001A48D3">
        <w:t xml:space="preserve"> PM Emissions </w:t>
      </w:r>
      <w:r w:rsidR="00143CBA" w:rsidRPr="001A48D3">
        <w:t>of</w:t>
      </w:r>
      <w:r w:rsidRPr="001A48D3">
        <w:t xml:space="preserve"> the Light Vehicle Fleet from the Introduction of Euro 5/6 </w:t>
      </w:r>
      <w:r w:rsidR="00AF01A3" w:rsidRPr="001A48D3">
        <w:t>Emissions</w:t>
      </w:r>
      <w:r w:rsidRPr="001A48D3">
        <w:t xml:space="preserve"> Standards</w:t>
      </w:r>
      <w:bookmarkEnd w:id="63"/>
      <w:r w:rsidRPr="001A48D3">
        <w:t xml:space="preserve"> </w:t>
      </w:r>
    </w:p>
    <w:p w:rsidR="00234DAA" w:rsidRPr="001A48D3" w:rsidRDefault="00234DAA" w:rsidP="00C4701A">
      <w:pPr>
        <w:spacing w:afterLines="80" w:after="192"/>
        <w:rPr>
          <w:highlight w:val="yellow"/>
        </w:rPr>
      </w:pPr>
    </w:p>
    <w:p w:rsidR="001F3795" w:rsidRPr="001A48D3" w:rsidRDefault="001F3795" w:rsidP="00C4701A">
      <w:pPr>
        <w:spacing w:after="120"/>
      </w:pPr>
      <w:r w:rsidRPr="001A48D3">
        <w:t xml:space="preserve">In </w:t>
      </w:r>
      <w:r w:rsidR="00213654" w:rsidRPr="001A48D3">
        <w:t xml:space="preserve">its response to the draft RIS, the NSW Department of Environment, Climate Change and Water advised that it had modelled the expected impacts of the new standards under the six options considered in </w:t>
      </w:r>
      <w:r w:rsidR="00521EA3" w:rsidRPr="001A48D3">
        <w:t>the draft</w:t>
      </w:r>
      <w:r w:rsidR="00213654" w:rsidRPr="001A48D3">
        <w:t xml:space="preserve"> RIS using its motor vehicle emissions inventory.  The Department concluded that the NSW specific results corroborate the findings in the RIS regarding expected emissions reductions.  In relation to the key NOx and PM emissions, the NSW modelling for Options 2 and 3 </w:t>
      </w:r>
      <w:r w:rsidR="0046542F" w:rsidRPr="001A48D3">
        <w:t>estimated</w:t>
      </w:r>
      <w:r w:rsidR="00213654" w:rsidRPr="001A48D3">
        <w:t xml:space="preserve"> emissions reductions from the light vehicle fleet of 29% and 69%, respectively, in 2031 (compared to a business as usual approach).</w:t>
      </w:r>
    </w:p>
    <w:p w:rsidR="00213654" w:rsidRPr="001A48D3" w:rsidRDefault="00600B56" w:rsidP="00C4701A">
      <w:pPr>
        <w:spacing w:afterLines="80" w:after="192"/>
      </w:pPr>
      <w:r w:rsidRPr="001A48D3">
        <w:br w:type="page"/>
      </w:r>
    </w:p>
    <w:p w:rsidR="00972535" w:rsidRPr="001A48D3" w:rsidRDefault="005C0BCB" w:rsidP="00153F3E">
      <w:pPr>
        <w:pStyle w:val="Heading2"/>
      </w:pPr>
      <w:bookmarkStart w:id="64" w:name="_Toc430182524"/>
      <w:r>
        <w:lastRenderedPageBreak/>
        <w:t>4.2</w:t>
      </w:r>
      <w:r>
        <w:tab/>
      </w:r>
      <w:r w:rsidR="00972535" w:rsidRPr="001A48D3">
        <w:t>Costs</w:t>
      </w:r>
      <w:bookmarkEnd w:id="64"/>
    </w:p>
    <w:p w:rsidR="004B7F1D" w:rsidRPr="001A48D3" w:rsidRDefault="00306B4E" w:rsidP="00C4701A">
      <w:pPr>
        <w:spacing w:after="120"/>
        <w:rPr>
          <w:u w:val="single"/>
        </w:rPr>
      </w:pPr>
      <w:r w:rsidRPr="001A48D3">
        <w:rPr>
          <w:u w:val="single"/>
        </w:rPr>
        <w:t>Starting</w:t>
      </w:r>
      <w:r w:rsidR="00497D43" w:rsidRPr="001A48D3">
        <w:rPr>
          <w:u w:val="single"/>
        </w:rPr>
        <w:t xml:space="preserve"> C</w:t>
      </w:r>
      <w:r w:rsidR="004B7F1D" w:rsidRPr="001A48D3">
        <w:rPr>
          <w:u w:val="single"/>
        </w:rPr>
        <w:t>osts</w:t>
      </w:r>
    </w:p>
    <w:p w:rsidR="005C0BCB" w:rsidRPr="001A48D3" w:rsidRDefault="00B3668F" w:rsidP="00C4701A">
      <w:pPr>
        <w:spacing w:after="120"/>
      </w:pPr>
      <w:r w:rsidRPr="001A48D3">
        <w:t xml:space="preserve">The </w:t>
      </w:r>
      <w:r w:rsidR="00306B4E" w:rsidRPr="001A48D3">
        <w:t>starting point</w:t>
      </w:r>
      <w:r w:rsidRPr="001A48D3">
        <w:t xml:space="preserve"> cost estimates for compliance with the Euro</w:t>
      </w:r>
      <w:r w:rsidR="009C50EC" w:rsidRPr="001A48D3">
        <w:t xml:space="preserve"> 5/6 </w:t>
      </w:r>
      <w:r w:rsidR="00AF01A3" w:rsidRPr="001A48D3">
        <w:t>emissions</w:t>
      </w:r>
      <w:r w:rsidR="009C50EC" w:rsidRPr="001A48D3">
        <w:t xml:space="preserve"> standards (Table </w:t>
      </w:r>
      <w:r w:rsidR="003D38EC" w:rsidRPr="001A48D3">
        <w:t>7</w:t>
      </w:r>
      <w:r w:rsidRPr="001A48D3">
        <w:t>) were sourced from the impact statements prepared by the European Commission (EC) to support the introduction of these specific standards</w:t>
      </w:r>
      <w:r w:rsidRPr="001A48D3">
        <w:rPr>
          <w:rStyle w:val="FootnoteReference"/>
        </w:rPr>
        <w:footnoteReference w:id="36"/>
      </w:r>
      <w:r w:rsidRPr="001A48D3">
        <w:t>.</w:t>
      </w:r>
      <w:r w:rsidR="002C5A11" w:rsidRPr="001A48D3">
        <w:t xml:space="preserve"> These </w:t>
      </w:r>
      <w:r w:rsidRPr="001A48D3">
        <w:t>EC</w:t>
      </w:r>
      <w:r w:rsidR="002C5A11" w:rsidRPr="001A48D3">
        <w:t xml:space="preserve"> estimates were converted to Australian-dollar estimates using the average exchange rate over the past few years.</w:t>
      </w:r>
    </w:p>
    <w:p w:rsidR="002C5A11" w:rsidRPr="001A48D3" w:rsidRDefault="002C5A11" w:rsidP="00B52F7D">
      <w:pPr>
        <w:spacing w:after="120"/>
      </w:pPr>
    </w:p>
    <w:p w:rsidR="002C5A11" w:rsidRPr="001A48D3" w:rsidRDefault="002C5A11" w:rsidP="00B52F7D">
      <w:pPr>
        <w:pStyle w:val="Heading3"/>
      </w:pPr>
      <w:bookmarkStart w:id="65" w:name="_Toc430182525"/>
      <w:r w:rsidRPr="001A48D3">
        <w:t xml:space="preserve">Table </w:t>
      </w:r>
      <w:r w:rsidR="003D38EC" w:rsidRPr="001A48D3">
        <w:t>7</w:t>
      </w:r>
      <w:r w:rsidR="009C50EC" w:rsidRPr="001A48D3">
        <w:tab/>
        <w:t>Incremental Vehicle C</w:t>
      </w:r>
      <w:r w:rsidRPr="001A48D3">
        <w:t>osts (</w:t>
      </w:r>
      <w:r w:rsidR="003D7B5E" w:rsidRPr="00B52F7D">
        <w:t xml:space="preserve">€ and A$ </w:t>
      </w:r>
      <w:r w:rsidRPr="001A48D3">
        <w:t>/</w:t>
      </w:r>
      <w:r w:rsidR="003D7B5E" w:rsidRPr="001A48D3">
        <w:t xml:space="preserve"> </w:t>
      </w:r>
      <w:r w:rsidRPr="001A48D3">
        <w:t>vehicle)</w:t>
      </w:r>
      <w:bookmarkEnd w:id="65"/>
    </w:p>
    <w:tbl>
      <w:tblPr>
        <w:tblW w:w="7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134"/>
        <w:gridCol w:w="1275"/>
        <w:gridCol w:w="1134"/>
        <w:gridCol w:w="1276"/>
        <w:gridCol w:w="1168"/>
      </w:tblGrid>
      <w:tr w:rsidR="002C5A11" w:rsidRPr="001A48D3" w:rsidTr="00153F3E">
        <w:trPr>
          <w:trHeight w:val="300"/>
          <w:tblHeader/>
        </w:trPr>
        <w:tc>
          <w:tcPr>
            <w:tcW w:w="1668" w:type="dxa"/>
            <w:tcBorders>
              <w:bottom w:val="nil"/>
            </w:tcBorders>
            <w:shd w:val="clear" w:color="auto" w:fill="FFC000"/>
            <w:noWrap/>
            <w:hideMark/>
          </w:tcPr>
          <w:p w:rsidR="002C5A11" w:rsidRPr="001A48D3" w:rsidRDefault="002C5A11" w:rsidP="00C4701A">
            <w:pPr>
              <w:spacing w:before="120" w:after="120"/>
              <w:rPr>
                <w:b/>
                <w:color w:val="000000"/>
                <w:sz w:val="22"/>
                <w:szCs w:val="22"/>
              </w:rPr>
            </w:pPr>
          </w:p>
        </w:tc>
        <w:tc>
          <w:tcPr>
            <w:tcW w:w="2409" w:type="dxa"/>
            <w:gridSpan w:val="2"/>
            <w:shd w:val="clear" w:color="auto" w:fill="FFC000"/>
          </w:tcPr>
          <w:p w:rsidR="002C5A11" w:rsidRPr="001A48D3" w:rsidRDefault="00306B4E" w:rsidP="00C4701A">
            <w:pPr>
              <w:spacing w:before="120" w:after="120"/>
              <w:jc w:val="center"/>
              <w:rPr>
                <w:b/>
                <w:bCs/>
                <w:color w:val="000000"/>
                <w:sz w:val="22"/>
                <w:szCs w:val="22"/>
              </w:rPr>
            </w:pPr>
            <w:r w:rsidRPr="001A48D3">
              <w:rPr>
                <w:b/>
                <w:bCs/>
                <w:color w:val="000000"/>
                <w:sz w:val="22"/>
                <w:szCs w:val="22"/>
              </w:rPr>
              <w:t>€</w:t>
            </w:r>
          </w:p>
        </w:tc>
        <w:tc>
          <w:tcPr>
            <w:tcW w:w="3578" w:type="dxa"/>
            <w:gridSpan w:val="3"/>
            <w:shd w:val="clear" w:color="auto" w:fill="FFC000"/>
            <w:noWrap/>
            <w:hideMark/>
          </w:tcPr>
          <w:p w:rsidR="002C5A11" w:rsidRPr="001A48D3" w:rsidRDefault="002C5A11" w:rsidP="00C4701A">
            <w:pPr>
              <w:spacing w:before="120" w:after="120"/>
              <w:jc w:val="center"/>
              <w:rPr>
                <w:b/>
                <w:bCs/>
                <w:color w:val="000000"/>
                <w:sz w:val="22"/>
                <w:szCs w:val="22"/>
              </w:rPr>
            </w:pPr>
            <w:r w:rsidRPr="001A48D3">
              <w:rPr>
                <w:b/>
                <w:bCs/>
                <w:color w:val="000000"/>
                <w:sz w:val="22"/>
                <w:szCs w:val="22"/>
              </w:rPr>
              <w:t>A$</w:t>
            </w:r>
          </w:p>
        </w:tc>
      </w:tr>
      <w:tr w:rsidR="002C5A11" w:rsidRPr="001A48D3" w:rsidTr="00153F3E">
        <w:trPr>
          <w:trHeight w:val="300"/>
          <w:tblHeader/>
        </w:trPr>
        <w:tc>
          <w:tcPr>
            <w:tcW w:w="1668" w:type="dxa"/>
            <w:tcBorders>
              <w:top w:val="nil"/>
            </w:tcBorders>
            <w:shd w:val="clear" w:color="auto" w:fill="FFC000"/>
            <w:noWrap/>
            <w:hideMark/>
          </w:tcPr>
          <w:p w:rsidR="002C5A11" w:rsidRPr="001A48D3" w:rsidRDefault="002C5A11" w:rsidP="00C4701A">
            <w:pPr>
              <w:spacing w:before="120" w:after="120"/>
              <w:rPr>
                <w:b/>
                <w:color w:val="000000"/>
                <w:sz w:val="22"/>
                <w:szCs w:val="22"/>
              </w:rPr>
            </w:pPr>
            <w:r w:rsidRPr="001A48D3">
              <w:rPr>
                <w:b/>
                <w:color w:val="000000"/>
                <w:sz w:val="22"/>
                <w:szCs w:val="22"/>
              </w:rPr>
              <w:t> </w:t>
            </w:r>
          </w:p>
        </w:tc>
        <w:tc>
          <w:tcPr>
            <w:tcW w:w="1134" w:type="dxa"/>
            <w:shd w:val="clear" w:color="auto" w:fill="FFC000"/>
          </w:tcPr>
          <w:p w:rsidR="002C5A11" w:rsidRPr="001A48D3" w:rsidRDefault="002C5A11" w:rsidP="00C4701A">
            <w:pPr>
              <w:spacing w:before="120" w:after="120"/>
              <w:jc w:val="center"/>
              <w:rPr>
                <w:b/>
                <w:bCs/>
                <w:color w:val="000000"/>
                <w:sz w:val="22"/>
                <w:szCs w:val="22"/>
              </w:rPr>
            </w:pPr>
            <w:r w:rsidRPr="001A48D3">
              <w:rPr>
                <w:b/>
                <w:bCs/>
                <w:color w:val="000000"/>
                <w:sz w:val="22"/>
                <w:szCs w:val="22"/>
              </w:rPr>
              <w:t>Euro 4 to Euro 5</w:t>
            </w:r>
          </w:p>
        </w:tc>
        <w:tc>
          <w:tcPr>
            <w:tcW w:w="1275" w:type="dxa"/>
            <w:shd w:val="clear" w:color="auto" w:fill="FFC000"/>
          </w:tcPr>
          <w:p w:rsidR="002C5A11" w:rsidRPr="001A48D3" w:rsidRDefault="002C5A11" w:rsidP="00C4701A">
            <w:pPr>
              <w:spacing w:before="120" w:after="120"/>
              <w:jc w:val="center"/>
              <w:rPr>
                <w:b/>
                <w:bCs/>
                <w:color w:val="000000"/>
                <w:sz w:val="22"/>
                <w:szCs w:val="22"/>
              </w:rPr>
            </w:pPr>
            <w:r w:rsidRPr="001A48D3">
              <w:rPr>
                <w:b/>
                <w:bCs/>
                <w:color w:val="000000"/>
                <w:sz w:val="22"/>
                <w:szCs w:val="22"/>
              </w:rPr>
              <w:t>Euro 5 to Euro 6</w:t>
            </w:r>
          </w:p>
        </w:tc>
        <w:tc>
          <w:tcPr>
            <w:tcW w:w="1134" w:type="dxa"/>
            <w:shd w:val="clear" w:color="auto" w:fill="FFC000"/>
            <w:noWrap/>
            <w:hideMark/>
          </w:tcPr>
          <w:p w:rsidR="002C5A11" w:rsidRPr="001A48D3" w:rsidRDefault="002C5A11" w:rsidP="00C4701A">
            <w:pPr>
              <w:spacing w:before="120" w:after="120"/>
              <w:jc w:val="center"/>
              <w:rPr>
                <w:b/>
                <w:bCs/>
                <w:color w:val="000000"/>
                <w:sz w:val="22"/>
                <w:szCs w:val="22"/>
              </w:rPr>
            </w:pPr>
            <w:r w:rsidRPr="001A48D3">
              <w:rPr>
                <w:b/>
                <w:bCs/>
                <w:color w:val="000000"/>
                <w:sz w:val="22"/>
                <w:szCs w:val="22"/>
              </w:rPr>
              <w:t>Euro 4 to Euro 5</w:t>
            </w:r>
          </w:p>
        </w:tc>
        <w:tc>
          <w:tcPr>
            <w:tcW w:w="1276" w:type="dxa"/>
            <w:shd w:val="clear" w:color="auto" w:fill="FFC000"/>
            <w:noWrap/>
            <w:hideMark/>
          </w:tcPr>
          <w:p w:rsidR="002C5A11" w:rsidRPr="001A48D3" w:rsidRDefault="002C5A11" w:rsidP="00C4701A">
            <w:pPr>
              <w:spacing w:before="120" w:after="120"/>
              <w:jc w:val="center"/>
              <w:rPr>
                <w:b/>
                <w:bCs/>
                <w:color w:val="000000"/>
                <w:sz w:val="22"/>
                <w:szCs w:val="22"/>
              </w:rPr>
            </w:pPr>
            <w:r w:rsidRPr="001A48D3">
              <w:rPr>
                <w:b/>
                <w:bCs/>
                <w:color w:val="000000"/>
                <w:sz w:val="22"/>
                <w:szCs w:val="22"/>
              </w:rPr>
              <w:t>Euro 5 to Euro 6</w:t>
            </w:r>
          </w:p>
        </w:tc>
        <w:tc>
          <w:tcPr>
            <w:tcW w:w="1168" w:type="dxa"/>
            <w:shd w:val="clear" w:color="auto" w:fill="FFC000"/>
            <w:noWrap/>
            <w:hideMark/>
          </w:tcPr>
          <w:p w:rsidR="002C5A11" w:rsidRPr="001A48D3" w:rsidRDefault="002C5A11" w:rsidP="00C4701A">
            <w:pPr>
              <w:spacing w:before="120" w:after="120"/>
              <w:rPr>
                <w:b/>
                <w:bCs/>
                <w:color w:val="000000"/>
                <w:sz w:val="22"/>
                <w:szCs w:val="22"/>
              </w:rPr>
            </w:pPr>
            <w:r w:rsidRPr="001A48D3">
              <w:rPr>
                <w:b/>
                <w:bCs/>
                <w:color w:val="000000"/>
                <w:sz w:val="22"/>
                <w:szCs w:val="22"/>
              </w:rPr>
              <w:t>Euro 4 to Euro 6</w:t>
            </w:r>
          </w:p>
        </w:tc>
      </w:tr>
      <w:tr w:rsidR="002C5A11" w:rsidRPr="001A48D3" w:rsidTr="00757C79">
        <w:trPr>
          <w:trHeight w:val="288"/>
        </w:trPr>
        <w:tc>
          <w:tcPr>
            <w:tcW w:w="1668" w:type="dxa"/>
            <w:noWrap/>
            <w:hideMark/>
          </w:tcPr>
          <w:p w:rsidR="002C5A11" w:rsidRPr="001A48D3" w:rsidRDefault="002C5A11" w:rsidP="00C4701A">
            <w:pPr>
              <w:spacing w:after="120"/>
              <w:rPr>
                <w:color w:val="000000"/>
                <w:sz w:val="22"/>
                <w:szCs w:val="22"/>
              </w:rPr>
            </w:pPr>
            <w:r w:rsidRPr="001A48D3">
              <w:rPr>
                <w:color w:val="000000"/>
                <w:sz w:val="22"/>
                <w:szCs w:val="22"/>
              </w:rPr>
              <w:t>Petrol vehicle</w:t>
            </w:r>
          </w:p>
        </w:tc>
        <w:tc>
          <w:tcPr>
            <w:tcW w:w="1134" w:type="dxa"/>
          </w:tcPr>
          <w:p w:rsidR="002C5A11" w:rsidRPr="001A48D3" w:rsidRDefault="002C5A11" w:rsidP="00C4701A">
            <w:pPr>
              <w:spacing w:after="120"/>
              <w:jc w:val="center"/>
              <w:rPr>
                <w:color w:val="000000"/>
                <w:sz w:val="22"/>
                <w:szCs w:val="22"/>
              </w:rPr>
            </w:pPr>
            <w:r w:rsidRPr="001A48D3">
              <w:rPr>
                <w:color w:val="000000"/>
                <w:sz w:val="22"/>
                <w:szCs w:val="22"/>
              </w:rPr>
              <w:t>51</w:t>
            </w:r>
          </w:p>
        </w:tc>
        <w:tc>
          <w:tcPr>
            <w:tcW w:w="1275" w:type="dxa"/>
          </w:tcPr>
          <w:p w:rsidR="002C5A11" w:rsidRPr="001A48D3" w:rsidRDefault="002C5A11" w:rsidP="00C4701A">
            <w:pPr>
              <w:spacing w:after="120"/>
              <w:jc w:val="center"/>
              <w:rPr>
                <w:color w:val="000000"/>
                <w:sz w:val="22"/>
                <w:szCs w:val="22"/>
              </w:rPr>
            </w:pPr>
            <w:r w:rsidRPr="001A48D3">
              <w:rPr>
                <w:color w:val="000000"/>
                <w:sz w:val="22"/>
                <w:szCs w:val="22"/>
              </w:rPr>
              <w:t>0</w:t>
            </w:r>
          </w:p>
        </w:tc>
        <w:tc>
          <w:tcPr>
            <w:tcW w:w="1134" w:type="dxa"/>
            <w:noWrap/>
            <w:hideMark/>
          </w:tcPr>
          <w:p w:rsidR="002C5A11" w:rsidRPr="001A48D3" w:rsidRDefault="002C5A11" w:rsidP="00C4701A">
            <w:pPr>
              <w:spacing w:after="120"/>
              <w:jc w:val="center"/>
              <w:rPr>
                <w:color w:val="000000"/>
                <w:sz w:val="22"/>
                <w:szCs w:val="22"/>
              </w:rPr>
            </w:pPr>
            <w:r w:rsidRPr="001A48D3">
              <w:rPr>
                <w:color w:val="000000"/>
                <w:sz w:val="22"/>
                <w:szCs w:val="22"/>
              </w:rPr>
              <w:t>85</w:t>
            </w:r>
          </w:p>
        </w:tc>
        <w:tc>
          <w:tcPr>
            <w:tcW w:w="1276" w:type="dxa"/>
            <w:noWrap/>
            <w:hideMark/>
          </w:tcPr>
          <w:p w:rsidR="002C5A11" w:rsidRPr="001A48D3" w:rsidRDefault="002C5A11" w:rsidP="00C4701A">
            <w:pPr>
              <w:spacing w:after="120"/>
              <w:jc w:val="center"/>
              <w:rPr>
                <w:color w:val="000000"/>
                <w:sz w:val="22"/>
                <w:szCs w:val="22"/>
              </w:rPr>
            </w:pPr>
            <w:r w:rsidRPr="001A48D3">
              <w:rPr>
                <w:color w:val="000000"/>
                <w:sz w:val="22"/>
                <w:szCs w:val="22"/>
              </w:rPr>
              <w:t>0</w:t>
            </w:r>
          </w:p>
        </w:tc>
        <w:tc>
          <w:tcPr>
            <w:tcW w:w="1168" w:type="dxa"/>
            <w:noWrap/>
            <w:hideMark/>
          </w:tcPr>
          <w:p w:rsidR="002C5A11" w:rsidRPr="001A48D3" w:rsidRDefault="002C5A11" w:rsidP="00C4701A">
            <w:pPr>
              <w:spacing w:after="120"/>
              <w:jc w:val="center"/>
              <w:rPr>
                <w:color w:val="000000"/>
                <w:sz w:val="22"/>
                <w:szCs w:val="22"/>
              </w:rPr>
            </w:pPr>
            <w:r w:rsidRPr="001A48D3">
              <w:rPr>
                <w:color w:val="000000"/>
                <w:sz w:val="22"/>
                <w:szCs w:val="22"/>
              </w:rPr>
              <w:t>85</w:t>
            </w:r>
          </w:p>
        </w:tc>
      </w:tr>
      <w:tr w:rsidR="002C5A11" w:rsidRPr="001A48D3" w:rsidTr="00757C79">
        <w:trPr>
          <w:trHeight w:val="300"/>
        </w:trPr>
        <w:tc>
          <w:tcPr>
            <w:tcW w:w="1668" w:type="dxa"/>
            <w:noWrap/>
            <w:hideMark/>
          </w:tcPr>
          <w:p w:rsidR="002C5A11" w:rsidRPr="001A48D3" w:rsidRDefault="002C5A11" w:rsidP="00C4701A">
            <w:pPr>
              <w:spacing w:after="120"/>
              <w:rPr>
                <w:color w:val="000000"/>
                <w:sz w:val="22"/>
                <w:szCs w:val="22"/>
              </w:rPr>
            </w:pPr>
            <w:r w:rsidRPr="001A48D3">
              <w:rPr>
                <w:color w:val="000000"/>
                <w:sz w:val="22"/>
                <w:szCs w:val="22"/>
              </w:rPr>
              <w:t>Diesel vehicle</w:t>
            </w:r>
          </w:p>
        </w:tc>
        <w:tc>
          <w:tcPr>
            <w:tcW w:w="1134" w:type="dxa"/>
          </w:tcPr>
          <w:p w:rsidR="002C5A11" w:rsidRPr="001A48D3" w:rsidRDefault="002C5A11" w:rsidP="00C4701A">
            <w:pPr>
              <w:spacing w:after="120"/>
              <w:jc w:val="center"/>
              <w:rPr>
                <w:color w:val="000000"/>
                <w:sz w:val="22"/>
                <w:szCs w:val="22"/>
              </w:rPr>
            </w:pPr>
            <w:r w:rsidRPr="001A48D3">
              <w:rPr>
                <w:color w:val="000000"/>
                <w:sz w:val="22"/>
                <w:szCs w:val="22"/>
              </w:rPr>
              <w:t>377</w:t>
            </w:r>
          </w:p>
        </w:tc>
        <w:tc>
          <w:tcPr>
            <w:tcW w:w="1275" w:type="dxa"/>
          </w:tcPr>
          <w:p w:rsidR="002C5A11" w:rsidRPr="001A48D3" w:rsidRDefault="002C5A11" w:rsidP="00C4701A">
            <w:pPr>
              <w:spacing w:after="120"/>
              <w:jc w:val="center"/>
              <w:rPr>
                <w:color w:val="000000"/>
                <w:sz w:val="22"/>
                <w:szCs w:val="22"/>
              </w:rPr>
            </w:pPr>
            <w:r w:rsidRPr="001A48D3">
              <w:rPr>
                <w:color w:val="000000"/>
                <w:sz w:val="22"/>
                <w:szCs w:val="22"/>
              </w:rPr>
              <w:t>213</w:t>
            </w:r>
          </w:p>
        </w:tc>
        <w:tc>
          <w:tcPr>
            <w:tcW w:w="1134" w:type="dxa"/>
            <w:noWrap/>
            <w:hideMark/>
          </w:tcPr>
          <w:p w:rsidR="002C5A11" w:rsidRPr="001A48D3" w:rsidRDefault="002C5A11" w:rsidP="00C4701A">
            <w:pPr>
              <w:spacing w:after="120"/>
              <w:jc w:val="center"/>
              <w:rPr>
                <w:color w:val="000000"/>
                <w:sz w:val="22"/>
                <w:szCs w:val="22"/>
              </w:rPr>
            </w:pPr>
            <w:r w:rsidRPr="001A48D3">
              <w:rPr>
                <w:color w:val="000000"/>
                <w:sz w:val="22"/>
                <w:szCs w:val="22"/>
              </w:rPr>
              <w:t>628</w:t>
            </w:r>
          </w:p>
        </w:tc>
        <w:tc>
          <w:tcPr>
            <w:tcW w:w="1276" w:type="dxa"/>
            <w:noWrap/>
            <w:hideMark/>
          </w:tcPr>
          <w:p w:rsidR="002C5A11" w:rsidRPr="001A48D3" w:rsidRDefault="002C5A11" w:rsidP="00C4701A">
            <w:pPr>
              <w:spacing w:after="120"/>
              <w:jc w:val="center"/>
              <w:rPr>
                <w:color w:val="000000"/>
                <w:sz w:val="22"/>
                <w:szCs w:val="22"/>
              </w:rPr>
            </w:pPr>
            <w:r w:rsidRPr="001A48D3">
              <w:rPr>
                <w:color w:val="000000"/>
                <w:sz w:val="22"/>
                <w:szCs w:val="22"/>
              </w:rPr>
              <w:t>355</w:t>
            </w:r>
          </w:p>
        </w:tc>
        <w:tc>
          <w:tcPr>
            <w:tcW w:w="1168" w:type="dxa"/>
            <w:noWrap/>
            <w:hideMark/>
          </w:tcPr>
          <w:p w:rsidR="002C5A11" w:rsidRPr="001A48D3" w:rsidRDefault="002C5A11" w:rsidP="00C4701A">
            <w:pPr>
              <w:spacing w:after="120"/>
              <w:jc w:val="center"/>
              <w:rPr>
                <w:color w:val="000000"/>
                <w:sz w:val="22"/>
                <w:szCs w:val="22"/>
              </w:rPr>
            </w:pPr>
            <w:r w:rsidRPr="001A48D3">
              <w:rPr>
                <w:color w:val="000000"/>
                <w:sz w:val="22"/>
                <w:szCs w:val="22"/>
              </w:rPr>
              <w:t>983</w:t>
            </w:r>
          </w:p>
        </w:tc>
      </w:tr>
    </w:tbl>
    <w:p w:rsidR="002C5A11" w:rsidRPr="001A48D3" w:rsidRDefault="002C5A11" w:rsidP="00C4701A">
      <w:pPr>
        <w:spacing w:after="120"/>
      </w:pPr>
      <w:r w:rsidRPr="001A48D3">
        <w:rPr>
          <w:sz w:val="20"/>
        </w:rPr>
        <w:t>Note:</w:t>
      </w:r>
      <w:r w:rsidRPr="001A48D3">
        <w:rPr>
          <w:sz w:val="20"/>
        </w:rPr>
        <w:tab/>
        <w:t>A$1=</w:t>
      </w:r>
      <w:r w:rsidR="00306B4E" w:rsidRPr="001A48D3">
        <w:rPr>
          <w:sz w:val="20"/>
        </w:rPr>
        <w:t>€0.</w:t>
      </w:r>
      <w:r w:rsidRPr="001A48D3">
        <w:rPr>
          <w:sz w:val="20"/>
        </w:rPr>
        <w:t>60.</w:t>
      </w:r>
    </w:p>
    <w:p w:rsidR="0061435C" w:rsidRDefault="0061435C" w:rsidP="00C4701A">
      <w:pPr>
        <w:spacing w:after="120"/>
      </w:pPr>
    </w:p>
    <w:p w:rsidR="00CD4B8D" w:rsidRPr="001A48D3" w:rsidRDefault="00855007" w:rsidP="00C4701A">
      <w:pPr>
        <w:spacing w:after="120"/>
      </w:pPr>
      <w:r w:rsidRPr="001A48D3">
        <w:t xml:space="preserve">The applicability of the cost estimates in Table </w:t>
      </w:r>
      <w:r w:rsidR="003D38EC" w:rsidRPr="001A48D3">
        <w:t>7</w:t>
      </w:r>
      <w:r w:rsidRPr="001A48D3">
        <w:t xml:space="preserve"> </w:t>
      </w:r>
      <w:r w:rsidR="009C730D" w:rsidRPr="001A48D3">
        <w:t>to</w:t>
      </w:r>
      <w:r w:rsidRPr="001A48D3">
        <w:t xml:space="preserve"> the Australian context is difficult to judge, however they </w:t>
      </w:r>
      <w:r w:rsidR="00F73AAF" w:rsidRPr="001A48D3">
        <w:t xml:space="preserve">are </w:t>
      </w:r>
      <w:r w:rsidR="009C730D" w:rsidRPr="001A48D3">
        <w:t>based on the most</w:t>
      </w:r>
      <w:r w:rsidRPr="001A48D3">
        <w:t xml:space="preserve"> detailed technology assessment conducted </w:t>
      </w:r>
      <w:r w:rsidR="009C730D" w:rsidRPr="001A48D3">
        <w:t>to determine the costs of compliance</w:t>
      </w:r>
      <w:r w:rsidR="00F73AAF" w:rsidRPr="001A48D3">
        <w:t xml:space="preserve"> w</w:t>
      </w:r>
      <w:r w:rsidR="009C730D" w:rsidRPr="001A48D3">
        <w:t>ith the Euro </w:t>
      </w:r>
      <w:r w:rsidR="00F73AAF" w:rsidRPr="001A48D3">
        <w:t>5/6 standards</w:t>
      </w:r>
      <w:r w:rsidRPr="001A48D3">
        <w:t xml:space="preserve">, and represent the best available </w:t>
      </w:r>
      <w:r w:rsidR="009C730D" w:rsidRPr="001A48D3">
        <w:t xml:space="preserve">international </w:t>
      </w:r>
      <w:r w:rsidRPr="001A48D3">
        <w:t>figures.</w:t>
      </w:r>
      <w:r w:rsidR="009C730D" w:rsidRPr="001A48D3">
        <w:t xml:space="preserve">  For the purposes of this </w:t>
      </w:r>
      <w:r w:rsidR="00D022D2" w:rsidRPr="001A48D3">
        <w:t>RIS</w:t>
      </w:r>
      <w:r w:rsidR="009C730D" w:rsidRPr="001A48D3">
        <w:t xml:space="preserve">, it is reasonable to use these estimates as the starting point, particularly given that approximately 85% of light vehicles supplied to the Australian market (and 100% of diesels) are fully imported.  </w:t>
      </w:r>
    </w:p>
    <w:p w:rsidR="009C730D" w:rsidRPr="001A48D3" w:rsidRDefault="00CD4B8D" w:rsidP="00C4701A">
      <w:pPr>
        <w:spacing w:after="120"/>
      </w:pPr>
      <w:r w:rsidRPr="001A48D3">
        <w:t>In response to the draft RIS, the FCAI and a number of non-European vehicle manufacturers questioned the use of the EC cost estimates</w:t>
      </w:r>
      <w:r w:rsidR="00376876" w:rsidRPr="001A48D3">
        <w:t>, and technology assumptions</w:t>
      </w:r>
      <w:r w:rsidRPr="001A48D3">
        <w:t xml:space="preserve">.  The submissions argued that these estimates cannot be readily transferred to the </w:t>
      </w:r>
      <w:r w:rsidR="00306CCF" w:rsidRPr="001A48D3">
        <w:t>Australian</w:t>
      </w:r>
      <w:r w:rsidRPr="001A48D3">
        <w:t xml:space="preserve"> context, particularly as less than 15% of vehicles on the Australian market are manufactured in Europe.  </w:t>
      </w:r>
      <w:r w:rsidR="00306CCF" w:rsidRPr="001A48D3">
        <w:t xml:space="preserve">However, none of the submissions provided alternative cost estimates which could be </w:t>
      </w:r>
      <w:r w:rsidR="008648F4" w:rsidRPr="001A48D3">
        <w:t>utilised</w:t>
      </w:r>
      <w:r w:rsidR="009C730D" w:rsidRPr="001A48D3">
        <w:t xml:space="preserve"> in the BCA undertaken for the final RIS.</w:t>
      </w:r>
    </w:p>
    <w:p w:rsidR="000D7C02" w:rsidRPr="001A48D3" w:rsidRDefault="00855007" w:rsidP="00C4701A">
      <w:pPr>
        <w:spacing w:after="120"/>
      </w:pPr>
      <w:r w:rsidRPr="001A48D3">
        <w:t xml:space="preserve">The </w:t>
      </w:r>
      <w:r w:rsidR="009C730D" w:rsidRPr="001A48D3">
        <w:t xml:space="preserve">EC </w:t>
      </w:r>
      <w:r w:rsidRPr="001A48D3">
        <w:t xml:space="preserve">estimates reflect the </w:t>
      </w:r>
      <w:r w:rsidR="009C730D" w:rsidRPr="001A48D3">
        <w:t xml:space="preserve">estimated </w:t>
      </w:r>
      <w:r w:rsidRPr="001A48D3">
        <w:t>costs to manufacturers assuming vehicles are in full production</w:t>
      </w:r>
      <w:r w:rsidR="009C730D" w:rsidRPr="001A48D3">
        <w:t xml:space="preserve">.  </w:t>
      </w:r>
      <w:r w:rsidR="000B02DA" w:rsidRPr="001A48D3">
        <w:t xml:space="preserve">These costs directly relate to the technology improvements required to meet the tighter </w:t>
      </w:r>
      <w:r w:rsidR="00AF01A3" w:rsidRPr="001A48D3">
        <w:t>emissions</w:t>
      </w:r>
      <w:r w:rsidR="000B02DA" w:rsidRPr="001A48D3">
        <w:t xml:space="preserve"> limits under the Euro 5/6 standards (see discussion under Option 2).  The EC concluded that the increased durability requirements </w:t>
      </w:r>
      <w:r w:rsidR="000D7C02" w:rsidRPr="001A48D3">
        <w:t xml:space="preserve">and OBD provisions </w:t>
      </w:r>
      <w:r w:rsidR="000B02DA" w:rsidRPr="001A48D3">
        <w:t xml:space="preserve">would not incur any significant </w:t>
      </w:r>
      <w:r w:rsidR="000D7C02" w:rsidRPr="001A48D3">
        <w:t xml:space="preserve">additional costs.  </w:t>
      </w:r>
    </w:p>
    <w:p w:rsidR="00B94F7A" w:rsidRPr="001A48D3" w:rsidRDefault="009C730D" w:rsidP="00C4701A">
      <w:pPr>
        <w:spacing w:after="120"/>
      </w:pPr>
      <w:r w:rsidRPr="001A48D3">
        <w:lastRenderedPageBreak/>
        <w:t>In general terms, o</w:t>
      </w:r>
      <w:r w:rsidR="002673DC" w:rsidRPr="001A48D3">
        <w:t xml:space="preserve">btaining reliable cost estimates for emissions technology and </w:t>
      </w:r>
      <w:r w:rsidR="00B57EC9" w:rsidRPr="001A48D3">
        <w:t>resultant</w:t>
      </w:r>
      <w:r w:rsidR="002673DC" w:rsidRPr="001A48D3">
        <w:t xml:space="preserve"> vehicle </w:t>
      </w:r>
      <w:r w:rsidR="000D7C02" w:rsidRPr="001A48D3">
        <w:t>on-</w:t>
      </w:r>
      <w:r w:rsidR="002673DC" w:rsidRPr="001A48D3">
        <w:t xml:space="preserve">costs </w:t>
      </w:r>
      <w:r w:rsidRPr="001A48D3">
        <w:t xml:space="preserve">to consumers </w:t>
      </w:r>
      <w:r w:rsidR="002673DC" w:rsidRPr="001A48D3">
        <w:t xml:space="preserve">is very difficult as both component and vehicle manufacturers consider such information commercially sensitive </w:t>
      </w:r>
      <w:r w:rsidR="00B57EC9" w:rsidRPr="001A48D3">
        <w:t>– this problem was noted by the consultant engaged by the EC to deve</w:t>
      </w:r>
      <w:r w:rsidR="00266203" w:rsidRPr="001A48D3">
        <w:t>lop cost estimates for the Euro </w:t>
      </w:r>
      <w:r w:rsidR="00B57EC9" w:rsidRPr="001A48D3">
        <w:t>5 standards</w:t>
      </w:r>
      <w:r w:rsidR="00EA14D3" w:rsidRPr="001A48D3">
        <w:rPr>
          <w:rStyle w:val="FootnoteReference"/>
        </w:rPr>
        <w:footnoteReference w:id="37"/>
      </w:r>
      <w:r w:rsidR="00B57EC9" w:rsidRPr="001A48D3">
        <w:t xml:space="preserve">.  </w:t>
      </w:r>
    </w:p>
    <w:p w:rsidR="00B94F7A" w:rsidRPr="001A48D3" w:rsidRDefault="00C06FE7" w:rsidP="00C4701A">
      <w:pPr>
        <w:spacing w:after="120"/>
      </w:pPr>
      <w:r w:rsidRPr="001A48D3">
        <w:t>The European Automobile Manufacturers’ Association (ACEA) was critical of the EC analysis, and commissioned a report</w:t>
      </w:r>
      <w:r w:rsidR="00187FC8" w:rsidRPr="001A48D3">
        <w:rPr>
          <w:rStyle w:val="FootnoteReference"/>
        </w:rPr>
        <w:footnoteReference w:id="38"/>
      </w:r>
      <w:r w:rsidR="00187FC8" w:rsidRPr="001A48D3">
        <w:t xml:space="preserve"> </w:t>
      </w:r>
      <w:r w:rsidRPr="001A48D3">
        <w:t>into the basis for the cost assumptions.  The report</w:t>
      </w:r>
      <w:r w:rsidR="00187FC8" w:rsidRPr="001A48D3">
        <w:t xml:space="preserve"> concluded that there was </w:t>
      </w:r>
      <w:r w:rsidRPr="001A48D3">
        <w:t>a lack of adequate cost data</w:t>
      </w:r>
      <w:r w:rsidR="00B94F7A" w:rsidRPr="001A48D3">
        <w:t xml:space="preserve"> available to enable a reliable assessment of</w:t>
      </w:r>
      <w:r w:rsidR="00187FC8" w:rsidRPr="001A48D3">
        <w:t xml:space="preserve"> the Commission’s conclusions</w:t>
      </w:r>
      <w:r w:rsidRPr="001A48D3">
        <w:t xml:space="preserve">.  </w:t>
      </w:r>
    </w:p>
    <w:p w:rsidR="00C06FE7" w:rsidRPr="001A48D3" w:rsidRDefault="00C06FE7" w:rsidP="00C4701A">
      <w:pPr>
        <w:spacing w:after="120"/>
      </w:pPr>
      <w:r w:rsidRPr="001A48D3">
        <w:t xml:space="preserve">In contrast, the industry association representing </w:t>
      </w:r>
      <w:r w:rsidR="00AF01A3" w:rsidRPr="001A48D3">
        <w:t>emissions</w:t>
      </w:r>
      <w:r w:rsidRPr="001A48D3">
        <w:t xml:space="preserve"> control technology manufacturers (Association for Emissions Control by Catalyst) concluded that for both petrol and diesel vehicles the limits were “readily achievable by currently available technology” and in relation to petrol vehicles, could be achieved at “very limited on-cost”</w:t>
      </w:r>
      <w:r w:rsidRPr="001A48D3">
        <w:rPr>
          <w:rStyle w:val="FootnoteReference"/>
        </w:rPr>
        <w:footnoteReference w:id="39"/>
      </w:r>
      <w:r w:rsidRPr="001A48D3">
        <w:t xml:space="preserve">.  </w:t>
      </w:r>
      <w:r w:rsidR="001E6F4F" w:rsidRPr="001A48D3">
        <w:t>Bosch, in its submission on the draft RIS</w:t>
      </w:r>
      <w:r w:rsidR="00A544B6" w:rsidRPr="001A48D3">
        <w:t>,</w:t>
      </w:r>
      <w:r w:rsidR="001E6F4F" w:rsidRPr="001A48D3">
        <w:t xml:space="preserve"> stated that </w:t>
      </w:r>
      <w:r w:rsidR="00A544B6" w:rsidRPr="001A48D3">
        <w:t>“our experience shows that the introduction of Euro 5 capable systems/engines in other markets did not lead to a substantial increase of vehicle prices”.</w:t>
      </w:r>
    </w:p>
    <w:p w:rsidR="008034F6" w:rsidRPr="001A48D3" w:rsidRDefault="00B94F7A" w:rsidP="00C4701A">
      <w:pPr>
        <w:spacing w:after="120"/>
      </w:pPr>
      <w:r w:rsidRPr="001A48D3">
        <w:t>A</w:t>
      </w:r>
      <w:r w:rsidR="0090324D" w:rsidRPr="001A48D3">
        <w:t xml:space="preserve"> </w:t>
      </w:r>
      <w:r w:rsidR="002673DC" w:rsidRPr="001A48D3">
        <w:t>US report</w:t>
      </w:r>
      <w:r w:rsidR="002673DC" w:rsidRPr="001A48D3">
        <w:rPr>
          <w:rStyle w:val="FootnoteReference"/>
        </w:rPr>
        <w:footnoteReference w:id="40"/>
      </w:r>
      <w:r w:rsidR="002673DC" w:rsidRPr="001A48D3">
        <w:t xml:space="preserve"> </w:t>
      </w:r>
      <w:r w:rsidRPr="001A48D3">
        <w:t>examining</w:t>
      </w:r>
      <w:r w:rsidR="0090324D" w:rsidRPr="001A48D3">
        <w:t xml:space="preserve"> the cost of emissions standards compliance </w:t>
      </w:r>
      <w:r w:rsidR="002673DC" w:rsidRPr="001A48D3">
        <w:t>note</w:t>
      </w:r>
      <w:r w:rsidRPr="001A48D3">
        <w:t>d that</w:t>
      </w:r>
      <w:r w:rsidR="002673DC" w:rsidRPr="001A48D3">
        <w:t xml:space="preserve"> “...</w:t>
      </w:r>
      <w:r w:rsidR="00B57EC9" w:rsidRPr="001A48D3">
        <w:t>vehicles are designed as integrated systems and a single vehicle part may serve multiple functions.  Thus, accurately apportioning</w:t>
      </w:r>
      <w:r w:rsidR="002673DC" w:rsidRPr="001A48D3">
        <w:t xml:space="preserve"> the costs of </w:t>
      </w:r>
      <w:r w:rsidR="00AF01A3" w:rsidRPr="001A48D3">
        <w:t>emissions</w:t>
      </w:r>
      <w:r w:rsidR="002673DC" w:rsidRPr="001A48D3">
        <w:t xml:space="preserve"> </w:t>
      </w:r>
      <w:r w:rsidR="00B57EC9" w:rsidRPr="001A48D3">
        <w:t>systems to only actual emissions control can be difficult.</w:t>
      </w:r>
      <w:r w:rsidR="00F80FF1" w:rsidRPr="001A48D3">
        <w:t>”</w:t>
      </w:r>
      <w:r w:rsidRPr="001A48D3">
        <w:t xml:space="preserve">  The report also noted that “</w:t>
      </w:r>
      <w:r w:rsidR="00B57EC9" w:rsidRPr="001A48D3">
        <w:t>increases in capital costs resulting from regulation were partially offset by corresponding increases in quality related to developments in emissions technology.”</w:t>
      </w:r>
    </w:p>
    <w:p w:rsidR="00B94F7A" w:rsidRPr="001A48D3" w:rsidRDefault="00376876" w:rsidP="00C4701A">
      <w:pPr>
        <w:spacing w:after="120"/>
      </w:pPr>
      <w:r w:rsidRPr="001A48D3">
        <w:t>In relation to the Euro 6 standards, the FCAI submission also questioned the statement in the draft RIS (see Section 1.6) that the technology and manufacturing steps required to comply with the standards are well known.  The FCAI argued that the “full suite of technology to meet Euro 6 are still under development”.  The submission from Bosch (one of the world’s major suppliers of engine and fuel management co</w:t>
      </w:r>
      <w:r w:rsidR="00E639AD" w:rsidRPr="001A48D3">
        <w:t>mponents) advised that for Euro </w:t>
      </w:r>
      <w:r w:rsidRPr="001A48D3">
        <w:t>5, the fuel injection and engine management systems required for full implementation of Euro 5 are “already commercially available”.  In relation to Euro 6 (which effectively imposes technical changes on diesel vehicles only</w:t>
      </w:r>
      <w:r w:rsidR="00E639AD" w:rsidRPr="001A48D3">
        <w:t>)</w:t>
      </w:r>
      <w:r w:rsidRPr="001A48D3">
        <w:t>, Bosch advised that development and application of systems designed to meet the standard have commenced.</w:t>
      </w:r>
    </w:p>
    <w:p w:rsidR="004B7F1D" w:rsidRPr="001A48D3" w:rsidRDefault="004B7F1D" w:rsidP="00C4701A">
      <w:pPr>
        <w:pStyle w:val="Heading4"/>
        <w:spacing w:after="120"/>
      </w:pPr>
      <w:bookmarkStart w:id="66" w:name="_Toc430182526"/>
      <w:r w:rsidRPr="001A48D3">
        <w:lastRenderedPageBreak/>
        <w:t>Cost Adjustment</w:t>
      </w:r>
      <w:r w:rsidR="008034F6" w:rsidRPr="001A48D3">
        <w:t>s</w:t>
      </w:r>
      <w:r w:rsidRPr="001A48D3">
        <w:t xml:space="preserve"> Over Time</w:t>
      </w:r>
      <w:bookmarkEnd w:id="66"/>
    </w:p>
    <w:p w:rsidR="006E31B3" w:rsidRPr="001A48D3" w:rsidRDefault="009C35FE" w:rsidP="00C4701A">
      <w:pPr>
        <w:spacing w:after="120"/>
      </w:pPr>
      <w:r w:rsidRPr="001A48D3">
        <w:t xml:space="preserve">For the purposes of this </w:t>
      </w:r>
      <w:r w:rsidR="00D022D2" w:rsidRPr="001A48D3">
        <w:t>RIS</w:t>
      </w:r>
      <w:r w:rsidRPr="001A48D3">
        <w:t xml:space="preserve">, the </w:t>
      </w:r>
      <w:r w:rsidR="0090324D" w:rsidRPr="001A48D3">
        <w:t xml:space="preserve">EC </w:t>
      </w:r>
      <w:r w:rsidRPr="001A48D3">
        <w:t xml:space="preserve">estimates have been adopted </w:t>
      </w:r>
      <w:r w:rsidR="00E1205A" w:rsidRPr="001A48D3">
        <w:t xml:space="preserve">as the starting point </w:t>
      </w:r>
      <w:r w:rsidRPr="001A48D3">
        <w:t xml:space="preserve">in the </w:t>
      </w:r>
      <w:r w:rsidR="006421E9" w:rsidRPr="001A48D3">
        <w:t>BCA</w:t>
      </w:r>
      <w:r w:rsidRPr="001A48D3">
        <w:t xml:space="preserve">.  However, </w:t>
      </w:r>
      <w:r w:rsidR="00964521" w:rsidRPr="001A48D3">
        <w:t>international</w:t>
      </w:r>
      <w:r w:rsidR="0072015C" w:rsidRPr="001A48D3">
        <w:t xml:space="preserve"> experience</w:t>
      </w:r>
      <w:r w:rsidR="00972535" w:rsidRPr="001A48D3">
        <w:rPr>
          <w:rStyle w:val="FootnoteReference"/>
        </w:rPr>
        <w:footnoteReference w:id="41"/>
      </w:r>
      <w:r w:rsidR="0072015C" w:rsidRPr="001A48D3">
        <w:t xml:space="preserve"> suggests early cost estimates tend to </w:t>
      </w:r>
      <w:r w:rsidR="00972535" w:rsidRPr="001A48D3">
        <w:t>overstate actual costs</w:t>
      </w:r>
      <w:r w:rsidR="00F54BF4" w:rsidRPr="001A48D3">
        <w:t>, due to the rapid decline in unit costs as technology matures and production volumes increase</w:t>
      </w:r>
      <w:r w:rsidR="0072015C" w:rsidRPr="001A48D3">
        <w:t xml:space="preserve">.  </w:t>
      </w:r>
      <w:r w:rsidR="00B07A00" w:rsidRPr="001A48D3">
        <w:t xml:space="preserve">This is often known as the “experience curve”.  </w:t>
      </w:r>
    </w:p>
    <w:p w:rsidR="00896A37" w:rsidRPr="001A48D3" w:rsidRDefault="00266203" w:rsidP="00C4701A">
      <w:pPr>
        <w:spacing w:after="120"/>
      </w:pPr>
      <w:r w:rsidRPr="001A48D3">
        <w:t>The presence of t</w:t>
      </w:r>
      <w:r w:rsidR="00236943" w:rsidRPr="001A48D3">
        <w:t xml:space="preserve">his </w:t>
      </w:r>
      <w:r w:rsidR="00B07A00" w:rsidRPr="001A48D3">
        <w:t xml:space="preserve">phenomenon </w:t>
      </w:r>
      <w:r w:rsidR="00236943" w:rsidRPr="001A48D3">
        <w:t>appear</w:t>
      </w:r>
      <w:r w:rsidRPr="001A48D3">
        <w:t>s</w:t>
      </w:r>
      <w:r w:rsidR="00236943" w:rsidRPr="001A48D3">
        <w:t xml:space="preserve"> to be </w:t>
      </w:r>
      <w:r w:rsidR="00B07A00" w:rsidRPr="001A48D3">
        <w:t>supported</w:t>
      </w:r>
      <w:r w:rsidR="00236943" w:rsidRPr="001A48D3">
        <w:t xml:space="preserve"> </w:t>
      </w:r>
      <w:r w:rsidR="00B07A00" w:rsidRPr="001A48D3">
        <w:t xml:space="preserve">by previous experience </w:t>
      </w:r>
      <w:r w:rsidR="00236943" w:rsidRPr="001A48D3">
        <w:t>in Australia</w:t>
      </w:r>
      <w:r w:rsidRPr="001A48D3">
        <w:t>.  In recent years</w:t>
      </w:r>
      <w:r w:rsidR="00236943" w:rsidRPr="001A48D3">
        <w:t xml:space="preserve">, </w:t>
      </w:r>
      <w:r w:rsidRPr="001A48D3">
        <w:t>Green Vehicle Guide</w:t>
      </w:r>
      <w:r w:rsidRPr="001A48D3">
        <w:rPr>
          <w:rStyle w:val="FootnoteReference"/>
        </w:rPr>
        <w:footnoteReference w:id="42"/>
      </w:r>
      <w:r w:rsidRPr="001A48D3">
        <w:t xml:space="preserve"> data illustrate that</w:t>
      </w:r>
      <w:r w:rsidR="00236943" w:rsidRPr="001A48D3">
        <w:t xml:space="preserve"> </w:t>
      </w:r>
      <w:r w:rsidR="009C35FE" w:rsidRPr="001A48D3">
        <w:t xml:space="preserve">significant numbers of vehicle models </w:t>
      </w:r>
      <w:r w:rsidRPr="001A48D3">
        <w:t>meeting</w:t>
      </w:r>
      <w:r w:rsidR="009C35FE" w:rsidRPr="001A48D3">
        <w:t xml:space="preserve"> more stringent standards </w:t>
      </w:r>
      <w:r w:rsidR="00B07A00" w:rsidRPr="001A48D3">
        <w:t>tha</w:t>
      </w:r>
      <w:r w:rsidR="00D13BED" w:rsidRPr="001A48D3">
        <w:t>n</w:t>
      </w:r>
      <w:r w:rsidR="00B07A00" w:rsidRPr="001A48D3">
        <w:t xml:space="preserve"> the minimum specified, </w:t>
      </w:r>
      <w:r w:rsidR="0072015C" w:rsidRPr="001A48D3">
        <w:t xml:space="preserve">have been supplied </w:t>
      </w:r>
      <w:r w:rsidR="00B07A00" w:rsidRPr="001A48D3">
        <w:t xml:space="preserve">to the </w:t>
      </w:r>
      <w:r w:rsidRPr="001A48D3">
        <w:t xml:space="preserve">Australian </w:t>
      </w:r>
      <w:r w:rsidR="00B07A00" w:rsidRPr="001A48D3">
        <w:t xml:space="preserve">market </w:t>
      </w:r>
      <w:r w:rsidR="009C35FE" w:rsidRPr="001A48D3">
        <w:t>ahead of the implementation dates</w:t>
      </w:r>
      <w:r w:rsidR="00B07A00" w:rsidRPr="001A48D3">
        <w:t xml:space="preserve"> for later</w:t>
      </w:r>
      <w:r w:rsidR="006E31B3" w:rsidRPr="001A48D3">
        <w:t>,</w:t>
      </w:r>
      <w:r w:rsidR="00B07A00" w:rsidRPr="001A48D3">
        <w:t xml:space="preserve"> more stringent standards</w:t>
      </w:r>
      <w:r w:rsidRPr="001A48D3">
        <w:t xml:space="preserve">.  Many of these models </w:t>
      </w:r>
      <w:r w:rsidR="0072015C" w:rsidRPr="001A48D3">
        <w:t xml:space="preserve">are price competitive with models meeting the mandatory </w:t>
      </w:r>
      <w:r w:rsidR="00896A37" w:rsidRPr="001A48D3">
        <w:t>minimum standard</w:t>
      </w:r>
      <w:r w:rsidR="00236943" w:rsidRPr="001A48D3">
        <w:t xml:space="preserve"> only</w:t>
      </w:r>
      <w:r w:rsidR="00896A37" w:rsidRPr="001A48D3">
        <w:t xml:space="preserve">.  Some of these </w:t>
      </w:r>
      <w:r w:rsidR="00236943" w:rsidRPr="001A48D3">
        <w:t>were</w:t>
      </w:r>
      <w:r w:rsidR="00896A37" w:rsidRPr="001A48D3">
        <w:t xml:space="preserve"> high volume models, indicating that the additional cost of complying with Euro 4 </w:t>
      </w:r>
      <w:r w:rsidRPr="001A48D3">
        <w:t xml:space="preserve">(for example) </w:t>
      </w:r>
      <w:r w:rsidR="00EC459A" w:rsidRPr="001A48D3">
        <w:t>did</w:t>
      </w:r>
      <w:r w:rsidR="00896A37" w:rsidRPr="001A48D3">
        <w:t xml:space="preserve"> not have a significant impact on </w:t>
      </w:r>
      <w:r w:rsidR="000A0E87" w:rsidRPr="001A48D3">
        <w:t>vehicle prices</w:t>
      </w:r>
      <w:r w:rsidR="00B07A00" w:rsidRPr="001A48D3">
        <w:t xml:space="preserve"> when </w:t>
      </w:r>
      <w:r w:rsidRPr="001A48D3">
        <w:t>Euro </w:t>
      </w:r>
      <w:r w:rsidR="00B07A00" w:rsidRPr="001A48D3">
        <w:t>3 was the minimum standard</w:t>
      </w:r>
      <w:r w:rsidR="00896A37" w:rsidRPr="001A48D3">
        <w:t xml:space="preserve">. </w:t>
      </w:r>
      <w:r w:rsidR="00236943" w:rsidRPr="001A48D3">
        <w:t xml:space="preserve"> </w:t>
      </w:r>
      <w:r w:rsidR="000A0E87" w:rsidRPr="001A48D3">
        <w:t xml:space="preserve">There have also been upgrades of models from one </w:t>
      </w:r>
      <w:r w:rsidR="00AF01A3" w:rsidRPr="001A48D3">
        <w:t>emissions</w:t>
      </w:r>
      <w:r w:rsidR="00B07A00" w:rsidRPr="001A48D3">
        <w:t xml:space="preserve"> </w:t>
      </w:r>
      <w:r w:rsidR="000A0E87" w:rsidRPr="001A48D3">
        <w:t xml:space="preserve">standard to the next without increases in the vehicle price.  </w:t>
      </w:r>
    </w:p>
    <w:p w:rsidR="002673DC" w:rsidRPr="001A48D3" w:rsidRDefault="004B7F1D" w:rsidP="00C4701A">
      <w:pPr>
        <w:spacing w:after="120"/>
      </w:pPr>
      <w:r w:rsidRPr="001A48D3">
        <w:t xml:space="preserve">Thus, in estimating the additional unit vehicle cost over time, </w:t>
      </w:r>
      <w:r w:rsidR="00266203" w:rsidRPr="001A48D3">
        <w:t xml:space="preserve">the BCA </w:t>
      </w:r>
      <w:r w:rsidRPr="001A48D3">
        <w:t>assume</w:t>
      </w:r>
      <w:r w:rsidR="00266203" w:rsidRPr="001A48D3">
        <w:t>s</w:t>
      </w:r>
      <w:r w:rsidRPr="001A48D3">
        <w:t xml:space="preserve"> that </w:t>
      </w:r>
      <w:r w:rsidR="003D7B5E" w:rsidRPr="001A48D3">
        <w:t xml:space="preserve">the </w:t>
      </w:r>
      <w:r w:rsidRPr="001A48D3">
        <w:t xml:space="preserve">incremental vehicle technology costs (reported in </w:t>
      </w:r>
      <w:r w:rsidR="009C50EC" w:rsidRPr="001A48D3">
        <w:t>Table 6</w:t>
      </w:r>
      <w:r w:rsidRPr="001A48D3">
        <w:t xml:space="preserve">) decline as the market expands for the new technology.  The EC </w:t>
      </w:r>
      <w:r w:rsidR="005540E1" w:rsidRPr="001A48D3">
        <w:t>estimates include a 33</w:t>
      </w:r>
      <w:r w:rsidRPr="001A48D3">
        <w:t xml:space="preserve">% </w:t>
      </w:r>
      <w:r w:rsidR="00C62627" w:rsidRPr="001A48D3">
        <w:t xml:space="preserve">cost </w:t>
      </w:r>
      <w:r w:rsidRPr="001A48D3">
        <w:t>reduction in its analysis, but t</w:t>
      </w:r>
      <w:r w:rsidR="005540E1" w:rsidRPr="001A48D3">
        <w:t>his is only</w:t>
      </w:r>
      <w:r w:rsidR="002673DC" w:rsidRPr="001A48D3">
        <w:t xml:space="preserve"> projected to 2020.</w:t>
      </w:r>
      <w:r w:rsidR="0090324D" w:rsidRPr="001A48D3">
        <w:t xml:space="preserve">  As noted earlier, a report</w:t>
      </w:r>
      <w:r w:rsidR="0090324D" w:rsidRPr="001A48D3">
        <w:rPr>
          <w:rStyle w:val="FootnoteReference"/>
        </w:rPr>
        <w:footnoteReference w:id="43"/>
      </w:r>
      <w:r w:rsidR="0090324D" w:rsidRPr="001A48D3">
        <w:t xml:space="preserve"> commissioned by the European vehicle manufacturers questioned the reasoning </w:t>
      </w:r>
      <w:r w:rsidR="00B07A00" w:rsidRPr="001A48D3">
        <w:t>behind</w:t>
      </w:r>
      <w:r w:rsidR="0090324D" w:rsidRPr="001A48D3">
        <w:t xml:space="preserve"> this </w:t>
      </w:r>
      <w:r w:rsidR="00B07A00" w:rsidRPr="001A48D3">
        <w:t>cost reduction estimate</w:t>
      </w:r>
      <w:r w:rsidR="0090324D" w:rsidRPr="001A48D3">
        <w:t xml:space="preserve">, but the report </w:t>
      </w:r>
      <w:r w:rsidR="00C62627" w:rsidRPr="001A48D3">
        <w:t>nevertheless</w:t>
      </w:r>
      <w:r w:rsidR="0090324D" w:rsidRPr="001A48D3">
        <w:t xml:space="preserve"> note</w:t>
      </w:r>
      <w:r w:rsidR="00C62627" w:rsidRPr="001A48D3">
        <w:t>s</w:t>
      </w:r>
      <w:r w:rsidR="0090324D" w:rsidRPr="001A48D3">
        <w:t xml:space="preserve"> that “there is plenty of evidence to suggest that mass production has the effect of reducing unit costs”.</w:t>
      </w:r>
    </w:p>
    <w:p w:rsidR="004B7F1D" w:rsidRPr="001A48D3" w:rsidRDefault="00B07A00" w:rsidP="00C4701A">
      <w:pPr>
        <w:spacing w:after="120"/>
      </w:pPr>
      <w:r w:rsidRPr="001A48D3">
        <w:t>Other reports</w:t>
      </w:r>
      <w:r w:rsidR="004B7F1D" w:rsidRPr="001A48D3">
        <w:t xml:space="preserve"> suggest</w:t>
      </w:r>
      <w:r w:rsidRPr="001A48D3">
        <w:t xml:space="preserve"> that</w:t>
      </w:r>
      <w:r w:rsidR="004B7F1D" w:rsidRPr="001A48D3">
        <w:t xml:space="preserve"> the actual cost reduction over time </w:t>
      </w:r>
      <w:r w:rsidR="008E08EB" w:rsidRPr="001A48D3">
        <w:t>could</w:t>
      </w:r>
      <w:r w:rsidR="00A35059" w:rsidRPr="001A48D3">
        <w:t xml:space="preserve"> </w:t>
      </w:r>
      <w:r w:rsidR="004E66E5" w:rsidRPr="001A48D3">
        <w:t xml:space="preserve">be </w:t>
      </w:r>
      <w:r w:rsidR="00A35059" w:rsidRPr="001A48D3">
        <w:t xml:space="preserve">significantly higher than </w:t>
      </w:r>
      <w:r w:rsidR="008E08EB" w:rsidRPr="001A48D3">
        <w:t>the EC estimate</w:t>
      </w:r>
      <w:r w:rsidR="00A35059" w:rsidRPr="001A48D3">
        <w:t xml:space="preserve">.  For example, </w:t>
      </w:r>
      <w:r w:rsidR="008E08EB" w:rsidRPr="001A48D3">
        <w:t>a 2006 Dutch report</w:t>
      </w:r>
      <w:r w:rsidR="008E08EB" w:rsidRPr="001A48D3">
        <w:rPr>
          <w:rStyle w:val="FootnoteReference"/>
        </w:rPr>
        <w:footnoteReference w:id="44"/>
      </w:r>
      <w:r w:rsidR="008E08EB" w:rsidRPr="001A48D3">
        <w:t xml:space="preserve"> which reviewed actual (ex-post) costs for a range of </w:t>
      </w:r>
      <w:r w:rsidR="00AF01A3" w:rsidRPr="001A48D3">
        <w:t>emissions</w:t>
      </w:r>
      <w:r w:rsidR="008E08EB" w:rsidRPr="001A48D3">
        <w:t xml:space="preserve"> standards concluded that </w:t>
      </w:r>
      <w:r w:rsidR="00266203" w:rsidRPr="001A48D3">
        <w:t xml:space="preserve">cost </w:t>
      </w:r>
      <w:r w:rsidR="008E08EB" w:rsidRPr="001A48D3">
        <w:t>estimates made at the time of standards development were in general double the observed costs following full implementation (within 10 years).  A</w:t>
      </w:r>
      <w:r w:rsidR="00A35059" w:rsidRPr="001A48D3">
        <w:t xml:space="preserve"> US report</w:t>
      </w:r>
      <w:r w:rsidR="008E08EB" w:rsidRPr="001A48D3">
        <w:rPr>
          <w:rStyle w:val="FootnoteReference"/>
        </w:rPr>
        <w:footnoteReference w:id="45"/>
      </w:r>
      <w:r w:rsidR="00A35059" w:rsidRPr="001A48D3">
        <w:t xml:space="preserve"> notes that </w:t>
      </w:r>
      <w:r w:rsidR="00D56B08" w:rsidRPr="001A48D3">
        <w:t xml:space="preserve">the </w:t>
      </w:r>
      <w:r w:rsidR="00A35059" w:rsidRPr="001A48D3">
        <w:t>US EPA assumed that costs would</w:t>
      </w:r>
      <w:r w:rsidR="008E08EB" w:rsidRPr="001A48D3">
        <w:t xml:space="preserve"> fall </w:t>
      </w:r>
      <w:r w:rsidR="00266203" w:rsidRPr="001A48D3">
        <w:t>by</w:t>
      </w:r>
      <w:r w:rsidR="008E08EB" w:rsidRPr="001A48D3">
        <w:t xml:space="preserve"> </w:t>
      </w:r>
      <w:r w:rsidR="00A35059" w:rsidRPr="001A48D3">
        <w:t xml:space="preserve">80% for Tier 2 </w:t>
      </w:r>
      <w:r w:rsidR="00AF01A3" w:rsidRPr="001A48D3">
        <w:t>emissions</w:t>
      </w:r>
      <w:r w:rsidR="00A35059" w:rsidRPr="001A48D3">
        <w:t xml:space="preserve"> standards after two years in </w:t>
      </w:r>
      <w:r w:rsidR="008E08EB" w:rsidRPr="001A48D3">
        <w:t>p</w:t>
      </w:r>
      <w:r w:rsidR="00A35059" w:rsidRPr="001A48D3">
        <w:t>roduction</w:t>
      </w:r>
      <w:r w:rsidR="004B7F1D" w:rsidRPr="001A48D3">
        <w:t>.</w:t>
      </w:r>
    </w:p>
    <w:p w:rsidR="004B7F1D" w:rsidRPr="001A48D3" w:rsidRDefault="004B7F1D" w:rsidP="00C4701A">
      <w:pPr>
        <w:spacing w:after="120"/>
      </w:pPr>
      <w:r w:rsidRPr="001A48D3">
        <w:t>Taking the above factors into account, the assumed cost adjustment process for this analysis fo</w:t>
      </w:r>
      <w:r w:rsidR="00244954" w:rsidRPr="001A48D3">
        <w:t>llows the path shown in Figure 7</w:t>
      </w:r>
      <w:r w:rsidRPr="001A48D3">
        <w:t xml:space="preserve">, that is, the additional unit vehicle costs to comply with the standards are kept constant to 2020, then drop by </w:t>
      </w:r>
      <w:r w:rsidR="00042B3B" w:rsidRPr="001A48D3">
        <w:t xml:space="preserve">around 40% </w:t>
      </w:r>
      <w:r w:rsidR="00042B3B" w:rsidRPr="001A48D3">
        <w:lastRenderedPageBreak/>
        <w:t>by 2029</w:t>
      </w:r>
      <w:r w:rsidRPr="001A48D3">
        <w:t xml:space="preserve">.  </w:t>
      </w:r>
      <w:r w:rsidR="00042B3B" w:rsidRPr="001A48D3">
        <w:t>The adjusted additional per vehicle cost for petrol (P1) and diesel (D1) vehicles is shown in Figure 8.</w:t>
      </w:r>
    </w:p>
    <w:p w:rsidR="00925BAF" w:rsidRPr="001A48D3" w:rsidRDefault="00925BAF" w:rsidP="00C4701A">
      <w:pPr>
        <w:spacing w:after="120"/>
      </w:pPr>
    </w:p>
    <w:p w:rsidR="003D7B5E" w:rsidRPr="001A48D3" w:rsidRDefault="00836FFF" w:rsidP="00B52F7D">
      <w:pPr>
        <w:spacing w:after="120"/>
      </w:pPr>
      <w:r>
        <w:rPr>
          <w:noProof/>
        </w:rPr>
        <w:drawing>
          <wp:inline distT="0" distB="0" distL="0" distR="0" wp14:anchorId="64A022FD" wp14:editId="6E6B3580">
            <wp:extent cx="3581400" cy="1924050"/>
            <wp:effectExtent l="0" t="0" r="0" b="0"/>
            <wp:docPr id="7" name="Chart 1" descr="The diagram is a technical diagram. If you are unable to view this image, please contact the Department of Infrastructure &amp; Regional Development for a hard copy of this docu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descr="The diagram is a technical diagram. If you are unable to view this image, please contact the Department of Infrastructure &amp; Regional Development for a hard copy of this document."/>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0" cy="1924050"/>
                    </a:xfrm>
                    <a:prstGeom prst="rect">
                      <a:avLst/>
                    </a:prstGeom>
                    <a:noFill/>
                    <a:ln>
                      <a:noFill/>
                    </a:ln>
                  </pic:spPr>
                </pic:pic>
              </a:graphicData>
            </a:graphic>
          </wp:inline>
        </w:drawing>
      </w:r>
    </w:p>
    <w:p w:rsidR="003D7B5E" w:rsidRPr="001A48D3" w:rsidRDefault="003D7B5E" w:rsidP="00B52F7D">
      <w:pPr>
        <w:pStyle w:val="Heading3"/>
      </w:pPr>
      <w:bookmarkStart w:id="67" w:name="_Toc430182527"/>
      <w:r w:rsidRPr="001A48D3">
        <w:t>Figure</w:t>
      </w:r>
      <w:r w:rsidR="00244954" w:rsidRPr="001A48D3">
        <w:t xml:space="preserve"> 7</w:t>
      </w:r>
      <w:r w:rsidRPr="001A48D3">
        <w:tab/>
        <w:t>Assumed cost adjustment path</w:t>
      </w:r>
      <w:bookmarkEnd w:id="67"/>
      <w:r w:rsidR="00612C45" w:rsidRPr="001A48D3">
        <w:t xml:space="preserve"> </w:t>
      </w:r>
    </w:p>
    <w:p w:rsidR="00266203" w:rsidRPr="001A48D3" w:rsidRDefault="00266203" w:rsidP="00C4701A">
      <w:pPr>
        <w:spacing w:after="120"/>
        <w:rPr>
          <w:u w:val="single"/>
        </w:rPr>
      </w:pPr>
    </w:p>
    <w:p w:rsidR="008034F6" w:rsidRPr="001A48D3" w:rsidRDefault="008034F6" w:rsidP="00C4701A">
      <w:pPr>
        <w:pStyle w:val="Heading4"/>
        <w:spacing w:after="120"/>
      </w:pPr>
      <w:bookmarkStart w:id="68" w:name="_Toc430182528"/>
      <w:r w:rsidRPr="001A48D3">
        <w:t>Delayed Benefits</w:t>
      </w:r>
      <w:bookmarkEnd w:id="68"/>
    </w:p>
    <w:p w:rsidR="004B7F1D" w:rsidRPr="001A48D3" w:rsidRDefault="00042B3B" w:rsidP="00C4701A">
      <w:pPr>
        <w:spacing w:after="120"/>
      </w:pPr>
      <w:r w:rsidRPr="001A48D3">
        <w:t>As illustrated in the emissions analysis</w:t>
      </w:r>
      <w:r w:rsidR="00F61EC0" w:rsidRPr="001A48D3">
        <w:t xml:space="preserve"> in S</w:t>
      </w:r>
      <w:r w:rsidRPr="001A48D3">
        <w:t>ection 4.1</w:t>
      </w:r>
      <w:r w:rsidR="00F61EC0" w:rsidRPr="001A48D3">
        <w:t>, e</w:t>
      </w:r>
      <w:r w:rsidR="004B7F1D" w:rsidRPr="001A48D3">
        <w:t xml:space="preserve">missions-reducing technology on vehicles purchased during the latter part of the evaluation period will continue to generate benefits beyond the end of the evaluation period in </w:t>
      </w:r>
      <w:r w:rsidR="00DD73BA" w:rsidRPr="001A48D3">
        <w:t>2029</w:t>
      </w:r>
      <w:r w:rsidR="004B7F1D" w:rsidRPr="001A48D3">
        <w:t>.</w:t>
      </w:r>
      <w:r w:rsidR="008034F6" w:rsidRPr="001A48D3">
        <w:t xml:space="preserve"> </w:t>
      </w:r>
      <w:r w:rsidR="004B7F1D" w:rsidRPr="001A48D3">
        <w:t xml:space="preserve"> In benefit–cost analyses, where assets generate benefits beyond the evaluation period, the usual approach is to estimate the benefits from those assets over their entire lives and to include, as a ‘residual value’, the present value of benefits that accrue after the end of the evaluation period.</w:t>
      </w:r>
      <w:r w:rsidR="008034F6" w:rsidRPr="001A48D3">
        <w:t xml:space="preserve"> </w:t>
      </w:r>
      <w:r w:rsidR="004B7F1D" w:rsidRPr="001A48D3">
        <w:t xml:space="preserve"> For the present application, such an approach would entail a heavy calculation burden. </w:t>
      </w:r>
      <w:r w:rsidR="008034F6" w:rsidRPr="001A48D3">
        <w:t xml:space="preserve"> </w:t>
      </w:r>
      <w:r w:rsidR="004B7F1D" w:rsidRPr="001A48D3">
        <w:t xml:space="preserve">Since the benefits from </w:t>
      </w:r>
      <w:r w:rsidR="00AF01A3" w:rsidRPr="001A48D3">
        <w:t>emissions</w:t>
      </w:r>
      <w:r w:rsidR="004B7F1D" w:rsidRPr="001A48D3">
        <w:t xml:space="preserve">-reducing technology are fairly constant over the lives of the vehicles, a good approximation is obtained by prorating the cost of the technology over the lives of the vehicles, then only counting costs attributed to </w:t>
      </w:r>
      <w:r w:rsidR="004E66E5" w:rsidRPr="001A48D3">
        <w:t xml:space="preserve">the </w:t>
      </w:r>
      <w:r w:rsidR="004B7F1D" w:rsidRPr="001A48D3">
        <w:t>year</w:t>
      </w:r>
      <w:r w:rsidR="009A4687" w:rsidRPr="001A48D3">
        <w:t>s before 2029</w:t>
      </w:r>
      <w:r w:rsidR="004B7F1D" w:rsidRPr="001A48D3">
        <w:t>.</w:t>
      </w:r>
    </w:p>
    <w:p w:rsidR="004B7F1D" w:rsidRPr="001A48D3" w:rsidRDefault="004B7F1D" w:rsidP="00C4701A">
      <w:pPr>
        <w:spacing w:after="120"/>
      </w:pPr>
      <w:r w:rsidRPr="001A48D3">
        <w:t>The average vehicle life was assumed to be 17 years.</w:t>
      </w:r>
      <w:r w:rsidR="00447172" w:rsidRPr="001A48D3">
        <w:t xml:space="preserve"> </w:t>
      </w:r>
      <w:r w:rsidRPr="001A48D3">
        <w:t xml:space="preserve"> For vehicles purchased during the last 16 years of the evaluation period, the cost of the emissions-reducing technology was </w:t>
      </w:r>
      <w:proofErr w:type="spellStart"/>
      <w:r w:rsidRPr="001A48D3">
        <w:t>annuitised</w:t>
      </w:r>
      <w:proofErr w:type="spellEnd"/>
      <w:r w:rsidRPr="001A48D3">
        <w:t xml:space="preserve"> over 17 years at the discount rate. </w:t>
      </w:r>
      <w:r w:rsidR="0046661F" w:rsidRPr="001A48D3">
        <w:t xml:space="preserve"> </w:t>
      </w:r>
      <w:r w:rsidRPr="001A48D3">
        <w:t xml:space="preserve">The annual costs for </w:t>
      </w:r>
      <w:r w:rsidR="004E66E5" w:rsidRPr="001A48D3">
        <w:t xml:space="preserve">the </w:t>
      </w:r>
      <w:r w:rsidRPr="001A48D3">
        <w:t xml:space="preserve">years before </w:t>
      </w:r>
      <w:r w:rsidR="00DD73BA" w:rsidRPr="001A48D3">
        <w:t xml:space="preserve">2030 </w:t>
      </w:r>
      <w:r w:rsidRPr="001A48D3">
        <w:t xml:space="preserve">were discounted to the present as implementation costs. </w:t>
      </w:r>
      <w:r w:rsidR="0046661F" w:rsidRPr="001A48D3">
        <w:t xml:space="preserve"> </w:t>
      </w:r>
      <w:r w:rsidRPr="001A48D3">
        <w:t xml:space="preserve">Annual costs for years </w:t>
      </w:r>
      <w:r w:rsidR="00DD73BA" w:rsidRPr="001A48D3">
        <w:t xml:space="preserve">2030 </w:t>
      </w:r>
      <w:r w:rsidRPr="001A48D3">
        <w:t xml:space="preserve">onward were omitted, consistent with the benefits for years </w:t>
      </w:r>
      <w:r w:rsidR="00DD73BA" w:rsidRPr="001A48D3">
        <w:t xml:space="preserve">2030 </w:t>
      </w:r>
      <w:r w:rsidRPr="001A48D3">
        <w:t>onward being absent.</w:t>
      </w:r>
    </w:p>
    <w:p w:rsidR="004B7F1D" w:rsidRPr="001A48D3" w:rsidRDefault="004B7F1D" w:rsidP="00C4701A">
      <w:pPr>
        <w:spacing w:after="120"/>
      </w:pPr>
      <w:r w:rsidRPr="001A48D3">
        <w:t xml:space="preserve">The ‘pro-rata’ curves in Figure </w:t>
      </w:r>
      <w:r w:rsidR="00244954" w:rsidRPr="001A48D3">
        <w:t>8</w:t>
      </w:r>
      <w:r w:rsidRPr="001A48D3">
        <w:t xml:space="preserve"> (</w:t>
      </w:r>
      <w:r w:rsidR="00DD73BA" w:rsidRPr="001A48D3">
        <w:t xml:space="preserve">P2 </w:t>
      </w:r>
      <w:r w:rsidRPr="001A48D3">
        <w:t xml:space="preserve">and </w:t>
      </w:r>
      <w:r w:rsidR="00DD73BA" w:rsidRPr="001A48D3">
        <w:t>D2</w:t>
      </w:r>
      <w:r w:rsidRPr="001A48D3">
        <w:t xml:space="preserve">) show the effects on costs per vehicle of excluding annualised costs after </w:t>
      </w:r>
      <w:r w:rsidR="00DD73BA" w:rsidRPr="001A48D3">
        <w:t xml:space="preserve">2029 </w:t>
      </w:r>
      <w:r w:rsidRPr="001A48D3">
        <w:t xml:space="preserve">of emissions-reducing technology for vehicles purchased over the last 16 years of the evaluation period. </w:t>
      </w:r>
      <w:r w:rsidR="0046661F" w:rsidRPr="001A48D3">
        <w:t xml:space="preserve"> </w:t>
      </w:r>
      <w:r w:rsidRPr="001A48D3">
        <w:t xml:space="preserve">The pro-rata curves approach zero by the end of the period, with vehicles purchased in </w:t>
      </w:r>
      <w:r w:rsidR="00DD73BA" w:rsidRPr="001A48D3">
        <w:t xml:space="preserve">2029 </w:t>
      </w:r>
      <w:r w:rsidRPr="001A48D3">
        <w:t xml:space="preserve">having only one year of cost included. </w:t>
      </w:r>
    </w:p>
    <w:p w:rsidR="004B7F1D" w:rsidRPr="001A48D3" w:rsidRDefault="004B7F1D" w:rsidP="00C4701A">
      <w:pPr>
        <w:spacing w:after="120"/>
      </w:pPr>
    </w:p>
    <w:p w:rsidR="008B33FD" w:rsidRPr="001A48D3" w:rsidRDefault="00836FFF" w:rsidP="00C4701A">
      <w:pPr>
        <w:spacing w:after="120"/>
        <w:rPr>
          <w:b/>
          <w:szCs w:val="24"/>
        </w:rPr>
      </w:pPr>
      <w:r>
        <w:rPr>
          <w:noProof/>
        </w:rPr>
        <w:lastRenderedPageBreak/>
        <w:drawing>
          <wp:inline distT="0" distB="0" distL="0" distR="0" wp14:anchorId="3A798294" wp14:editId="62933B62">
            <wp:extent cx="3371850" cy="1819275"/>
            <wp:effectExtent l="0" t="0" r="0" b="9525"/>
            <wp:docPr id="8" name="Chart 2" descr="The diagram is a technical diagram. If you are unable to view this image, please contact the Department of Infrastructure &amp; Regional Development for a hard copy of this docu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descr="The diagram is a technical diagram. If you are unable to view this image, please contact the Department of Infrastructure &amp; Regional Development for a hard copy of this document."/>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1850" cy="1819275"/>
                    </a:xfrm>
                    <a:prstGeom prst="rect">
                      <a:avLst/>
                    </a:prstGeom>
                    <a:noFill/>
                    <a:ln>
                      <a:noFill/>
                    </a:ln>
                  </pic:spPr>
                </pic:pic>
              </a:graphicData>
            </a:graphic>
          </wp:inline>
        </w:drawing>
      </w:r>
    </w:p>
    <w:p w:rsidR="003D7B5E" w:rsidRPr="001A48D3" w:rsidRDefault="00244954" w:rsidP="00B52F7D">
      <w:pPr>
        <w:pStyle w:val="Heading3"/>
      </w:pPr>
      <w:bookmarkStart w:id="69" w:name="_Toc430182529"/>
      <w:r w:rsidRPr="001A48D3">
        <w:t>Figure 8</w:t>
      </w:r>
      <w:r w:rsidR="003D7B5E" w:rsidRPr="001A48D3">
        <w:tab/>
        <w:t>Additional Vehicle Cost Estimates (A$/vehicle)</w:t>
      </w:r>
      <w:bookmarkEnd w:id="69"/>
      <w:r w:rsidR="00612C45" w:rsidRPr="001A48D3">
        <w:t xml:space="preserve"> </w:t>
      </w:r>
    </w:p>
    <w:p w:rsidR="00FD7492" w:rsidRPr="001A48D3" w:rsidRDefault="00FD7492" w:rsidP="00C4701A">
      <w:pPr>
        <w:spacing w:after="120"/>
      </w:pPr>
    </w:p>
    <w:p w:rsidR="008034F6" w:rsidRPr="001A48D3" w:rsidRDefault="008034F6" w:rsidP="00C4701A">
      <w:pPr>
        <w:pStyle w:val="Heading4"/>
        <w:spacing w:after="120"/>
      </w:pPr>
      <w:bookmarkStart w:id="70" w:name="_Toc430182530"/>
      <w:r w:rsidRPr="001A48D3">
        <w:t>Compliance Levels</w:t>
      </w:r>
      <w:bookmarkEnd w:id="70"/>
    </w:p>
    <w:p w:rsidR="006E2429" w:rsidRPr="001A48D3" w:rsidRDefault="004B7F1D" w:rsidP="00C4701A">
      <w:pPr>
        <w:spacing w:after="120"/>
      </w:pPr>
      <w:r w:rsidRPr="001A48D3">
        <w:t>In estimating the total implementation costs, two further assumptions were made</w:t>
      </w:r>
      <w:r w:rsidR="008034F6" w:rsidRPr="001A48D3">
        <w:t xml:space="preserve"> regarding the proportion of vehicles complying with the new standard</w:t>
      </w:r>
      <w:r w:rsidRPr="001A48D3">
        <w:t xml:space="preserve">. </w:t>
      </w:r>
    </w:p>
    <w:p w:rsidR="006E2429" w:rsidRPr="001A48D3" w:rsidRDefault="004B7F1D" w:rsidP="00C4701A">
      <w:pPr>
        <w:spacing w:after="120"/>
      </w:pPr>
      <w:r w:rsidRPr="001A48D3">
        <w:t xml:space="preserve">First, it was assumed that around half of the vehicles sold in the introduction year of each standard would </w:t>
      </w:r>
      <w:r w:rsidR="008034F6" w:rsidRPr="001A48D3">
        <w:t>already comply with</w:t>
      </w:r>
      <w:r w:rsidRPr="001A48D3">
        <w:t xml:space="preserve"> the </w:t>
      </w:r>
      <w:r w:rsidR="008034F6" w:rsidRPr="001A48D3">
        <w:t xml:space="preserve">new </w:t>
      </w:r>
      <w:r w:rsidRPr="001A48D3">
        <w:t>standard</w:t>
      </w:r>
      <w:r w:rsidR="008034F6" w:rsidRPr="001A48D3">
        <w:t>,</w:t>
      </w:r>
      <w:r w:rsidRPr="001A48D3">
        <w:t xml:space="preserve"> so only 50 </w:t>
      </w:r>
      <w:r w:rsidR="00D56B08" w:rsidRPr="001A48D3">
        <w:t>%</w:t>
      </w:r>
      <w:r w:rsidRPr="001A48D3">
        <w:t xml:space="preserve"> of the new sales would attract an additional cost. </w:t>
      </w:r>
      <w:r w:rsidR="008034F6" w:rsidRPr="001A48D3">
        <w:t xml:space="preserve"> </w:t>
      </w:r>
    </w:p>
    <w:p w:rsidR="00244954" w:rsidRPr="001A48D3" w:rsidRDefault="004B7F1D" w:rsidP="00C4701A">
      <w:pPr>
        <w:spacing w:after="120"/>
      </w:pPr>
      <w:r w:rsidRPr="001A48D3">
        <w:t xml:space="preserve">Second, it was assumed for all other years that some proportion of new vehicles would have met the lower </w:t>
      </w:r>
      <w:r w:rsidR="00AF01A3" w:rsidRPr="001A48D3">
        <w:t>emissions</w:t>
      </w:r>
      <w:r w:rsidRPr="001A48D3">
        <w:t xml:space="preserve"> level even without the new standards implementation. </w:t>
      </w:r>
      <w:r w:rsidR="008034F6" w:rsidRPr="001A48D3">
        <w:t xml:space="preserve"> </w:t>
      </w:r>
      <w:r w:rsidRPr="001A48D3">
        <w:t>For petrol vehicle</w:t>
      </w:r>
      <w:r w:rsidR="00D56B08" w:rsidRPr="001A48D3">
        <w:t>s, the proportion was set to 30%</w:t>
      </w:r>
      <w:r w:rsidRPr="001A48D3">
        <w:t xml:space="preserve"> throughout the evaluation period. </w:t>
      </w:r>
      <w:r w:rsidR="008034F6" w:rsidRPr="001A48D3">
        <w:t xml:space="preserve"> </w:t>
      </w:r>
      <w:r w:rsidRPr="001A48D3">
        <w:t>For diesel vehicles, the proportion was set to 30</w:t>
      </w:r>
      <w:r w:rsidR="00D56B08" w:rsidRPr="001A48D3">
        <w:t>%</w:t>
      </w:r>
      <w:r w:rsidRPr="001A48D3">
        <w:t xml:space="preserve"> when moving from Euro 4 to Euro 5 standards and to 5</w:t>
      </w:r>
      <w:r w:rsidR="00D56B08" w:rsidRPr="001A48D3">
        <w:t>%</w:t>
      </w:r>
      <w:r w:rsidRPr="001A48D3">
        <w:t xml:space="preserve"> from Euro</w:t>
      </w:r>
      <w:r w:rsidR="009C50EC" w:rsidRPr="001A48D3">
        <w:t xml:space="preserve"> 5 to Euro 6 st</w:t>
      </w:r>
      <w:r w:rsidR="00244954" w:rsidRPr="001A48D3">
        <w:t>andards (Figure 9</w:t>
      </w:r>
      <w:r w:rsidRPr="001A48D3">
        <w:t>).</w:t>
      </w:r>
      <w:r w:rsidR="006E2429" w:rsidRPr="001A48D3">
        <w:t xml:space="preserve">  </w:t>
      </w:r>
      <w:r w:rsidRPr="001A48D3">
        <w:t>The benefits from the lower emissions of these vehicles were not included in the benefits of introducing the new standards because these benefits accrue regardless.</w:t>
      </w:r>
    </w:p>
    <w:p w:rsidR="006E2429" w:rsidRPr="001A48D3" w:rsidRDefault="00836FFF" w:rsidP="00C4701A">
      <w:pPr>
        <w:spacing w:after="120"/>
        <w:rPr>
          <w:szCs w:val="24"/>
        </w:rPr>
      </w:pPr>
      <w:r>
        <w:rPr>
          <w:noProof/>
        </w:rPr>
        <w:drawing>
          <wp:inline distT="0" distB="0" distL="0" distR="0" wp14:anchorId="3C78026C" wp14:editId="6301AE2B">
            <wp:extent cx="3457575" cy="2038350"/>
            <wp:effectExtent l="0" t="0" r="9525" b="0"/>
            <wp:docPr id="9" name="Chart 3" descr="The diagram is a technical diagram. If you are unable to view this image, please contact the Department of Infrastructure &amp; Regional Development for a hard copy of this docu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descr="The diagram is a technical diagram. If you are unable to view this image, please contact the Department of Infrastructure &amp; Regional Development for a hard copy of this document."/>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57575" cy="2038350"/>
                    </a:xfrm>
                    <a:prstGeom prst="rect">
                      <a:avLst/>
                    </a:prstGeom>
                    <a:noFill/>
                    <a:ln>
                      <a:noFill/>
                    </a:ln>
                  </pic:spPr>
                </pic:pic>
              </a:graphicData>
            </a:graphic>
          </wp:inline>
        </w:drawing>
      </w:r>
    </w:p>
    <w:p w:rsidR="006E2429" w:rsidRPr="001A48D3" w:rsidRDefault="00244954" w:rsidP="00B52F7D">
      <w:pPr>
        <w:pStyle w:val="Heading3"/>
      </w:pPr>
      <w:bookmarkStart w:id="71" w:name="_Toc430182531"/>
      <w:r w:rsidRPr="001A48D3">
        <w:t>Figure 9</w:t>
      </w:r>
      <w:r w:rsidR="009C50EC" w:rsidRPr="001A48D3">
        <w:tab/>
        <w:t xml:space="preserve">Proportion of New </w:t>
      </w:r>
      <w:r w:rsidR="000C238A" w:rsidRPr="001A48D3">
        <w:t xml:space="preserve">Vehicles Already Complying with </w:t>
      </w:r>
      <w:r w:rsidR="009C50EC" w:rsidRPr="001A48D3">
        <w:t>the New S</w:t>
      </w:r>
      <w:r w:rsidR="006E2429" w:rsidRPr="001A48D3">
        <w:t>tandards (%)</w:t>
      </w:r>
      <w:bookmarkEnd w:id="71"/>
      <w:r w:rsidR="006B3936" w:rsidRPr="001A48D3">
        <w:t xml:space="preserve"> </w:t>
      </w:r>
    </w:p>
    <w:p w:rsidR="00896A37" w:rsidRPr="001A48D3" w:rsidRDefault="00896A37" w:rsidP="00C4701A">
      <w:pPr>
        <w:spacing w:after="120"/>
      </w:pPr>
    </w:p>
    <w:p w:rsidR="00266203" w:rsidRPr="001A48D3" w:rsidRDefault="00164C6C" w:rsidP="00C4701A">
      <w:pPr>
        <w:spacing w:after="120"/>
      </w:pPr>
      <w:r w:rsidRPr="001A48D3">
        <w:t xml:space="preserve">As noted in the discussion under </w:t>
      </w:r>
      <w:r w:rsidR="00CE0A88" w:rsidRPr="001A48D3">
        <w:t>Section</w:t>
      </w:r>
      <w:r w:rsidRPr="001A48D3">
        <w:t xml:space="preserve"> 4.1 of this RIS, the FCAI questioned the assumptions regarding uptake of alternative technologies such as electric vehicles and hybrids.  In considering the costs impacts of different technology assumptions, the BITRE concludes that making the changes suggested by the FCAI (i.e. including much higher penetration of technologies such as plug-in hybrids and electric vehicles </w:t>
      </w:r>
      <w:r w:rsidRPr="001A48D3">
        <w:lastRenderedPageBreak/>
        <w:t xml:space="preserve">in the base case modelling) would have little effect on the benefit-cost ratios calculated in the </w:t>
      </w:r>
      <w:r w:rsidR="00D022D2" w:rsidRPr="001A48D3">
        <w:t>RIS</w:t>
      </w:r>
      <w:r w:rsidRPr="001A48D3">
        <w:t>.  The base case already assumes a significant proportion of future sales  to be technologically advanced enough to meet the new standards</w:t>
      </w:r>
      <w:r w:rsidR="009C0A05" w:rsidRPr="001A48D3">
        <w:t xml:space="preserve"> proposed in this RIS</w:t>
      </w:r>
      <w:r w:rsidRPr="001A48D3">
        <w:t xml:space="preserve">, and would therefore not incur any further costs if the stricter emission limits under Euro 5/6 were introduced.  Raising the eventual penetration of such advanced technologies in the modelling would somewhat reduce the calculated benefits of the measure.  However, it would also reduce the costs incurred (since the proportion of future vehicle sales assumed to already meet the new standards would be increased).  These effects would be roughly counterbalancing (in terms of the benefit-cost ratio calculation), and would also tend to be significant only towards the tail-end of the projection period.  Since the discounting used to calculate the Net Present Values in the overall benefit-cost ratio </w:t>
      </w:r>
      <w:r w:rsidR="00F61EC0" w:rsidRPr="001A48D3">
        <w:t xml:space="preserve">significantly reduces the value of the </w:t>
      </w:r>
      <w:r w:rsidR="009C0A05" w:rsidRPr="001A48D3">
        <w:t xml:space="preserve">cost estimates in </w:t>
      </w:r>
      <w:r w:rsidR="00F61EC0" w:rsidRPr="001A48D3">
        <w:t>the later</w:t>
      </w:r>
      <w:r w:rsidRPr="001A48D3">
        <w:t xml:space="preserve"> years, the aggregate contribution to the BCA ratio values of such tail-end effects will tend to be minor.  On this basis, a reworking of the base case modelling is not considered necessary.</w:t>
      </w:r>
    </w:p>
    <w:p w:rsidR="00164C6C" w:rsidRPr="001A48D3" w:rsidRDefault="00FD7492" w:rsidP="00C4701A">
      <w:pPr>
        <w:spacing w:after="120"/>
        <w:jc w:val="both"/>
      </w:pPr>
      <w:r w:rsidRPr="001A48D3">
        <w:br w:type="page"/>
      </w:r>
    </w:p>
    <w:p w:rsidR="00896A37" w:rsidRPr="001A48D3" w:rsidRDefault="00361D22" w:rsidP="00153F3E">
      <w:pPr>
        <w:pStyle w:val="Heading2"/>
      </w:pPr>
      <w:bookmarkStart w:id="72" w:name="_Toc89846648"/>
      <w:bookmarkStart w:id="73" w:name="_Toc430182532"/>
      <w:r>
        <w:lastRenderedPageBreak/>
        <w:t>4.3</w:t>
      </w:r>
      <w:r>
        <w:tab/>
      </w:r>
      <w:r w:rsidR="00896A37" w:rsidRPr="001A48D3">
        <w:t>Health Benefits</w:t>
      </w:r>
      <w:bookmarkEnd w:id="72"/>
      <w:bookmarkEnd w:id="73"/>
    </w:p>
    <w:p w:rsidR="004A1451" w:rsidRPr="001A48D3" w:rsidRDefault="005476FB" w:rsidP="00C4701A">
      <w:pPr>
        <w:spacing w:after="120"/>
      </w:pPr>
      <w:r w:rsidRPr="001A48D3">
        <w:t xml:space="preserve">In the </w:t>
      </w:r>
      <w:r w:rsidR="004A1451" w:rsidRPr="001A48D3">
        <w:t>vehicle</w:t>
      </w:r>
      <w:r w:rsidRPr="001A48D3">
        <w:t xml:space="preserve"> emissions context, an accepted method to measure the health benefits from lower emissions is to use an “avoided </w:t>
      </w:r>
      <w:r w:rsidR="00EC459A" w:rsidRPr="001A48D3">
        <w:t xml:space="preserve">health </w:t>
      </w:r>
      <w:r w:rsidRPr="001A48D3">
        <w:t xml:space="preserve">cost” approach.  In such an approach, monetary values </w:t>
      </w:r>
      <w:r w:rsidR="004A1451" w:rsidRPr="001A48D3">
        <w:t xml:space="preserve">(measured as $/tonne) </w:t>
      </w:r>
      <w:r w:rsidRPr="001A48D3">
        <w:t>are assigned to individual pollutants (in this case HC, NOx and PM)</w:t>
      </w:r>
      <w:r w:rsidR="004A1451" w:rsidRPr="001A48D3">
        <w:t xml:space="preserve">.  These dollar values are derived from an assessment of human morbidity and mortality impacts from exposure to these pollutants, and the monetary costs associated with addressing those impacts.  </w:t>
      </w:r>
    </w:p>
    <w:p w:rsidR="008034F6" w:rsidRPr="001A48D3" w:rsidRDefault="00775A12" w:rsidP="00C4701A">
      <w:pPr>
        <w:spacing w:after="120"/>
      </w:pPr>
      <w:r w:rsidRPr="001A48D3">
        <w:t xml:space="preserve">The methodology employed to estimate the health benefits is described </w:t>
      </w:r>
      <w:r w:rsidR="008034F6" w:rsidRPr="001A48D3">
        <w:t>by</w:t>
      </w:r>
      <w:r w:rsidRPr="001A48D3">
        <w:t xml:space="preserve"> </w:t>
      </w:r>
      <w:r w:rsidR="008034F6" w:rsidRPr="001A48D3">
        <w:t>the following formula:</w:t>
      </w:r>
    </w:p>
    <w:p w:rsidR="008034F6" w:rsidRPr="001A48D3" w:rsidRDefault="008034F6" w:rsidP="00C4701A">
      <w:pPr>
        <w:spacing w:after="120"/>
        <w:rPr>
          <w:b/>
        </w:rPr>
      </w:pPr>
      <w:r w:rsidRPr="001A48D3">
        <w:rPr>
          <w:b/>
        </w:rPr>
        <w:t>Avoided Health Cost ($) = Emissions Saved (tonnes) x Unit Health Cost ($)</w:t>
      </w:r>
    </w:p>
    <w:p w:rsidR="00775A12" w:rsidRPr="001A48D3" w:rsidRDefault="00775A12" w:rsidP="00C4701A">
      <w:pPr>
        <w:spacing w:after="120"/>
      </w:pPr>
      <w:r w:rsidRPr="001A48D3">
        <w:t xml:space="preserve">The first step is to quantify the emissions of pollutants for the scenarios under investigation and estimate tonnes of emissions saved for each </w:t>
      </w:r>
      <w:r w:rsidR="008034F6" w:rsidRPr="001A48D3">
        <w:t>vehicle</w:t>
      </w:r>
      <w:r w:rsidRPr="001A48D3">
        <w:t xml:space="preserve"> standards </w:t>
      </w:r>
      <w:r w:rsidR="008034F6" w:rsidRPr="001A48D3">
        <w:t xml:space="preserve">option </w:t>
      </w:r>
      <w:r w:rsidRPr="001A48D3">
        <w:t xml:space="preserve">(relative to the base case). </w:t>
      </w:r>
      <w:r w:rsidR="008034F6" w:rsidRPr="001A48D3">
        <w:t xml:space="preserve"> </w:t>
      </w:r>
      <w:r w:rsidRPr="001A48D3">
        <w:t xml:space="preserve">The second step is to establish a value for an average health cost ($ per tonne of emissions) from existing studies. </w:t>
      </w:r>
      <w:r w:rsidR="008034F6" w:rsidRPr="001A48D3">
        <w:t xml:space="preserve"> </w:t>
      </w:r>
      <w:r w:rsidRPr="001A48D3">
        <w:t>The final step is to calculate the total health benefit (or health cost avoided) by multiplying tonnes of emissions saved by unit value(s) for health costs.</w:t>
      </w:r>
    </w:p>
    <w:p w:rsidR="00E71627" w:rsidRPr="001A48D3" w:rsidRDefault="00E71627" w:rsidP="00C4701A">
      <w:pPr>
        <w:spacing w:after="120"/>
      </w:pPr>
      <w:r w:rsidRPr="001A48D3">
        <w:t>The</w:t>
      </w:r>
      <w:r w:rsidR="00266203" w:rsidRPr="001A48D3">
        <w:t xml:space="preserve"> </w:t>
      </w:r>
      <w:r w:rsidR="00AF01A3" w:rsidRPr="001A48D3">
        <w:t>emissions</w:t>
      </w:r>
      <w:r w:rsidRPr="001A48D3">
        <w:t xml:space="preserve"> estimates for the first step are provided by the analysis outlined in </w:t>
      </w:r>
      <w:r w:rsidR="00CE0A88" w:rsidRPr="001A48D3">
        <w:t>Section</w:t>
      </w:r>
      <w:r w:rsidRPr="001A48D3">
        <w:t xml:space="preserve"> 4.1 of this </w:t>
      </w:r>
      <w:r w:rsidR="006421E9" w:rsidRPr="001A48D3">
        <w:t>RIS</w:t>
      </w:r>
      <w:r w:rsidRPr="001A48D3">
        <w:t xml:space="preserve">. </w:t>
      </w:r>
    </w:p>
    <w:p w:rsidR="00984FC5" w:rsidRPr="001A48D3" w:rsidRDefault="00984FC5" w:rsidP="00C4701A">
      <w:pPr>
        <w:spacing w:after="120"/>
      </w:pPr>
      <w:r w:rsidRPr="001A48D3">
        <w:t xml:space="preserve">In determining unit health costs, the ideal methodology is to use a “bottom-up approach” to analyse the health impact of the proposed new </w:t>
      </w:r>
      <w:r w:rsidR="00AF01A3" w:rsidRPr="001A48D3">
        <w:t>emissions</w:t>
      </w:r>
      <w:r w:rsidRPr="001A48D3">
        <w:t xml:space="preserve"> standards. </w:t>
      </w:r>
      <w:r w:rsidR="00AD2AEB" w:rsidRPr="001A48D3">
        <w:t xml:space="preserve"> </w:t>
      </w:r>
      <w:r w:rsidRPr="001A48D3">
        <w:t xml:space="preserve">Such an approach would follow the methodology recommended by </w:t>
      </w:r>
      <w:proofErr w:type="spellStart"/>
      <w:r w:rsidRPr="001A48D3">
        <w:t>Jalaludin</w:t>
      </w:r>
      <w:proofErr w:type="spellEnd"/>
      <w:r w:rsidRPr="001A48D3">
        <w:t>, et al</w:t>
      </w:r>
      <w:r w:rsidR="00E71627" w:rsidRPr="001A48D3">
        <w:rPr>
          <w:rStyle w:val="FootnoteReference"/>
        </w:rPr>
        <w:footnoteReference w:id="46"/>
      </w:r>
      <w:r w:rsidR="00E71627" w:rsidRPr="001A48D3">
        <w:t xml:space="preserve"> </w:t>
      </w:r>
      <w:r w:rsidRPr="001A48D3">
        <w:t xml:space="preserve">and would comprise a series of steps to quantify and value air pollution in each major city, taking into account the effects of technology. </w:t>
      </w:r>
      <w:r w:rsidR="00E71627" w:rsidRPr="001A48D3">
        <w:t xml:space="preserve"> </w:t>
      </w:r>
      <w:r w:rsidRPr="001A48D3">
        <w:t>However, the simplified approach outlined below is considered adequate for this analysis.</w:t>
      </w:r>
    </w:p>
    <w:p w:rsidR="00984FC5" w:rsidRPr="001A48D3" w:rsidRDefault="00984FC5" w:rsidP="00C4701A">
      <w:pPr>
        <w:spacing w:after="120"/>
      </w:pPr>
      <w:r w:rsidRPr="001A48D3">
        <w:t xml:space="preserve">The approach adopted for this study is to </w:t>
      </w:r>
      <w:r w:rsidR="00E71627" w:rsidRPr="001A48D3">
        <w:t xml:space="preserve">utilise </w:t>
      </w:r>
      <w:r w:rsidRPr="001A48D3">
        <w:t xml:space="preserve">the existing studies to derive plausible estimates of </w:t>
      </w:r>
      <w:r w:rsidR="00266203" w:rsidRPr="001A48D3">
        <w:t>$/tonne</w:t>
      </w:r>
      <w:r w:rsidRPr="001A48D3">
        <w:t xml:space="preserve"> health costs from air pollution. </w:t>
      </w:r>
      <w:r w:rsidR="00E71627" w:rsidRPr="001A48D3">
        <w:t xml:space="preserve"> </w:t>
      </w:r>
      <w:r w:rsidR="00266203" w:rsidRPr="001A48D3">
        <w:t>Table </w:t>
      </w:r>
      <w:r w:rsidR="003D38EC" w:rsidRPr="001A48D3">
        <w:t>8</w:t>
      </w:r>
      <w:r w:rsidRPr="001A48D3">
        <w:t xml:space="preserve"> presents estimates of </w:t>
      </w:r>
      <w:r w:rsidR="00266203" w:rsidRPr="001A48D3">
        <w:t xml:space="preserve">$/tonne </w:t>
      </w:r>
      <w:r w:rsidRPr="001A48D3">
        <w:t xml:space="preserve">health costs obtained from a number of transport-related health impact studies for Australia. </w:t>
      </w:r>
      <w:r w:rsidR="00E71627" w:rsidRPr="001A48D3">
        <w:t xml:space="preserve"> </w:t>
      </w:r>
      <w:r w:rsidRPr="001A48D3">
        <w:t>Two general observations can</w:t>
      </w:r>
      <w:r w:rsidR="00443C4B" w:rsidRPr="001A48D3">
        <w:t xml:space="preserve"> be made with respect to Table </w:t>
      </w:r>
      <w:r w:rsidR="003D38EC" w:rsidRPr="001A48D3">
        <w:t>8</w:t>
      </w:r>
      <w:r w:rsidR="00E71627" w:rsidRPr="001A48D3">
        <w:t xml:space="preserve"> - </w:t>
      </w:r>
      <w:r w:rsidRPr="001A48D3">
        <w:t>first, unit cost estimates exhibit a considerable range of variation; second, more recent estimates tend to be much higher than those prior to the year 2000.</w:t>
      </w:r>
    </w:p>
    <w:p w:rsidR="00E71627" w:rsidRPr="001A48D3" w:rsidRDefault="007F1757" w:rsidP="00C4701A">
      <w:pPr>
        <w:spacing w:after="120"/>
        <w:rPr>
          <w:sz w:val="22"/>
          <w:szCs w:val="22"/>
        </w:rPr>
      </w:pPr>
      <w:r w:rsidRPr="001A48D3">
        <w:rPr>
          <w:sz w:val="22"/>
          <w:szCs w:val="22"/>
        </w:rPr>
        <w:br w:type="page"/>
      </w:r>
    </w:p>
    <w:p w:rsidR="00984FC5" w:rsidRPr="001A48D3" w:rsidRDefault="009C50EC" w:rsidP="00B52F7D">
      <w:pPr>
        <w:pStyle w:val="Heading3"/>
      </w:pPr>
      <w:bookmarkStart w:id="74" w:name="_Toc430182533"/>
      <w:r w:rsidRPr="001A48D3">
        <w:lastRenderedPageBreak/>
        <w:t xml:space="preserve">Table </w:t>
      </w:r>
      <w:r w:rsidR="003D38EC" w:rsidRPr="001A48D3">
        <w:t>8</w:t>
      </w:r>
      <w:r w:rsidRPr="001A48D3">
        <w:tab/>
        <w:t>Average Capital City Health C</w:t>
      </w:r>
      <w:r w:rsidR="00984FC5" w:rsidRPr="001A48D3">
        <w:t>ost (</w:t>
      </w:r>
      <w:r w:rsidR="00443C4B" w:rsidRPr="001A48D3">
        <w:t>A</w:t>
      </w:r>
      <w:r w:rsidR="00984FC5" w:rsidRPr="001A48D3">
        <w:t>$/tonne of emissions)</w:t>
      </w:r>
      <w:bookmarkEnd w:id="74"/>
    </w:p>
    <w:tbl>
      <w:tblP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958"/>
        <w:gridCol w:w="1168"/>
        <w:gridCol w:w="1552"/>
        <w:gridCol w:w="1566"/>
      </w:tblGrid>
      <w:tr w:rsidR="006E2429" w:rsidRPr="001A48D3" w:rsidTr="00153F3E">
        <w:trPr>
          <w:trHeight w:val="360"/>
          <w:tblHeader/>
        </w:trPr>
        <w:tc>
          <w:tcPr>
            <w:tcW w:w="2694" w:type="dxa"/>
            <w:tcBorders>
              <w:bottom w:val="nil"/>
            </w:tcBorders>
            <w:shd w:val="clear" w:color="auto" w:fill="FFC000"/>
            <w:noWrap/>
            <w:hideMark/>
          </w:tcPr>
          <w:p w:rsidR="006E2429" w:rsidRPr="001A48D3" w:rsidRDefault="006E2429" w:rsidP="00C4701A">
            <w:pPr>
              <w:spacing w:before="120" w:after="120"/>
              <w:jc w:val="center"/>
              <w:rPr>
                <w:b/>
                <w:bCs/>
                <w:color w:val="000000"/>
                <w:sz w:val="22"/>
                <w:szCs w:val="22"/>
              </w:rPr>
            </w:pPr>
            <w:r w:rsidRPr="001A48D3">
              <w:rPr>
                <w:b/>
                <w:bCs/>
                <w:color w:val="000000"/>
                <w:sz w:val="22"/>
                <w:szCs w:val="22"/>
              </w:rPr>
              <w:t>Source</w:t>
            </w:r>
          </w:p>
        </w:tc>
        <w:tc>
          <w:tcPr>
            <w:tcW w:w="5244" w:type="dxa"/>
            <w:gridSpan w:val="4"/>
            <w:shd w:val="clear" w:color="auto" w:fill="FFC000"/>
            <w:noWrap/>
            <w:hideMark/>
          </w:tcPr>
          <w:p w:rsidR="006E2429" w:rsidRPr="001A48D3" w:rsidRDefault="006E2429" w:rsidP="00C4701A">
            <w:pPr>
              <w:spacing w:before="120" w:after="120"/>
              <w:jc w:val="center"/>
              <w:rPr>
                <w:b/>
                <w:bCs/>
                <w:color w:val="000000"/>
                <w:sz w:val="22"/>
                <w:szCs w:val="22"/>
              </w:rPr>
            </w:pPr>
            <w:r w:rsidRPr="001A48D3">
              <w:rPr>
                <w:b/>
                <w:bCs/>
                <w:color w:val="000000"/>
                <w:sz w:val="22"/>
                <w:szCs w:val="22"/>
              </w:rPr>
              <w:t xml:space="preserve">Health Cost by </w:t>
            </w:r>
            <w:r w:rsidR="00AF01A3" w:rsidRPr="001A48D3">
              <w:rPr>
                <w:b/>
                <w:bCs/>
                <w:color w:val="000000"/>
                <w:sz w:val="22"/>
                <w:szCs w:val="22"/>
              </w:rPr>
              <w:t>Emissions</w:t>
            </w:r>
            <w:r w:rsidRPr="001A48D3">
              <w:rPr>
                <w:b/>
                <w:bCs/>
                <w:color w:val="000000"/>
                <w:sz w:val="22"/>
                <w:szCs w:val="22"/>
              </w:rPr>
              <w:t xml:space="preserve"> Type (A$/tonne)</w:t>
            </w:r>
          </w:p>
        </w:tc>
      </w:tr>
      <w:tr w:rsidR="00984FC5" w:rsidRPr="001A48D3" w:rsidTr="00153F3E">
        <w:trPr>
          <w:trHeight w:val="360"/>
          <w:tblHeader/>
        </w:trPr>
        <w:tc>
          <w:tcPr>
            <w:tcW w:w="2694" w:type="dxa"/>
            <w:tcBorders>
              <w:top w:val="nil"/>
            </w:tcBorders>
            <w:shd w:val="clear" w:color="auto" w:fill="FFC000"/>
            <w:noWrap/>
            <w:hideMark/>
          </w:tcPr>
          <w:p w:rsidR="00984FC5" w:rsidRPr="001A48D3" w:rsidRDefault="00984FC5" w:rsidP="00C4701A">
            <w:pPr>
              <w:spacing w:before="120" w:after="120"/>
              <w:rPr>
                <w:b/>
                <w:bCs/>
                <w:color w:val="000000"/>
                <w:sz w:val="22"/>
                <w:szCs w:val="22"/>
              </w:rPr>
            </w:pPr>
          </w:p>
        </w:tc>
        <w:tc>
          <w:tcPr>
            <w:tcW w:w="958" w:type="dxa"/>
            <w:shd w:val="clear" w:color="auto" w:fill="FFC000"/>
            <w:noWrap/>
            <w:vAlign w:val="center"/>
            <w:hideMark/>
          </w:tcPr>
          <w:p w:rsidR="00984FC5" w:rsidRPr="001A48D3" w:rsidRDefault="00984FC5" w:rsidP="00C4701A">
            <w:pPr>
              <w:spacing w:before="120" w:after="120"/>
              <w:jc w:val="center"/>
              <w:rPr>
                <w:b/>
                <w:bCs/>
                <w:color w:val="000000"/>
                <w:sz w:val="22"/>
                <w:szCs w:val="22"/>
              </w:rPr>
            </w:pPr>
            <w:r w:rsidRPr="001A48D3">
              <w:rPr>
                <w:b/>
                <w:bCs/>
                <w:color w:val="000000"/>
                <w:sz w:val="22"/>
                <w:szCs w:val="22"/>
              </w:rPr>
              <w:t>CO</w:t>
            </w:r>
          </w:p>
        </w:tc>
        <w:tc>
          <w:tcPr>
            <w:tcW w:w="1168" w:type="dxa"/>
            <w:shd w:val="clear" w:color="auto" w:fill="FFC000"/>
            <w:noWrap/>
            <w:vAlign w:val="center"/>
            <w:hideMark/>
          </w:tcPr>
          <w:p w:rsidR="00984FC5" w:rsidRPr="001A48D3" w:rsidRDefault="00984FC5" w:rsidP="00C4701A">
            <w:pPr>
              <w:spacing w:before="120" w:after="120"/>
              <w:jc w:val="center"/>
              <w:rPr>
                <w:b/>
                <w:bCs/>
                <w:color w:val="000000"/>
                <w:sz w:val="22"/>
                <w:szCs w:val="22"/>
              </w:rPr>
            </w:pPr>
            <w:r w:rsidRPr="001A48D3">
              <w:rPr>
                <w:b/>
                <w:bCs/>
                <w:color w:val="000000"/>
                <w:sz w:val="22"/>
                <w:szCs w:val="22"/>
              </w:rPr>
              <w:t>HC</w:t>
            </w:r>
          </w:p>
        </w:tc>
        <w:tc>
          <w:tcPr>
            <w:tcW w:w="1552" w:type="dxa"/>
            <w:shd w:val="clear" w:color="auto" w:fill="FFC000"/>
            <w:noWrap/>
            <w:vAlign w:val="center"/>
            <w:hideMark/>
          </w:tcPr>
          <w:p w:rsidR="00984FC5" w:rsidRPr="001A48D3" w:rsidRDefault="00984FC5" w:rsidP="00C4701A">
            <w:pPr>
              <w:spacing w:before="120" w:after="120"/>
              <w:jc w:val="center"/>
              <w:rPr>
                <w:b/>
                <w:bCs/>
                <w:color w:val="000000"/>
                <w:sz w:val="22"/>
                <w:szCs w:val="22"/>
              </w:rPr>
            </w:pPr>
            <w:r w:rsidRPr="001A48D3">
              <w:rPr>
                <w:b/>
                <w:bCs/>
                <w:color w:val="000000"/>
                <w:sz w:val="22"/>
                <w:szCs w:val="22"/>
              </w:rPr>
              <w:t>NO</w:t>
            </w:r>
            <w:r w:rsidRPr="001A48D3">
              <w:rPr>
                <w:b/>
                <w:bCs/>
                <w:color w:val="000000"/>
                <w:sz w:val="22"/>
                <w:szCs w:val="22"/>
                <w:vertAlign w:val="subscript"/>
              </w:rPr>
              <w:t>x</w:t>
            </w:r>
          </w:p>
        </w:tc>
        <w:tc>
          <w:tcPr>
            <w:tcW w:w="1566" w:type="dxa"/>
            <w:shd w:val="clear" w:color="auto" w:fill="FFC000"/>
            <w:noWrap/>
            <w:vAlign w:val="center"/>
            <w:hideMark/>
          </w:tcPr>
          <w:p w:rsidR="00984FC5" w:rsidRPr="001A48D3" w:rsidRDefault="00984FC5" w:rsidP="00C4701A">
            <w:pPr>
              <w:spacing w:before="120" w:after="120"/>
              <w:jc w:val="center"/>
              <w:rPr>
                <w:b/>
                <w:bCs/>
                <w:color w:val="000000"/>
                <w:sz w:val="22"/>
                <w:szCs w:val="22"/>
              </w:rPr>
            </w:pPr>
            <w:r w:rsidRPr="001A48D3">
              <w:rPr>
                <w:b/>
                <w:bCs/>
                <w:color w:val="000000"/>
                <w:sz w:val="22"/>
                <w:szCs w:val="22"/>
              </w:rPr>
              <w:t>PM</w:t>
            </w:r>
            <w:r w:rsidRPr="001A48D3">
              <w:rPr>
                <w:b/>
                <w:bCs/>
                <w:color w:val="000000"/>
                <w:sz w:val="22"/>
                <w:szCs w:val="22"/>
                <w:vertAlign w:val="subscript"/>
              </w:rPr>
              <w:t>10</w:t>
            </w:r>
          </w:p>
        </w:tc>
      </w:tr>
      <w:tr w:rsidR="00984FC5" w:rsidRPr="001A48D3" w:rsidTr="00757C79">
        <w:trPr>
          <w:trHeight w:val="288"/>
        </w:trPr>
        <w:tc>
          <w:tcPr>
            <w:tcW w:w="2694" w:type="dxa"/>
            <w:noWrap/>
            <w:hideMark/>
          </w:tcPr>
          <w:p w:rsidR="00984FC5" w:rsidRPr="001A48D3" w:rsidRDefault="0057734C" w:rsidP="00C4701A">
            <w:pPr>
              <w:spacing w:after="120"/>
              <w:rPr>
                <w:sz w:val="22"/>
                <w:szCs w:val="22"/>
              </w:rPr>
            </w:pPr>
            <w:r w:rsidRPr="001A48D3">
              <w:rPr>
                <w:sz w:val="22"/>
                <w:szCs w:val="22"/>
              </w:rPr>
              <w:t>*</w:t>
            </w:r>
            <w:r w:rsidR="00984FC5" w:rsidRPr="001A48D3">
              <w:rPr>
                <w:sz w:val="22"/>
                <w:szCs w:val="22"/>
              </w:rPr>
              <w:t>Coffey Geosciences (2003)</w:t>
            </w:r>
          </w:p>
        </w:tc>
        <w:tc>
          <w:tcPr>
            <w:tcW w:w="958" w:type="dxa"/>
            <w:noWrap/>
            <w:vAlign w:val="center"/>
            <w:hideMark/>
          </w:tcPr>
          <w:p w:rsidR="00984FC5" w:rsidRPr="001A48D3" w:rsidRDefault="00984FC5" w:rsidP="00C4701A">
            <w:pPr>
              <w:spacing w:after="120"/>
              <w:jc w:val="center"/>
              <w:rPr>
                <w:sz w:val="22"/>
                <w:szCs w:val="22"/>
              </w:rPr>
            </w:pPr>
            <w:r w:rsidRPr="001A48D3">
              <w:rPr>
                <w:sz w:val="22"/>
                <w:szCs w:val="22"/>
              </w:rPr>
              <w:t>13</w:t>
            </w:r>
          </w:p>
        </w:tc>
        <w:tc>
          <w:tcPr>
            <w:tcW w:w="1168" w:type="dxa"/>
            <w:noWrap/>
            <w:vAlign w:val="center"/>
            <w:hideMark/>
          </w:tcPr>
          <w:p w:rsidR="00984FC5" w:rsidRPr="001A48D3" w:rsidRDefault="00984FC5" w:rsidP="00C4701A">
            <w:pPr>
              <w:spacing w:after="120"/>
              <w:jc w:val="center"/>
              <w:rPr>
                <w:sz w:val="22"/>
                <w:szCs w:val="22"/>
              </w:rPr>
            </w:pPr>
            <w:r w:rsidRPr="001A48D3">
              <w:rPr>
                <w:sz w:val="22"/>
                <w:szCs w:val="22"/>
              </w:rPr>
              <w:t>2,200</w:t>
            </w:r>
          </w:p>
        </w:tc>
        <w:tc>
          <w:tcPr>
            <w:tcW w:w="1552" w:type="dxa"/>
            <w:noWrap/>
            <w:vAlign w:val="center"/>
            <w:hideMark/>
          </w:tcPr>
          <w:p w:rsidR="00984FC5" w:rsidRPr="001A48D3" w:rsidRDefault="00984FC5" w:rsidP="00C4701A">
            <w:pPr>
              <w:spacing w:after="120"/>
              <w:jc w:val="center"/>
              <w:rPr>
                <w:sz w:val="22"/>
                <w:szCs w:val="22"/>
              </w:rPr>
            </w:pPr>
            <w:r w:rsidRPr="001A48D3">
              <w:rPr>
                <w:sz w:val="22"/>
                <w:szCs w:val="22"/>
              </w:rPr>
              <w:t>59</w:t>
            </w:r>
          </w:p>
        </w:tc>
        <w:tc>
          <w:tcPr>
            <w:tcW w:w="1566" w:type="dxa"/>
            <w:noWrap/>
            <w:vAlign w:val="center"/>
            <w:hideMark/>
          </w:tcPr>
          <w:p w:rsidR="00984FC5" w:rsidRPr="001A48D3" w:rsidRDefault="00984FC5" w:rsidP="00C4701A">
            <w:pPr>
              <w:spacing w:after="120"/>
              <w:jc w:val="center"/>
              <w:rPr>
                <w:sz w:val="22"/>
                <w:szCs w:val="22"/>
              </w:rPr>
            </w:pPr>
            <w:r w:rsidRPr="001A48D3">
              <w:rPr>
                <w:sz w:val="22"/>
                <w:szCs w:val="22"/>
              </w:rPr>
              <w:t>232,000</w:t>
            </w:r>
          </w:p>
        </w:tc>
      </w:tr>
      <w:tr w:rsidR="00984FC5" w:rsidRPr="001A48D3" w:rsidTr="00757C79">
        <w:trPr>
          <w:trHeight w:val="288"/>
        </w:trPr>
        <w:tc>
          <w:tcPr>
            <w:tcW w:w="2694" w:type="dxa"/>
            <w:noWrap/>
            <w:hideMark/>
          </w:tcPr>
          <w:p w:rsidR="00984FC5" w:rsidRPr="001A48D3" w:rsidRDefault="00984FC5" w:rsidP="00C4701A">
            <w:pPr>
              <w:spacing w:after="120"/>
              <w:rPr>
                <w:sz w:val="22"/>
                <w:szCs w:val="22"/>
              </w:rPr>
            </w:pPr>
            <w:proofErr w:type="spellStart"/>
            <w:r w:rsidRPr="001A48D3">
              <w:rPr>
                <w:sz w:val="22"/>
                <w:szCs w:val="22"/>
              </w:rPr>
              <w:t>Watkiss</w:t>
            </w:r>
            <w:proofErr w:type="spellEnd"/>
            <w:r w:rsidRPr="001A48D3">
              <w:rPr>
                <w:sz w:val="22"/>
                <w:szCs w:val="22"/>
              </w:rPr>
              <w:t xml:space="preserve"> (2002)</w:t>
            </w:r>
            <w:r w:rsidRPr="001A48D3">
              <w:rPr>
                <w:i/>
                <w:sz w:val="22"/>
                <w:szCs w:val="22"/>
                <w:vertAlign w:val="superscript"/>
              </w:rPr>
              <w:t>a</w:t>
            </w:r>
          </w:p>
        </w:tc>
        <w:tc>
          <w:tcPr>
            <w:tcW w:w="958" w:type="dxa"/>
            <w:noWrap/>
            <w:vAlign w:val="center"/>
            <w:hideMark/>
          </w:tcPr>
          <w:p w:rsidR="00984FC5" w:rsidRPr="001A48D3" w:rsidRDefault="00984FC5" w:rsidP="00C4701A">
            <w:pPr>
              <w:spacing w:after="120"/>
              <w:jc w:val="center"/>
              <w:rPr>
                <w:sz w:val="22"/>
                <w:szCs w:val="22"/>
              </w:rPr>
            </w:pPr>
            <w:r w:rsidRPr="001A48D3">
              <w:rPr>
                <w:sz w:val="22"/>
                <w:szCs w:val="22"/>
              </w:rPr>
              <w:t>2</w:t>
            </w:r>
          </w:p>
        </w:tc>
        <w:tc>
          <w:tcPr>
            <w:tcW w:w="1168" w:type="dxa"/>
            <w:noWrap/>
            <w:vAlign w:val="center"/>
            <w:hideMark/>
          </w:tcPr>
          <w:p w:rsidR="00984FC5" w:rsidRPr="001A48D3" w:rsidRDefault="00984FC5" w:rsidP="00C4701A">
            <w:pPr>
              <w:spacing w:after="120"/>
              <w:jc w:val="center"/>
              <w:rPr>
                <w:sz w:val="22"/>
                <w:szCs w:val="22"/>
              </w:rPr>
            </w:pPr>
            <w:r w:rsidRPr="001A48D3">
              <w:rPr>
                <w:sz w:val="22"/>
                <w:szCs w:val="22"/>
              </w:rPr>
              <w:t>875</w:t>
            </w:r>
          </w:p>
        </w:tc>
        <w:tc>
          <w:tcPr>
            <w:tcW w:w="1552" w:type="dxa"/>
            <w:noWrap/>
            <w:vAlign w:val="center"/>
            <w:hideMark/>
          </w:tcPr>
          <w:p w:rsidR="00984FC5" w:rsidRPr="001A48D3" w:rsidRDefault="00984FC5" w:rsidP="00C4701A">
            <w:pPr>
              <w:spacing w:after="120"/>
              <w:jc w:val="center"/>
              <w:rPr>
                <w:sz w:val="22"/>
                <w:szCs w:val="22"/>
              </w:rPr>
            </w:pPr>
            <w:r w:rsidRPr="001A48D3">
              <w:rPr>
                <w:sz w:val="22"/>
                <w:szCs w:val="22"/>
              </w:rPr>
              <w:t>1,750</w:t>
            </w:r>
          </w:p>
        </w:tc>
        <w:tc>
          <w:tcPr>
            <w:tcW w:w="1566" w:type="dxa"/>
            <w:noWrap/>
            <w:vAlign w:val="center"/>
            <w:hideMark/>
          </w:tcPr>
          <w:p w:rsidR="00984FC5" w:rsidRPr="001A48D3" w:rsidRDefault="00984FC5" w:rsidP="00C4701A">
            <w:pPr>
              <w:spacing w:after="120"/>
              <w:jc w:val="center"/>
              <w:rPr>
                <w:sz w:val="22"/>
                <w:szCs w:val="22"/>
              </w:rPr>
            </w:pPr>
            <w:r w:rsidRPr="001A48D3">
              <w:rPr>
                <w:sz w:val="22"/>
                <w:szCs w:val="22"/>
              </w:rPr>
              <w:t>217,415</w:t>
            </w:r>
          </w:p>
        </w:tc>
      </w:tr>
      <w:tr w:rsidR="00984FC5" w:rsidRPr="001A48D3" w:rsidTr="00757C79">
        <w:trPr>
          <w:trHeight w:val="312"/>
        </w:trPr>
        <w:tc>
          <w:tcPr>
            <w:tcW w:w="2694" w:type="dxa"/>
            <w:tcBorders>
              <w:bottom w:val="nil"/>
            </w:tcBorders>
            <w:noWrap/>
            <w:hideMark/>
          </w:tcPr>
          <w:p w:rsidR="00984FC5" w:rsidRPr="001A48D3" w:rsidRDefault="00984FC5" w:rsidP="00C4701A">
            <w:pPr>
              <w:spacing w:after="120"/>
              <w:rPr>
                <w:sz w:val="22"/>
                <w:szCs w:val="22"/>
              </w:rPr>
            </w:pPr>
            <w:r w:rsidRPr="001A48D3">
              <w:rPr>
                <w:sz w:val="22"/>
                <w:szCs w:val="22"/>
              </w:rPr>
              <w:t>Beer (2002) – Ozone included</w:t>
            </w:r>
          </w:p>
        </w:tc>
        <w:tc>
          <w:tcPr>
            <w:tcW w:w="958" w:type="dxa"/>
            <w:tcBorders>
              <w:bottom w:val="nil"/>
            </w:tcBorders>
            <w:noWrap/>
            <w:vAlign w:val="center"/>
            <w:hideMark/>
          </w:tcPr>
          <w:p w:rsidR="00984FC5" w:rsidRPr="001A48D3" w:rsidRDefault="00984FC5" w:rsidP="00C4701A">
            <w:pPr>
              <w:spacing w:after="120"/>
              <w:jc w:val="center"/>
              <w:rPr>
                <w:sz w:val="22"/>
                <w:szCs w:val="22"/>
              </w:rPr>
            </w:pPr>
          </w:p>
        </w:tc>
        <w:tc>
          <w:tcPr>
            <w:tcW w:w="1168" w:type="dxa"/>
            <w:tcBorders>
              <w:bottom w:val="nil"/>
            </w:tcBorders>
            <w:noWrap/>
            <w:vAlign w:val="center"/>
            <w:hideMark/>
          </w:tcPr>
          <w:p w:rsidR="00984FC5" w:rsidRPr="001A48D3" w:rsidRDefault="00984FC5" w:rsidP="00C4701A">
            <w:pPr>
              <w:spacing w:after="120"/>
              <w:jc w:val="center"/>
              <w:rPr>
                <w:sz w:val="22"/>
                <w:szCs w:val="22"/>
              </w:rPr>
            </w:pPr>
          </w:p>
        </w:tc>
        <w:tc>
          <w:tcPr>
            <w:tcW w:w="1552" w:type="dxa"/>
            <w:tcBorders>
              <w:bottom w:val="nil"/>
            </w:tcBorders>
            <w:noWrap/>
            <w:vAlign w:val="center"/>
            <w:hideMark/>
          </w:tcPr>
          <w:p w:rsidR="00984FC5" w:rsidRPr="001A48D3" w:rsidRDefault="00984FC5" w:rsidP="00C4701A">
            <w:pPr>
              <w:spacing w:after="120"/>
              <w:jc w:val="center"/>
              <w:rPr>
                <w:sz w:val="22"/>
                <w:szCs w:val="22"/>
              </w:rPr>
            </w:pPr>
          </w:p>
        </w:tc>
        <w:tc>
          <w:tcPr>
            <w:tcW w:w="1566" w:type="dxa"/>
            <w:tcBorders>
              <w:bottom w:val="nil"/>
            </w:tcBorders>
            <w:noWrap/>
            <w:vAlign w:val="center"/>
            <w:hideMark/>
          </w:tcPr>
          <w:p w:rsidR="00984FC5" w:rsidRPr="001A48D3" w:rsidRDefault="00984FC5" w:rsidP="00C4701A">
            <w:pPr>
              <w:spacing w:after="120"/>
              <w:jc w:val="center"/>
              <w:rPr>
                <w:sz w:val="22"/>
                <w:szCs w:val="22"/>
              </w:rPr>
            </w:pPr>
          </w:p>
        </w:tc>
      </w:tr>
      <w:tr w:rsidR="00984FC5" w:rsidRPr="001A48D3" w:rsidTr="00757C79">
        <w:trPr>
          <w:trHeight w:val="300"/>
        </w:trPr>
        <w:tc>
          <w:tcPr>
            <w:tcW w:w="2694" w:type="dxa"/>
            <w:tcBorders>
              <w:top w:val="nil"/>
              <w:bottom w:val="nil"/>
            </w:tcBorders>
            <w:noWrap/>
            <w:hideMark/>
          </w:tcPr>
          <w:p w:rsidR="00984FC5" w:rsidRPr="001A48D3" w:rsidRDefault="00984FC5" w:rsidP="00C4701A">
            <w:pPr>
              <w:spacing w:before="80" w:after="120"/>
              <w:ind w:firstLineChars="200" w:firstLine="440"/>
              <w:rPr>
                <w:sz w:val="22"/>
                <w:szCs w:val="22"/>
              </w:rPr>
            </w:pPr>
            <w:r w:rsidRPr="001A48D3">
              <w:rPr>
                <w:sz w:val="22"/>
                <w:szCs w:val="22"/>
              </w:rPr>
              <w:t>Upper bound</w:t>
            </w:r>
          </w:p>
        </w:tc>
        <w:tc>
          <w:tcPr>
            <w:tcW w:w="958" w:type="dxa"/>
            <w:tcBorders>
              <w:top w:val="nil"/>
              <w:bottom w:val="nil"/>
            </w:tcBorders>
            <w:noWrap/>
            <w:vAlign w:val="center"/>
            <w:hideMark/>
          </w:tcPr>
          <w:p w:rsidR="00984FC5" w:rsidRPr="001A48D3" w:rsidRDefault="00984FC5" w:rsidP="00C4701A">
            <w:pPr>
              <w:spacing w:before="80" w:after="120"/>
              <w:jc w:val="center"/>
              <w:rPr>
                <w:sz w:val="22"/>
                <w:szCs w:val="22"/>
              </w:rPr>
            </w:pPr>
            <w:r w:rsidRPr="001A48D3">
              <w:rPr>
                <w:sz w:val="22"/>
                <w:szCs w:val="22"/>
              </w:rPr>
              <w:t>9</w:t>
            </w:r>
          </w:p>
        </w:tc>
        <w:tc>
          <w:tcPr>
            <w:tcW w:w="1168" w:type="dxa"/>
            <w:tcBorders>
              <w:top w:val="nil"/>
              <w:bottom w:val="nil"/>
            </w:tcBorders>
            <w:noWrap/>
            <w:vAlign w:val="center"/>
            <w:hideMark/>
          </w:tcPr>
          <w:p w:rsidR="00984FC5" w:rsidRPr="001A48D3" w:rsidRDefault="00984FC5" w:rsidP="00C4701A">
            <w:pPr>
              <w:spacing w:before="80" w:after="120"/>
              <w:jc w:val="center"/>
              <w:rPr>
                <w:sz w:val="22"/>
                <w:szCs w:val="22"/>
              </w:rPr>
            </w:pPr>
            <w:r w:rsidRPr="001A48D3">
              <w:rPr>
                <w:sz w:val="22"/>
                <w:szCs w:val="22"/>
              </w:rPr>
              <w:t>72,500</w:t>
            </w:r>
          </w:p>
        </w:tc>
        <w:tc>
          <w:tcPr>
            <w:tcW w:w="1552" w:type="dxa"/>
            <w:tcBorders>
              <w:top w:val="nil"/>
              <w:bottom w:val="nil"/>
            </w:tcBorders>
            <w:noWrap/>
            <w:vAlign w:val="center"/>
            <w:hideMark/>
          </w:tcPr>
          <w:p w:rsidR="00984FC5" w:rsidRPr="001A48D3" w:rsidRDefault="00984FC5" w:rsidP="00C4701A">
            <w:pPr>
              <w:spacing w:before="80" w:after="120"/>
              <w:jc w:val="center"/>
              <w:rPr>
                <w:sz w:val="22"/>
                <w:szCs w:val="22"/>
              </w:rPr>
            </w:pPr>
            <w:r w:rsidRPr="001A48D3">
              <w:rPr>
                <w:sz w:val="22"/>
                <w:szCs w:val="22"/>
              </w:rPr>
              <w:t>900</w:t>
            </w:r>
          </w:p>
        </w:tc>
        <w:tc>
          <w:tcPr>
            <w:tcW w:w="1566" w:type="dxa"/>
            <w:tcBorders>
              <w:top w:val="nil"/>
              <w:bottom w:val="nil"/>
            </w:tcBorders>
            <w:noWrap/>
            <w:vAlign w:val="center"/>
            <w:hideMark/>
          </w:tcPr>
          <w:p w:rsidR="00984FC5" w:rsidRPr="001A48D3" w:rsidRDefault="00984FC5" w:rsidP="00C4701A">
            <w:pPr>
              <w:spacing w:before="80" w:after="120"/>
              <w:jc w:val="center"/>
              <w:rPr>
                <w:sz w:val="22"/>
                <w:szCs w:val="22"/>
              </w:rPr>
            </w:pPr>
            <w:r w:rsidRPr="001A48D3">
              <w:rPr>
                <w:sz w:val="22"/>
                <w:szCs w:val="22"/>
              </w:rPr>
              <w:t>221,100</w:t>
            </w:r>
          </w:p>
        </w:tc>
      </w:tr>
      <w:tr w:rsidR="00984FC5" w:rsidRPr="001A48D3" w:rsidTr="00757C79">
        <w:trPr>
          <w:trHeight w:val="288"/>
        </w:trPr>
        <w:tc>
          <w:tcPr>
            <w:tcW w:w="2694" w:type="dxa"/>
            <w:tcBorders>
              <w:top w:val="nil"/>
              <w:left w:val="single" w:sz="4" w:space="0" w:color="auto"/>
              <w:bottom w:val="nil"/>
              <w:right w:val="single" w:sz="4" w:space="0" w:color="auto"/>
            </w:tcBorders>
            <w:noWrap/>
            <w:hideMark/>
          </w:tcPr>
          <w:p w:rsidR="00984FC5" w:rsidRPr="001A48D3" w:rsidRDefault="00984FC5" w:rsidP="00C4701A">
            <w:pPr>
              <w:spacing w:before="80" w:after="120"/>
              <w:ind w:firstLineChars="200" w:firstLine="440"/>
              <w:rPr>
                <w:sz w:val="22"/>
                <w:szCs w:val="22"/>
              </w:rPr>
            </w:pPr>
            <w:r w:rsidRPr="001A48D3">
              <w:rPr>
                <w:sz w:val="22"/>
                <w:szCs w:val="22"/>
              </w:rPr>
              <w:t>Best estimate</w:t>
            </w:r>
          </w:p>
        </w:tc>
        <w:tc>
          <w:tcPr>
            <w:tcW w:w="958" w:type="dxa"/>
            <w:tcBorders>
              <w:top w:val="nil"/>
              <w:left w:val="single" w:sz="4" w:space="0" w:color="auto"/>
              <w:bottom w:val="nil"/>
              <w:right w:val="single" w:sz="4" w:space="0" w:color="auto"/>
            </w:tcBorders>
            <w:noWrap/>
            <w:vAlign w:val="center"/>
            <w:hideMark/>
          </w:tcPr>
          <w:p w:rsidR="00984FC5" w:rsidRPr="001A48D3" w:rsidRDefault="00984FC5" w:rsidP="00C4701A">
            <w:pPr>
              <w:spacing w:before="80" w:after="120"/>
              <w:jc w:val="center"/>
              <w:rPr>
                <w:sz w:val="22"/>
                <w:szCs w:val="22"/>
              </w:rPr>
            </w:pPr>
            <w:r w:rsidRPr="001A48D3">
              <w:rPr>
                <w:sz w:val="22"/>
                <w:szCs w:val="22"/>
              </w:rPr>
              <w:t>3</w:t>
            </w:r>
          </w:p>
        </w:tc>
        <w:tc>
          <w:tcPr>
            <w:tcW w:w="1168" w:type="dxa"/>
            <w:tcBorders>
              <w:top w:val="nil"/>
              <w:left w:val="single" w:sz="4" w:space="0" w:color="auto"/>
              <w:bottom w:val="nil"/>
              <w:right w:val="single" w:sz="4" w:space="0" w:color="auto"/>
            </w:tcBorders>
            <w:noWrap/>
            <w:vAlign w:val="center"/>
            <w:hideMark/>
          </w:tcPr>
          <w:p w:rsidR="00984FC5" w:rsidRPr="001A48D3" w:rsidRDefault="00984FC5" w:rsidP="00C4701A">
            <w:pPr>
              <w:spacing w:before="80" w:after="120"/>
              <w:jc w:val="center"/>
              <w:rPr>
                <w:sz w:val="22"/>
                <w:szCs w:val="22"/>
              </w:rPr>
            </w:pPr>
            <w:r w:rsidRPr="001A48D3">
              <w:rPr>
                <w:sz w:val="22"/>
                <w:szCs w:val="22"/>
              </w:rPr>
              <w:t>19,331</w:t>
            </w:r>
          </w:p>
        </w:tc>
        <w:tc>
          <w:tcPr>
            <w:tcW w:w="1552" w:type="dxa"/>
            <w:tcBorders>
              <w:top w:val="nil"/>
              <w:left w:val="single" w:sz="4" w:space="0" w:color="auto"/>
              <w:bottom w:val="nil"/>
              <w:right w:val="single" w:sz="4" w:space="0" w:color="auto"/>
            </w:tcBorders>
            <w:noWrap/>
            <w:vAlign w:val="center"/>
            <w:hideMark/>
          </w:tcPr>
          <w:p w:rsidR="00984FC5" w:rsidRPr="001A48D3" w:rsidRDefault="00984FC5" w:rsidP="00C4701A">
            <w:pPr>
              <w:spacing w:before="80" w:after="120"/>
              <w:jc w:val="center"/>
              <w:rPr>
                <w:sz w:val="22"/>
                <w:szCs w:val="22"/>
              </w:rPr>
            </w:pPr>
            <w:r w:rsidRPr="001A48D3">
              <w:rPr>
                <w:sz w:val="22"/>
                <w:szCs w:val="22"/>
              </w:rPr>
              <w:t>870</w:t>
            </w:r>
          </w:p>
        </w:tc>
        <w:tc>
          <w:tcPr>
            <w:tcW w:w="1566" w:type="dxa"/>
            <w:tcBorders>
              <w:top w:val="nil"/>
              <w:left w:val="single" w:sz="4" w:space="0" w:color="auto"/>
              <w:bottom w:val="nil"/>
              <w:right w:val="single" w:sz="4" w:space="0" w:color="auto"/>
            </w:tcBorders>
            <w:noWrap/>
            <w:vAlign w:val="center"/>
            <w:hideMark/>
          </w:tcPr>
          <w:p w:rsidR="00984FC5" w:rsidRPr="001A48D3" w:rsidRDefault="00984FC5" w:rsidP="00C4701A">
            <w:pPr>
              <w:spacing w:before="80" w:after="120"/>
              <w:jc w:val="center"/>
              <w:rPr>
                <w:sz w:val="22"/>
                <w:szCs w:val="22"/>
              </w:rPr>
            </w:pPr>
            <w:r w:rsidRPr="001A48D3">
              <w:rPr>
                <w:sz w:val="22"/>
                <w:szCs w:val="22"/>
              </w:rPr>
              <w:t>147,429</w:t>
            </w:r>
          </w:p>
        </w:tc>
      </w:tr>
      <w:tr w:rsidR="00984FC5" w:rsidRPr="001A48D3" w:rsidTr="00757C79">
        <w:trPr>
          <w:trHeight w:val="288"/>
        </w:trPr>
        <w:tc>
          <w:tcPr>
            <w:tcW w:w="2694" w:type="dxa"/>
            <w:tcBorders>
              <w:top w:val="nil"/>
            </w:tcBorders>
            <w:noWrap/>
            <w:hideMark/>
          </w:tcPr>
          <w:p w:rsidR="00984FC5" w:rsidRPr="001A48D3" w:rsidRDefault="00984FC5" w:rsidP="00C4701A">
            <w:pPr>
              <w:spacing w:before="80" w:after="120"/>
              <w:ind w:firstLineChars="200" w:firstLine="440"/>
              <w:rPr>
                <w:sz w:val="22"/>
                <w:szCs w:val="22"/>
              </w:rPr>
            </w:pPr>
            <w:r w:rsidRPr="001A48D3">
              <w:rPr>
                <w:sz w:val="22"/>
                <w:szCs w:val="22"/>
              </w:rPr>
              <w:t>Lower bond</w:t>
            </w:r>
          </w:p>
        </w:tc>
        <w:tc>
          <w:tcPr>
            <w:tcW w:w="958" w:type="dxa"/>
            <w:tcBorders>
              <w:top w:val="nil"/>
            </w:tcBorders>
            <w:noWrap/>
            <w:vAlign w:val="center"/>
            <w:hideMark/>
          </w:tcPr>
          <w:p w:rsidR="00984FC5" w:rsidRPr="001A48D3" w:rsidRDefault="00984FC5" w:rsidP="00C4701A">
            <w:pPr>
              <w:spacing w:before="80" w:after="120"/>
              <w:jc w:val="center"/>
              <w:rPr>
                <w:sz w:val="22"/>
                <w:szCs w:val="22"/>
              </w:rPr>
            </w:pPr>
            <w:r w:rsidRPr="001A48D3">
              <w:rPr>
                <w:sz w:val="22"/>
                <w:szCs w:val="22"/>
              </w:rPr>
              <w:t>2</w:t>
            </w:r>
          </w:p>
        </w:tc>
        <w:tc>
          <w:tcPr>
            <w:tcW w:w="1168" w:type="dxa"/>
            <w:tcBorders>
              <w:top w:val="nil"/>
            </w:tcBorders>
            <w:noWrap/>
            <w:vAlign w:val="center"/>
            <w:hideMark/>
          </w:tcPr>
          <w:p w:rsidR="00984FC5" w:rsidRPr="001A48D3" w:rsidRDefault="00984FC5" w:rsidP="00C4701A">
            <w:pPr>
              <w:spacing w:before="80" w:after="120"/>
              <w:jc w:val="center"/>
              <w:rPr>
                <w:sz w:val="22"/>
                <w:szCs w:val="22"/>
              </w:rPr>
            </w:pPr>
            <w:r w:rsidRPr="001A48D3">
              <w:rPr>
                <w:sz w:val="22"/>
                <w:szCs w:val="22"/>
              </w:rPr>
              <w:t>11,700</w:t>
            </w:r>
          </w:p>
        </w:tc>
        <w:tc>
          <w:tcPr>
            <w:tcW w:w="1552" w:type="dxa"/>
            <w:tcBorders>
              <w:top w:val="nil"/>
            </w:tcBorders>
            <w:noWrap/>
            <w:vAlign w:val="center"/>
            <w:hideMark/>
          </w:tcPr>
          <w:p w:rsidR="00984FC5" w:rsidRPr="001A48D3" w:rsidRDefault="00984FC5" w:rsidP="00C4701A">
            <w:pPr>
              <w:spacing w:before="80" w:after="120"/>
              <w:jc w:val="center"/>
              <w:rPr>
                <w:sz w:val="22"/>
                <w:szCs w:val="22"/>
              </w:rPr>
            </w:pPr>
            <w:r w:rsidRPr="001A48D3">
              <w:rPr>
                <w:sz w:val="22"/>
                <w:szCs w:val="22"/>
              </w:rPr>
              <w:t>280</w:t>
            </w:r>
          </w:p>
        </w:tc>
        <w:tc>
          <w:tcPr>
            <w:tcW w:w="1566" w:type="dxa"/>
            <w:tcBorders>
              <w:top w:val="nil"/>
            </w:tcBorders>
            <w:noWrap/>
            <w:vAlign w:val="center"/>
            <w:hideMark/>
          </w:tcPr>
          <w:p w:rsidR="00984FC5" w:rsidRPr="001A48D3" w:rsidRDefault="00984FC5" w:rsidP="00C4701A">
            <w:pPr>
              <w:spacing w:before="80" w:after="120"/>
              <w:jc w:val="center"/>
              <w:rPr>
                <w:sz w:val="22"/>
                <w:szCs w:val="22"/>
              </w:rPr>
            </w:pPr>
            <w:r w:rsidRPr="001A48D3">
              <w:rPr>
                <w:sz w:val="22"/>
                <w:szCs w:val="22"/>
              </w:rPr>
              <w:t>108,300</w:t>
            </w:r>
          </w:p>
        </w:tc>
      </w:tr>
      <w:tr w:rsidR="00984FC5" w:rsidRPr="001A48D3" w:rsidTr="00757C79">
        <w:trPr>
          <w:trHeight w:val="288"/>
        </w:trPr>
        <w:tc>
          <w:tcPr>
            <w:tcW w:w="2694" w:type="dxa"/>
            <w:noWrap/>
            <w:hideMark/>
          </w:tcPr>
          <w:p w:rsidR="00984FC5" w:rsidRPr="001A48D3" w:rsidRDefault="00984FC5" w:rsidP="00C4701A">
            <w:pPr>
              <w:spacing w:after="120"/>
              <w:rPr>
                <w:sz w:val="22"/>
                <w:szCs w:val="22"/>
              </w:rPr>
            </w:pPr>
            <w:r w:rsidRPr="001A48D3">
              <w:rPr>
                <w:sz w:val="22"/>
                <w:szCs w:val="22"/>
              </w:rPr>
              <w:t>Beer (2002) – Ozone excluded</w:t>
            </w:r>
          </w:p>
        </w:tc>
        <w:tc>
          <w:tcPr>
            <w:tcW w:w="958" w:type="dxa"/>
            <w:noWrap/>
            <w:vAlign w:val="center"/>
            <w:hideMark/>
          </w:tcPr>
          <w:p w:rsidR="00984FC5" w:rsidRPr="001A48D3" w:rsidRDefault="00984FC5" w:rsidP="00C4701A">
            <w:pPr>
              <w:spacing w:after="120"/>
              <w:jc w:val="center"/>
              <w:rPr>
                <w:sz w:val="22"/>
                <w:szCs w:val="22"/>
              </w:rPr>
            </w:pPr>
            <w:r w:rsidRPr="001A48D3">
              <w:rPr>
                <w:sz w:val="22"/>
                <w:szCs w:val="22"/>
              </w:rPr>
              <w:t>3</w:t>
            </w:r>
          </w:p>
        </w:tc>
        <w:tc>
          <w:tcPr>
            <w:tcW w:w="1168" w:type="dxa"/>
            <w:noWrap/>
            <w:vAlign w:val="center"/>
            <w:hideMark/>
          </w:tcPr>
          <w:p w:rsidR="00984FC5" w:rsidRPr="001A48D3" w:rsidRDefault="00984FC5" w:rsidP="00C4701A">
            <w:pPr>
              <w:spacing w:after="120"/>
              <w:jc w:val="center"/>
              <w:rPr>
                <w:sz w:val="22"/>
                <w:szCs w:val="22"/>
              </w:rPr>
            </w:pPr>
            <w:r w:rsidRPr="001A48D3">
              <w:rPr>
                <w:sz w:val="22"/>
                <w:szCs w:val="22"/>
              </w:rPr>
              <w:t>18,719</w:t>
            </w:r>
          </w:p>
        </w:tc>
        <w:tc>
          <w:tcPr>
            <w:tcW w:w="1552" w:type="dxa"/>
            <w:noWrap/>
            <w:vAlign w:val="center"/>
            <w:hideMark/>
          </w:tcPr>
          <w:p w:rsidR="00984FC5" w:rsidRPr="001A48D3" w:rsidRDefault="00984FC5" w:rsidP="00C4701A">
            <w:pPr>
              <w:spacing w:after="120"/>
              <w:jc w:val="center"/>
              <w:rPr>
                <w:sz w:val="22"/>
                <w:szCs w:val="22"/>
              </w:rPr>
            </w:pPr>
            <w:r w:rsidRPr="001A48D3">
              <w:rPr>
                <w:sz w:val="22"/>
                <w:szCs w:val="22"/>
              </w:rPr>
              <w:t>11</w:t>
            </w:r>
          </w:p>
        </w:tc>
        <w:tc>
          <w:tcPr>
            <w:tcW w:w="1566" w:type="dxa"/>
            <w:noWrap/>
            <w:vAlign w:val="center"/>
            <w:hideMark/>
          </w:tcPr>
          <w:p w:rsidR="00984FC5" w:rsidRPr="001A48D3" w:rsidRDefault="00984FC5" w:rsidP="00C4701A">
            <w:pPr>
              <w:spacing w:after="120"/>
              <w:jc w:val="center"/>
              <w:rPr>
                <w:sz w:val="22"/>
                <w:szCs w:val="22"/>
              </w:rPr>
            </w:pPr>
            <w:r w:rsidRPr="001A48D3">
              <w:rPr>
                <w:sz w:val="22"/>
                <w:szCs w:val="22"/>
              </w:rPr>
              <w:t>147,429</w:t>
            </w:r>
          </w:p>
        </w:tc>
      </w:tr>
      <w:tr w:rsidR="00984FC5" w:rsidRPr="001A48D3" w:rsidTr="00757C79">
        <w:trPr>
          <w:trHeight w:val="288"/>
        </w:trPr>
        <w:tc>
          <w:tcPr>
            <w:tcW w:w="2694" w:type="dxa"/>
            <w:noWrap/>
            <w:hideMark/>
          </w:tcPr>
          <w:p w:rsidR="00984FC5" w:rsidRPr="001A48D3" w:rsidRDefault="00984FC5" w:rsidP="00C4701A">
            <w:pPr>
              <w:spacing w:after="120"/>
              <w:rPr>
                <w:sz w:val="22"/>
                <w:szCs w:val="22"/>
              </w:rPr>
            </w:pPr>
            <w:r w:rsidRPr="001A48D3">
              <w:rPr>
                <w:sz w:val="22"/>
                <w:szCs w:val="22"/>
              </w:rPr>
              <w:t>BTRE (2005)</w:t>
            </w:r>
          </w:p>
        </w:tc>
        <w:tc>
          <w:tcPr>
            <w:tcW w:w="958" w:type="dxa"/>
            <w:noWrap/>
            <w:vAlign w:val="center"/>
            <w:hideMark/>
          </w:tcPr>
          <w:p w:rsidR="00984FC5" w:rsidRPr="001A48D3" w:rsidRDefault="00984FC5" w:rsidP="00C4701A">
            <w:pPr>
              <w:spacing w:after="120"/>
              <w:jc w:val="center"/>
              <w:rPr>
                <w:sz w:val="22"/>
                <w:szCs w:val="22"/>
              </w:rPr>
            </w:pPr>
            <w:proofErr w:type="spellStart"/>
            <w:r w:rsidRPr="001A48D3">
              <w:rPr>
                <w:sz w:val="22"/>
                <w:szCs w:val="22"/>
              </w:rPr>
              <w:t>na</w:t>
            </w:r>
            <w:proofErr w:type="spellEnd"/>
          </w:p>
        </w:tc>
        <w:tc>
          <w:tcPr>
            <w:tcW w:w="1168" w:type="dxa"/>
            <w:noWrap/>
            <w:vAlign w:val="center"/>
            <w:hideMark/>
          </w:tcPr>
          <w:p w:rsidR="00984FC5" w:rsidRPr="001A48D3" w:rsidRDefault="00984FC5" w:rsidP="00C4701A">
            <w:pPr>
              <w:spacing w:after="120"/>
              <w:jc w:val="center"/>
              <w:rPr>
                <w:sz w:val="22"/>
                <w:szCs w:val="22"/>
              </w:rPr>
            </w:pPr>
            <w:proofErr w:type="spellStart"/>
            <w:r w:rsidRPr="001A48D3">
              <w:rPr>
                <w:sz w:val="22"/>
                <w:szCs w:val="22"/>
              </w:rPr>
              <w:t>na</w:t>
            </w:r>
            <w:proofErr w:type="spellEnd"/>
          </w:p>
        </w:tc>
        <w:tc>
          <w:tcPr>
            <w:tcW w:w="1552" w:type="dxa"/>
            <w:noWrap/>
            <w:vAlign w:val="center"/>
            <w:hideMark/>
          </w:tcPr>
          <w:p w:rsidR="00984FC5" w:rsidRPr="001A48D3" w:rsidRDefault="00984FC5" w:rsidP="00C4701A">
            <w:pPr>
              <w:spacing w:after="120"/>
              <w:jc w:val="center"/>
              <w:rPr>
                <w:sz w:val="22"/>
                <w:szCs w:val="22"/>
              </w:rPr>
            </w:pPr>
            <w:proofErr w:type="spellStart"/>
            <w:r w:rsidRPr="001A48D3">
              <w:rPr>
                <w:sz w:val="22"/>
                <w:szCs w:val="22"/>
              </w:rPr>
              <w:t>na</w:t>
            </w:r>
            <w:proofErr w:type="spellEnd"/>
          </w:p>
        </w:tc>
        <w:tc>
          <w:tcPr>
            <w:tcW w:w="1566" w:type="dxa"/>
            <w:noWrap/>
            <w:vAlign w:val="center"/>
            <w:hideMark/>
          </w:tcPr>
          <w:p w:rsidR="00984FC5" w:rsidRPr="001A48D3" w:rsidRDefault="00984FC5" w:rsidP="00C4701A">
            <w:pPr>
              <w:spacing w:after="120"/>
              <w:jc w:val="center"/>
              <w:rPr>
                <w:sz w:val="22"/>
                <w:szCs w:val="22"/>
              </w:rPr>
            </w:pPr>
            <w:r w:rsidRPr="001A48D3">
              <w:rPr>
                <w:sz w:val="22"/>
                <w:szCs w:val="22"/>
              </w:rPr>
              <w:t>167,626</w:t>
            </w:r>
            <w:r w:rsidRPr="001A48D3">
              <w:rPr>
                <w:i/>
                <w:sz w:val="22"/>
                <w:szCs w:val="22"/>
                <w:vertAlign w:val="superscript"/>
              </w:rPr>
              <w:t xml:space="preserve"> b</w:t>
            </w:r>
          </w:p>
        </w:tc>
      </w:tr>
      <w:tr w:rsidR="00984FC5" w:rsidRPr="001A48D3" w:rsidTr="00757C79">
        <w:trPr>
          <w:trHeight w:val="288"/>
        </w:trPr>
        <w:tc>
          <w:tcPr>
            <w:tcW w:w="2694" w:type="dxa"/>
            <w:noWrap/>
            <w:hideMark/>
          </w:tcPr>
          <w:p w:rsidR="00984FC5" w:rsidRPr="001A48D3" w:rsidRDefault="00984FC5" w:rsidP="00C4701A">
            <w:pPr>
              <w:spacing w:after="120"/>
              <w:rPr>
                <w:sz w:val="22"/>
                <w:szCs w:val="22"/>
              </w:rPr>
            </w:pPr>
            <w:r w:rsidRPr="001A48D3">
              <w:rPr>
                <w:sz w:val="22"/>
                <w:szCs w:val="22"/>
              </w:rPr>
              <w:t>Environment Australia (2000)</w:t>
            </w:r>
          </w:p>
        </w:tc>
        <w:tc>
          <w:tcPr>
            <w:tcW w:w="958" w:type="dxa"/>
            <w:noWrap/>
            <w:vAlign w:val="center"/>
            <w:hideMark/>
          </w:tcPr>
          <w:p w:rsidR="00984FC5" w:rsidRPr="001A48D3" w:rsidRDefault="00984FC5" w:rsidP="00C4701A">
            <w:pPr>
              <w:spacing w:after="120"/>
              <w:jc w:val="center"/>
              <w:rPr>
                <w:sz w:val="22"/>
                <w:szCs w:val="22"/>
              </w:rPr>
            </w:pPr>
            <w:r w:rsidRPr="001A48D3">
              <w:rPr>
                <w:sz w:val="22"/>
                <w:szCs w:val="22"/>
              </w:rPr>
              <w:t>12</w:t>
            </w:r>
          </w:p>
        </w:tc>
        <w:tc>
          <w:tcPr>
            <w:tcW w:w="1168" w:type="dxa"/>
            <w:noWrap/>
            <w:vAlign w:val="center"/>
            <w:hideMark/>
          </w:tcPr>
          <w:p w:rsidR="00984FC5" w:rsidRPr="001A48D3" w:rsidRDefault="00984FC5" w:rsidP="00C4701A">
            <w:pPr>
              <w:spacing w:after="120"/>
              <w:jc w:val="center"/>
              <w:rPr>
                <w:sz w:val="22"/>
                <w:szCs w:val="22"/>
              </w:rPr>
            </w:pPr>
            <w:r w:rsidRPr="001A48D3">
              <w:rPr>
                <w:sz w:val="22"/>
                <w:szCs w:val="22"/>
              </w:rPr>
              <w:t>1,440</w:t>
            </w:r>
          </w:p>
        </w:tc>
        <w:tc>
          <w:tcPr>
            <w:tcW w:w="1552" w:type="dxa"/>
            <w:noWrap/>
            <w:vAlign w:val="center"/>
            <w:hideMark/>
          </w:tcPr>
          <w:p w:rsidR="00984FC5" w:rsidRPr="001A48D3" w:rsidRDefault="00984FC5" w:rsidP="00C4701A">
            <w:pPr>
              <w:spacing w:after="120"/>
              <w:jc w:val="center"/>
              <w:rPr>
                <w:sz w:val="22"/>
                <w:szCs w:val="22"/>
              </w:rPr>
            </w:pPr>
            <w:r w:rsidRPr="001A48D3">
              <w:rPr>
                <w:sz w:val="22"/>
                <w:szCs w:val="22"/>
              </w:rPr>
              <w:t>1,385</w:t>
            </w:r>
          </w:p>
        </w:tc>
        <w:tc>
          <w:tcPr>
            <w:tcW w:w="1566" w:type="dxa"/>
            <w:noWrap/>
            <w:vAlign w:val="center"/>
            <w:hideMark/>
          </w:tcPr>
          <w:p w:rsidR="00984FC5" w:rsidRPr="001A48D3" w:rsidRDefault="00984FC5" w:rsidP="00C4701A">
            <w:pPr>
              <w:spacing w:after="120"/>
              <w:jc w:val="center"/>
              <w:rPr>
                <w:sz w:val="22"/>
                <w:szCs w:val="22"/>
              </w:rPr>
            </w:pPr>
            <w:r w:rsidRPr="001A48D3">
              <w:rPr>
                <w:sz w:val="22"/>
                <w:szCs w:val="22"/>
              </w:rPr>
              <w:t>17,600</w:t>
            </w:r>
          </w:p>
        </w:tc>
      </w:tr>
      <w:tr w:rsidR="00984FC5" w:rsidRPr="001A48D3" w:rsidTr="00757C79">
        <w:trPr>
          <w:trHeight w:val="360"/>
        </w:trPr>
        <w:tc>
          <w:tcPr>
            <w:tcW w:w="2694" w:type="dxa"/>
            <w:noWrap/>
            <w:hideMark/>
          </w:tcPr>
          <w:p w:rsidR="00984FC5" w:rsidRPr="001A48D3" w:rsidRDefault="00984FC5" w:rsidP="00C4701A">
            <w:pPr>
              <w:spacing w:after="120"/>
              <w:rPr>
                <w:sz w:val="22"/>
                <w:szCs w:val="22"/>
              </w:rPr>
            </w:pPr>
            <w:r w:rsidRPr="001A48D3">
              <w:rPr>
                <w:sz w:val="22"/>
                <w:szCs w:val="22"/>
              </w:rPr>
              <w:t>NSW EPA (1998)</w:t>
            </w:r>
          </w:p>
        </w:tc>
        <w:tc>
          <w:tcPr>
            <w:tcW w:w="958" w:type="dxa"/>
            <w:noWrap/>
            <w:vAlign w:val="center"/>
            <w:hideMark/>
          </w:tcPr>
          <w:p w:rsidR="00984FC5" w:rsidRPr="001A48D3" w:rsidRDefault="00984FC5" w:rsidP="00C4701A">
            <w:pPr>
              <w:spacing w:after="120"/>
              <w:jc w:val="center"/>
              <w:rPr>
                <w:sz w:val="22"/>
                <w:szCs w:val="22"/>
              </w:rPr>
            </w:pPr>
            <w:proofErr w:type="spellStart"/>
            <w:r w:rsidRPr="001A48D3">
              <w:rPr>
                <w:sz w:val="22"/>
                <w:szCs w:val="22"/>
              </w:rPr>
              <w:t>na</w:t>
            </w:r>
            <w:proofErr w:type="spellEnd"/>
          </w:p>
        </w:tc>
        <w:tc>
          <w:tcPr>
            <w:tcW w:w="1168" w:type="dxa"/>
            <w:noWrap/>
            <w:vAlign w:val="center"/>
            <w:hideMark/>
          </w:tcPr>
          <w:p w:rsidR="00984FC5" w:rsidRPr="001A48D3" w:rsidRDefault="00984FC5" w:rsidP="00C4701A">
            <w:pPr>
              <w:spacing w:after="120"/>
              <w:jc w:val="center"/>
              <w:rPr>
                <w:sz w:val="22"/>
                <w:szCs w:val="22"/>
              </w:rPr>
            </w:pPr>
            <w:proofErr w:type="spellStart"/>
            <w:r w:rsidRPr="001A48D3">
              <w:rPr>
                <w:sz w:val="22"/>
                <w:szCs w:val="22"/>
              </w:rPr>
              <w:t>na</w:t>
            </w:r>
            <w:proofErr w:type="spellEnd"/>
          </w:p>
        </w:tc>
        <w:tc>
          <w:tcPr>
            <w:tcW w:w="1552" w:type="dxa"/>
            <w:noWrap/>
            <w:vAlign w:val="center"/>
            <w:hideMark/>
          </w:tcPr>
          <w:p w:rsidR="00984FC5" w:rsidRPr="001A48D3" w:rsidRDefault="00984FC5" w:rsidP="00C4701A">
            <w:pPr>
              <w:spacing w:after="120"/>
              <w:jc w:val="center"/>
              <w:rPr>
                <w:sz w:val="22"/>
                <w:szCs w:val="22"/>
              </w:rPr>
            </w:pPr>
            <w:r w:rsidRPr="001A48D3">
              <w:rPr>
                <w:sz w:val="22"/>
                <w:szCs w:val="22"/>
              </w:rPr>
              <w:t>68</w:t>
            </w:r>
          </w:p>
        </w:tc>
        <w:tc>
          <w:tcPr>
            <w:tcW w:w="1566" w:type="dxa"/>
            <w:noWrap/>
            <w:vAlign w:val="center"/>
            <w:hideMark/>
          </w:tcPr>
          <w:p w:rsidR="00984FC5" w:rsidRPr="001A48D3" w:rsidRDefault="00984FC5" w:rsidP="00C4701A">
            <w:pPr>
              <w:spacing w:after="120"/>
              <w:jc w:val="center"/>
              <w:rPr>
                <w:sz w:val="22"/>
                <w:szCs w:val="22"/>
              </w:rPr>
            </w:pPr>
            <w:r w:rsidRPr="001A48D3">
              <w:rPr>
                <w:sz w:val="22"/>
                <w:szCs w:val="22"/>
              </w:rPr>
              <w:t>310</w:t>
            </w:r>
          </w:p>
        </w:tc>
      </w:tr>
      <w:tr w:rsidR="00984FC5" w:rsidRPr="001A48D3" w:rsidTr="00757C79">
        <w:trPr>
          <w:trHeight w:val="288"/>
        </w:trPr>
        <w:tc>
          <w:tcPr>
            <w:tcW w:w="2694" w:type="dxa"/>
            <w:noWrap/>
            <w:hideMark/>
          </w:tcPr>
          <w:p w:rsidR="00984FC5" w:rsidRPr="001A48D3" w:rsidRDefault="00984FC5" w:rsidP="00C4701A">
            <w:pPr>
              <w:spacing w:after="120"/>
              <w:rPr>
                <w:sz w:val="22"/>
                <w:szCs w:val="22"/>
              </w:rPr>
            </w:pPr>
            <w:r w:rsidRPr="001A48D3">
              <w:rPr>
                <w:sz w:val="22"/>
                <w:szCs w:val="22"/>
              </w:rPr>
              <w:t>NSW EPA (1997)</w:t>
            </w:r>
          </w:p>
        </w:tc>
        <w:tc>
          <w:tcPr>
            <w:tcW w:w="958" w:type="dxa"/>
            <w:noWrap/>
            <w:vAlign w:val="center"/>
            <w:hideMark/>
          </w:tcPr>
          <w:p w:rsidR="00984FC5" w:rsidRPr="001A48D3" w:rsidRDefault="00984FC5" w:rsidP="00C4701A">
            <w:pPr>
              <w:spacing w:after="120"/>
              <w:jc w:val="center"/>
              <w:rPr>
                <w:sz w:val="22"/>
                <w:szCs w:val="22"/>
              </w:rPr>
            </w:pPr>
            <w:r w:rsidRPr="001A48D3">
              <w:rPr>
                <w:sz w:val="22"/>
                <w:szCs w:val="22"/>
              </w:rPr>
              <w:t>25</w:t>
            </w:r>
          </w:p>
        </w:tc>
        <w:tc>
          <w:tcPr>
            <w:tcW w:w="1168" w:type="dxa"/>
            <w:noWrap/>
            <w:vAlign w:val="center"/>
            <w:hideMark/>
          </w:tcPr>
          <w:p w:rsidR="00984FC5" w:rsidRPr="001A48D3" w:rsidRDefault="00984FC5" w:rsidP="00C4701A">
            <w:pPr>
              <w:spacing w:after="120"/>
              <w:jc w:val="center"/>
              <w:rPr>
                <w:sz w:val="22"/>
                <w:szCs w:val="22"/>
              </w:rPr>
            </w:pPr>
            <w:r w:rsidRPr="001A48D3">
              <w:rPr>
                <w:sz w:val="22"/>
                <w:szCs w:val="22"/>
              </w:rPr>
              <w:t>960</w:t>
            </w:r>
          </w:p>
        </w:tc>
        <w:tc>
          <w:tcPr>
            <w:tcW w:w="1552" w:type="dxa"/>
            <w:noWrap/>
            <w:vAlign w:val="center"/>
            <w:hideMark/>
          </w:tcPr>
          <w:p w:rsidR="00984FC5" w:rsidRPr="001A48D3" w:rsidRDefault="00984FC5" w:rsidP="00C4701A">
            <w:pPr>
              <w:spacing w:after="120"/>
              <w:jc w:val="center"/>
              <w:rPr>
                <w:sz w:val="22"/>
                <w:szCs w:val="22"/>
              </w:rPr>
            </w:pPr>
            <w:r w:rsidRPr="001A48D3">
              <w:rPr>
                <w:sz w:val="22"/>
                <w:szCs w:val="22"/>
              </w:rPr>
              <w:t>1,490</w:t>
            </w:r>
          </w:p>
        </w:tc>
        <w:tc>
          <w:tcPr>
            <w:tcW w:w="1566" w:type="dxa"/>
            <w:noWrap/>
            <w:vAlign w:val="center"/>
            <w:hideMark/>
          </w:tcPr>
          <w:p w:rsidR="00984FC5" w:rsidRPr="001A48D3" w:rsidRDefault="00984FC5" w:rsidP="00C4701A">
            <w:pPr>
              <w:spacing w:after="120"/>
              <w:jc w:val="center"/>
              <w:rPr>
                <w:sz w:val="22"/>
                <w:szCs w:val="22"/>
              </w:rPr>
            </w:pPr>
            <w:r w:rsidRPr="001A48D3">
              <w:rPr>
                <w:sz w:val="22"/>
                <w:szCs w:val="22"/>
              </w:rPr>
              <w:t>1,810</w:t>
            </w:r>
          </w:p>
        </w:tc>
      </w:tr>
    </w:tbl>
    <w:p w:rsidR="00984FC5" w:rsidRPr="001A48D3" w:rsidRDefault="00984FC5" w:rsidP="00C4701A">
      <w:pPr>
        <w:spacing w:after="120"/>
        <w:rPr>
          <w:sz w:val="18"/>
          <w:szCs w:val="18"/>
        </w:rPr>
      </w:pPr>
      <w:r w:rsidRPr="001A48D3">
        <w:rPr>
          <w:sz w:val="18"/>
          <w:szCs w:val="18"/>
        </w:rPr>
        <w:t>Note</w:t>
      </w:r>
      <w:r w:rsidR="00443C4B" w:rsidRPr="001A48D3">
        <w:rPr>
          <w:sz w:val="18"/>
          <w:szCs w:val="18"/>
        </w:rPr>
        <w:t>s</w:t>
      </w:r>
      <w:r w:rsidRPr="001A48D3">
        <w:rPr>
          <w:sz w:val="18"/>
          <w:szCs w:val="18"/>
        </w:rPr>
        <w:t>:</w:t>
      </w:r>
      <w:r w:rsidRPr="001A48D3">
        <w:rPr>
          <w:sz w:val="18"/>
          <w:szCs w:val="18"/>
        </w:rPr>
        <w:tab/>
      </w:r>
      <w:r w:rsidRPr="001A48D3">
        <w:rPr>
          <w:color w:val="3F3151"/>
          <w:sz w:val="18"/>
          <w:szCs w:val="18"/>
          <w:vertAlign w:val="superscript"/>
        </w:rPr>
        <w:t>a</w:t>
      </w:r>
      <w:r w:rsidR="00361D22">
        <w:rPr>
          <w:sz w:val="18"/>
          <w:szCs w:val="18"/>
        </w:rPr>
        <w:t xml:space="preserve"> </w:t>
      </w:r>
      <w:r w:rsidRPr="001A48D3">
        <w:rPr>
          <w:sz w:val="18"/>
          <w:szCs w:val="18"/>
        </w:rPr>
        <w:t xml:space="preserve">Simple average for inner and outer areas of major capital cities (see Table 3 </w:t>
      </w:r>
      <w:r w:rsidR="00E71627" w:rsidRPr="001A48D3">
        <w:rPr>
          <w:sz w:val="18"/>
          <w:szCs w:val="18"/>
        </w:rPr>
        <w:t xml:space="preserve">of Appendix B </w:t>
      </w:r>
      <w:r w:rsidRPr="001A48D3">
        <w:rPr>
          <w:sz w:val="18"/>
          <w:szCs w:val="18"/>
        </w:rPr>
        <w:t xml:space="preserve">for detailed </w:t>
      </w:r>
      <w:proofErr w:type="spellStart"/>
      <w:r w:rsidRPr="001A48D3">
        <w:rPr>
          <w:sz w:val="18"/>
          <w:szCs w:val="18"/>
        </w:rPr>
        <w:t>Watkiss</w:t>
      </w:r>
      <w:proofErr w:type="spellEnd"/>
      <w:r w:rsidRPr="001A48D3">
        <w:rPr>
          <w:sz w:val="18"/>
          <w:szCs w:val="18"/>
        </w:rPr>
        <w:t xml:space="preserve"> (2002) results).</w:t>
      </w:r>
    </w:p>
    <w:p w:rsidR="00984FC5" w:rsidRPr="001A48D3" w:rsidRDefault="00984FC5" w:rsidP="00C4701A">
      <w:pPr>
        <w:spacing w:after="120"/>
        <w:rPr>
          <w:sz w:val="18"/>
          <w:szCs w:val="18"/>
        </w:rPr>
      </w:pPr>
      <w:r w:rsidRPr="001A48D3">
        <w:rPr>
          <w:color w:val="3F3151"/>
          <w:sz w:val="18"/>
          <w:szCs w:val="18"/>
          <w:vertAlign w:val="superscript"/>
        </w:rPr>
        <w:tab/>
        <w:t>b</w:t>
      </w:r>
      <w:r w:rsidR="00361D22">
        <w:rPr>
          <w:sz w:val="18"/>
          <w:szCs w:val="18"/>
        </w:rPr>
        <w:t xml:space="preserve"> </w:t>
      </w:r>
      <w:r w:rsidRPr="001A48D3">
        <w:rPr>
          <w:sz w:val="18"/>
          <w:szCs w:val="18"/>
        </w:rPr>
        <w:t>Estimate for the year 2000, derived from results reported in BTRE (2005).</w:t>
      </w:r>
    </w:p>
    <w:p w:rsidR="00984FC5" w:rsidRPr="001A48D3" w:rsidRDefault="00984FC5" w:rsidP="00C4701A">
      <w:pPr>
        <w:spacing w:after="120"/>
        <w:rPr>
          <w:sz w:val="18"/>
          <w:szCs w:val="18"/>
        </w:rPr>
      </w:pPr>
      <w:r w:rsidRPr="001A48D3">
        <w:rPr>
          <w:sz w:val="18"/>
          <w:szCs w:val="18"/>
        </w:rPr>
        <w:t>Source:</w:t>
      </w:r>
      <w:r w:rsidRPr="001A48D3">
        <w:rPr>
          <w:sz w:val="18"/>
          <w:szCs w:val="18"/>
        </w:rPr>
        <w:tab/>
        <w:t xml:space="preserve">Coffey Geosciences (2003), </w:t>
      </w:r>
      <w:proofErr w:type="spellStart"/>
      <w:r w:rsidRPr="001A48D3">
        <w:rPr>
          <w:sz w:val="18"/>
          <w:szCs w:val="18"/>
        </w:rPr>
        <w:t>Watkiss</w:t>
      </w:r>
      <w:proofErr w:type="spellEnd"/>
      <w:r w:rsidRPr="001A48D3">
        <w:rPr>
          <w:sz w:val="18"/>
          <w:szCs w:val="18"/>
        </w:rPr>
        <w:t xml:space="preserve"> (2002) and BTRE (2005)</w:t>
      </w:r>
      <w:r w:rsidR="00E71627" w:rsidRPr="001A48D3">
        <w:rPr>
          <w:sz w:val="18"/>
          <w:szCs w:val="18"/>
        </w:rPr>
        <w:t xml:space="preserve"> [refer to </w:t>
      </w:r>
      <w:r w:rsidR="006F3233" w:rsidRPr="001A48D3">
        <w:rPr>
          <w:sz w:val="18"/>
          <w:szCs w:val="18"/>
        </w:rPr>
        <w:t>reference list in Appendix C</w:t>
      </w:r>
      <w:r w:rsidR="00E71627" w:rsidRPr="001A48D3">
        <w:rPr>
          <w:sz w:val="18"/>
          <w:szCs w:val="18"/>
        </w:rPr>
        <w:t xml:space="preserve"> for details]</w:t>
      </w:r>
    </w:p>
    <w:p w:rsidR="000D7C02" w:rsidRPr="001A48D3" w:rsidRDefault="000D7C02" w:rsidP="00C4701A">
      <w:pPr>
        <w:spacing w:after="120"/>
        <w:rPr>
          <w:szCs w:val="24"/>
        </w:rPr>
      </w:pPr>
    </w:p>
    <w:p w:rsidR="00984FC5" w:rsidRPr="001A48D3" w:rsidRDefault="00984FC5" w:rsidP="00C4701A">
      <w:pPr>
        <w:spacing w:after="120"/>
      </w:pPr>
      <w:r w:rsidRPr="001A48D3">
        <w:t>Unit health costs vary from location to location and according to populat</w:t>
      </w:r>
      <w:r w:rsidR="00921F31" w:rsidRPr="001A48D3">
        <w:t>ion and meteorological factors.  To</w:t>
      </w:r>
      <w:r w:rsidRPr="001A48D3">
        <w:t xml:space="preserve"> analys</w:t>
      </w:r>
      <w:r w:rsidR="00921F31" w:rsidRPr="001A48D3">
        <w:t>e</w:t>
      </w:r>
      <w:r w:rsidRPr="001A48D3">
        <w:t xml:space="preserve"> the impact of the proposed new </w:t>
      </w:r>
      <w:r w:rsidR="00921F31" w:rsidRPr="001A48D3">
        <w:t>vehicle</w:t>
      </w:r>
      <w:r w:rsidRPr="001A48D3">
        <w:t xml:space="preserve"> standards on emissions (in terms of tonnes of pollutants emitted), the best disaggregation of the location</w:t>
      </w:r>
      <w:r w:rsidR="00921F31" w:rsidRPr="001A48D3">
        <w:t xml:space="preserve"> </w:t>
      </w:r>
      <w:r w:rsidRPr="001A48D3">
        <w:t xml:space="preserve">– given the available data – is to split the total emissions into those for capital cities and the rest of Australia. </w:t>
      </w:r>
      <w:r w:rsidR="00921F31" w:rsidRPr="001A48D3">
        <w:t xml:space="preserve"> T</w:t>
      </w:r>
      <w:r w:rsidRPr="001A48D3">
        <w:t xml:space="preserve">o calculate the total health benefit, estimates of unit health costs are required for each of the two areas concerned. </w:t>
      </w:r>
    </w:p>
    <w:p w:rsidR="00984FC5" w:rsidRPr="001A48D3" w:rsidRDefault="00921F31" w:rsidP="00C4701A">
      <w:pPr>
        <w:spacing w:after="120"/>
      </w:pPr>
      <w:r w:rsidRPr="001A48D3">
        <w:t xml:space="preserve">The procedure </w:t>
      </w:r>
      <w:r w:rsidR="00984FC5" w:rsidRPr="001A48D3">
        <w:t xml:space="preserve">employed to estimate </w:t>
      </w:r>
      <w:r w:rsidRPr="001A48D3">
        <w:t xml:space="preserve">unit health cost values included </w:t>
      </w:r>
      <w:r w:rsidR="00984FC5" w:rsidRPr="001A48D3">
        <w:t>the following steps:</w:t>
      </w:r>
    </w:p>
    <w:p w:rsidR="00984FC5" w:rsidRPr="001A48D3" w:rsidRDefault="00984FC5" w:rsidP="00C4701A">
      <w:pPr>
        <w:numPr>
          <w:ilvl w:val="0"/>
          <w:numId w:val="26"/>
        </w:numPr>
        <w:spacing w:after="120"/>
      </w:pPr>
      <w:r w:rsidRPr="001A48D3">
        <w:t>Only the three most recent studies l</w:t>
      </w:r>
      <w:r w:rsidR="00443C4B" w:rsidRPr="001A48D3">
        <w:t xml:space="preserve">isted in Table </w:t>
      </w:r>
      <w:r w:rsidR="003D38EC" w:rsidRPr="001A48D3">
        <w:t>8</w:t>
      </w:r>
      <w:r w:rsidRPr="001A48D3">
        <w:t xml:space="preserve"> (excluding BTRE (2005)) were selected as input for estimation</w:t>
      </w:r>
      <w:r w:rsidR="00E71627" w:rsidRPr="001A48D3">
        <w:t xml:space="preserve"> - </w:t>
      </w:r>
      <w:r w:rsidRPr="001A48D3">
        <w:t xml:space="preserve">Coffey Geosciences (2003), </w:t>
      </w:r>
      <w:proofErr w:type="spellStart"/>
      <w:r w:rsidRPr="001A48D3">
        <w:t>Watkiss</w:t>
      </w:r>
      <w:proofErr w:type="spellEnd"/>
      <w:r w:rsidRPr="001A48D3">
        <w:t xml:space="preserve"> (2002) and Beer (2002);</w:t>
      </w:r>
    </w:p>
    <w:p w:rsidR="00984FC5" w:rsidRPr="001A48D3" w:rsidRDefault="00984FC5" w:rsidP="00C4701A">
      <w:pPr>
        <w:numPr>
          <w:ilvl w:val="0"/>
          <w:numId w:val="26"/>
        </w:numPr>
        <w:spacing w:after="120"/>
      </w:pPr>
      <w:r w:rsidRPr="001A48D3">
        <w:t>Unit values for capital cities were calculated by taking the simple average of the estimates from the three studies;</w:t>
      </w:r>
    </w:p>
    <w:p w:rsidR="00984FC5" w:rsidRPr="001A48D3" w:rsidRDefault="00984FC5" w:rsidP="00C4701A">
      <w:pPr>
        <w:numPr>
          <w:ilvl w:val="0"/>
          <w:numId w:val="26"/>
        </w:numPr>
        <w:spacing w:after="120"/>
      </w:pPr>
      <w:r w:rsidRPr="001A48D3">
        <w:t xml:space="preserve">Unit values for the rest of Australia were based on the simple average of the estimates for Band 3 and Band 4 contained </w:t>
      </w:r>
      <w:r w:rsidR="00E71627" w:rsidRPr="001A48D3">
        <w:t xml:space="preserve">in </w:t>
      </w:r>
      <w:proofErr w:type="spellStart"/>
      <w:r w:rsidR="00E71627" w:rsidRPr="001A48D3">
        <w:t>Watk</w:t>
      </w:r>
      <w:r w:rsidRPr="001A48D3">
        <w:t>iss</w:t>
      </w:r>
      <w:proofErr w:type="spellEnd"/>
      <w:r w:rsidRPr="001A48D3">
        <w:t xml:space="preserve"> (2002);</w:t>
      </w:r>
    </w:p>
    <w:p w:rsidR="00984FC5" w:rsidRPr="001A48D3" w:rsidRDefault="00984FC5" w:rsidP="00C4701A">
      <w:pPr>
        <w:numPr>
          <w:ilvl w:val="0"/>
          <w:numId w:val="26"/>
        </w:numPr>
        <w:spacing w:after="120"/>
      </w:pPr>
      <w:r w:rsidRPr="001A48D3">
        <w:lastRenderedPageBreak/>
        <w:t>Given the uncertainties surrounding the unit value estimates, an upper bound and a lower bound w</w:t>
      </w:r>
      <w:r w:rsidR="00266203" w:rsidRPr="001A48D3">
        <w:t>ere established (an average ±</w:t>
      </w:r>
      <w:r w:rsidRPr="001A48D3">
        <w:t>50</w:t>
      </w:r>
      <w:r w:rsidR="00D56B08" w:rsidRPr="001A48D3">
        <w:t>%</w:t>
      </w:r>
      <w:r w:rsidRPr="001A48D3">
        <w:t xml:space="preserve">) on the basis of observations made by Coffey Geosciences (2003); and </w:t>
      </w:r>
    </w:p>
    <w:p w:rsidR="00984FC5" w:rsidRPr="001A48D3" w:rsidRDefault="00443C4B" w:rsidP="00C4701A">
      <w:pPr>
        <w:numPr>
          <w:ilvl w:val="0"/>
          <w:numId w:val="26"/>
        </w:numPr>
        <w:spacing w:after="120"/>
      </w:pPr>
      <w:r w:rsidRPr="001A48D3">
        <w:t xml:space="preserve">Unit values presented in Table </w:t>
      </w:r>
      <w:r w:rsidR="003D38EC" w:rsidRPr="001A48D3">
        <w:t>8</w:t>
      </w:r>
      <w:r w:rsidR="00984FC5" w:rsidRPr="001A48D3">
        <w:t xml:space="preserve"> were assumed to be in 2003 prices</w:t>
      </w:r>
      <w:r w:rsidR="001743A3" w:rsidRPr="001A48D3">
        <w:t xml:space="preserve">, and </w:t>
      </w:r>
      <w:r w:rsidR="00984FC5" w:rsidRPr="001A48D3">
        <w:t>were updated to 2009 prices using the CPI.</w:t>
      </w:r>
    </w:p>
    <w:p w:rsidR="00361D22" w:rsidRPr="001A48D3" w:rsidRDefault="00443C4B" w:rsidP="00C4701A">
      <w:pPr>
        <w:spacing w:after="120"/>
      </w:pPr>
      <w:r w:rsidRPr="001A48D3">
        <w:t xml:space="preserve">Table </w:t>
      </w:r>
      <w:r w:rsidR="003D38EC" w:rsidRPr="001A48D3">
        <w:t>9</w:t>
      </w:r>
      <w:r w:rsidR="00984FC5" w:rsidRPr="001A48D3">
        <w:t xml:space="preserve"> presents the recommended unit values for calculating the health benefit and undertaking sensitivity analyses</w:t>
      </w:r>
      <w:r w:rsidR="00921F31" w:rsidRPr="001A48D3">
        <w:t xml:space="preserve"> for this BCA</w:t>
      </w:r>
      <w:r w:rsidR="00984FC5" w:rsidRPr="001A48D3">
        <w:t>.</w:t>
      </w:r>
    </w:p>
    <w:p w:rsidR="00E71627" w:rsidRPr="001A48D3" w:rsidRDefault="00E71627" w:rsidP="00C4701A">
      <w:pPr>
        <w:spacing w:after="120"/>
        <w:rPr>
          <w:szCs w:val="24"/>
        </w:rPr>
      </w:pPr>
    </w:p>
    <w:p w:rsidR="00984FC5" w:rsidRPr="001A48D3" w:rsidRDefault="00443C4B" w:rsidP="00B52F7D">
      <w:pPr>
        <w:pStyle w:val="Heading3"/>
      </w:pPr>
      <w:bookmarkStart w:id="75" w:name="_Toc430182534"/>
      <w:r w:rsidRPr="00B52F7D">
        <w:t xml:space="preserve">Table </w:t>
      </w:r>
      <w:r w:rsidR="003D38EC" w:rsidRPr="00B52F7D">
        <w:t>9</w:t>
      </w:r>
      <w:r w:rsidRPr="00B52F7D">
        <w:tab/>
        <w:t>Updated Average Health Cost ($/tonne of emission</w:t>
      </w:r>
      <w:r w:rsidR="00A8433F" w:rsidRPr="00B52F7D">
        <w:t xml:space="preserve">s) </w:t>
      </w:r>
      <w:r w:rsidRPr="001A48D3">
        <w:t>by A</w:t>
      </w:r>
      <w:r w:rsidR="00984FC5" w:rsidRPr="001A48D3">
        <w:t>rea (in 2009 prices)</w:t>
      </w:r>
      <w:bookmarkEnd w:id="75"/>
    </w:p>
    <w:tbl>
      <w:tblPr>
        <w:tblW w:w="6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630"/>
        <w:gridCol w:w="1417"/>
        <w:gridCol w:w="1559"/>
      </w:tblGrid>
      <w:tr w:rsidR="00921F31" w:rsidRPr="001A48D3" w:rsidTr="00153F3E">
        <w:trPr>
          <w:trHeight w:val="372"/>
          <w:tblHeader/>
        </w:trPr>
        <w:tc>
          <w:tcPr>
            <w:tcW w:w="2268" w:type="dxa"/>
            <w:tcBorders>
              <w:bottom w:val="nil"/>
            </w:tcBorders>
            <w:shd w:val="clear" w:color="auto" w:fill="FFC000"/>
            <w:noWrap/>
            <w:vAlign w:val="center"/>
            <w:hideMark/>
          </w:tcPr>
          <w:p w:rsidR="00921F31" w:rsidRPr="001A48D3" w:rsidRDefault="00921F31" w:rsidP="00C4701A">
            <w:pPr>
              <w:spacing w:before="120" w:after="120"/>
              <w:jc w:val="center"/>
              <w:rPr>
                <w:b/>
                <w:bCs/>
                <w:color w:val="000000"/>
                <w:sz w:val="22"/>
                <w:szCs w:val="22"/>
              </w:rPr>
            </w:pPr>
            <w:r w:rsidRPr="001A48D3">
              <w:rPr>
                <w:b/>
                <w:bCs/>
                <w:color w:val="000000"/>
                <w:sz w:val="22"/>
                <w:szCs w:val="22"/>
              </w:rPr>
              <w:t>Area &amp; Sensitivity</w:t>
            </w:r>
          </w:p>
        </w:tc>
        <w:tc>
          <w:tcPr>
            <w:tcW w:w="4606" w:type="dxa"/>
            <w:gridSpan w:val="3"/>
            <w:shd w:val="clear" w:color="auto" w:fill="FFC000"/>
            <w:noWrap/>
            <w:vAlign w:val="center"/>
            <w:hideMark/>
          </w:tcPr>
          <w:p w:rsidR="00921F31" w:rsidRPr="001A48D3" w:rsidRDefault="00921F31" w:rsidP="00C4701A">
            <w:pPr>
              <w:spacing w:before="120" w:after="120"/>
              <w:jc w:val="center"/>
              <w:rPr>
                <w:b/>
                <w:bCs/>
                <w:color w:val="000000"/>
                <w:sz w:val="22"/>
                <w:szCs w:val="22"/>
              </w:rPr>
            </w:pPr>
            <w:r w:rsidRPr="001A48D3">
              <w:rPr>
                <w:b/>
                <w:bCs/>
                <w:color w:val="000000"/>
                <w:sz w:val="22"/>
                <w:szCs w:val="22"/>
              </w:rPr>
              <w:t xml:space="preserve">Health Cost by </w:t>
            </w:r>
            <w:r w:rsidR="00AF01A3" w:rsidRPr="001A48D3">
              <w:rPr>
                <w:b/>
                <w:bCs/>
                <w:color w:val="000000"/>
                <w:sz w:val="22"/>
                <w:szCs w:val="22"/>
              </w:rPr>
              <w:t>Emissions</w:t>
            </w:r>
            <w:r w:rsidRPr="001A48D3">
              <w:rPr>
                <w:b/>
                <w:bCs/>
                <w:color w:val="000000"/>
                <w:sz w:val="22"/>
                <w:szCs w:val="22"/>
              </w:rPr>
              <w:t xml:space="preserve"> Type ($/tonne)</w:t>
            </w:r>
          </w:p>
        </w:tc>
      </w:tr>
      <w:tr w:rsidR="00984FC5" w:rsidRPr="001A48D3" w:rsidTr="00153F3E">
        <w:trPr>
          <w:trHeight w:val="372"/>
          <w:tblHeader/>
        </w:trPr>
        <w:tc>
          <w:tcPr>
            <w:tcW w:w="2268" w:type="dxa"/>
            <w:tcBorders>
              <w:top w:val="nil"/>
            </w:tcBorders>
            <w:shd w:val="clear" w:color="auto" w:fill="FFC000"/>
            <w:noWrap/>
            <w:vAlign w:val="center"/>
            <w:hideMark/>
          </w:tcPr>
          <w:p w:rsidR="00984FC5" w:rsidRPr="001A48D3" w:rsidRDefault="00984FC5" w:rsidP="00C4701A">
            <w:pPr>
              <w:spacing w:before="120" w:after="120"/>
              <w:jc w:val="center"/>
              <w:rPr>
                <w:b/>
                <w:bCs/>
                <w:color w:val="000000"/>
                <w:sz w:val="22"/>
                <w:szCs w:val="22"/>
              </w:rPr>
            </w:pPr>
          </w:p>
        </w:tc>
        <w:tc>
          <w:tcPr>
            <w:tcW w:w="1630" w:type="dxa"/>
            <w:shd w:val="clear" w:color="auto" w:fill="FFC000"/>
            <w:noWrap/>
            <w:vAlign w:val="center"/>
            <w:hideMark/>
          </w:tcPr>
          <w:p w:rsidR="00984FC5" w:rsidRPr="001A48D3" w:rsidRDefault="00984FC5" w:rsidP="00C4701A">
            <w:pPr>
              <w:spacing w:before="120" w:after="120"/>
              <w:jc w:val="center"/>
              <w:rPr>
                <w:b/>
                <w:bCs/>
                <w:color w:val="000000"/>
                <w:sz w:val="22"/>
                <w:szCs w:val="22"/>
              </w:rPr>
            </w:pPr>
            <w:r w:rsidRPr="001A48D3">
              <w:rPr>
                <w:b/>
                <w:bCs/>
                <w:color w:val="000000"/>
                <w:sz w:val="22"/>
                <w:szCs w:val="22"/>
              </w:rPr>
              <w:t>HC</w:t>
            </w:r>
          </w:p>
        </w:tc>
        <w:tc>
          <w:tcPr>
            <w:tcW w:w="1417" w:type="dxa"/>
            <w:shd w:val="clear" w:color="auto" w:fill="FFC000"/>
            <w:noWrap/>
            <w:vAlign w:val="center"/>
            <w:hideMark/>
          </w:tcPr>
          <w:p w:rsidR="00984FC5" w:rsidRPr="001A48D3" w:rsidRDefault="00984FC5" w:rsidP="00C4701A">
            <w:pPr>
              <w:spacing w:before="120" w:after="120"/>
              <w:jc w:val="center"/>
              <w:rPr>
                <w:b/>
                <w:bCs/>
                <w:color w:val="000000"/>
                <w:sz w:val="22"/>
                <w:szCs w:val="22"/>
              </w:rPr>
            </w:pPr>
            <w:r w:rsidRPr="001A48D3">
              <w:rPr>
                <w:b/>
                <w:bCs/>
                <w:color w:val="000000"/>
                <w:sz w:val="22"/>
                <w:szCs w:val="22"/>
              </w:rPr>
              <w:t>NOx</w:t>
            </w:r>
          </w:p>
        </w:tc>
        <w:tc>
          <w:tcPr>
            <w:tcW w:w="1559" w:type="dxa"/>
            <w:shd w:val="clear" w:color="auto" w:fill="FFC000"/>
            <w:noWrap/>
            <w:vAlign w:val="center"/>
            <w:hideMark/>
          </w:tcPr>
          <w:p w:rsidR="00984FC5" w:rsidRPr="001A48D3" w:rsidRDefault="00984FC5" w:rsidP="00C4701A">
            <w:pPr>
              <w:spacing w:before="120" w:after="120"/>
              <w:jc w:val="center"/>
              <w:rPr>
                <w:b/>
                <w:bCs/>
                <w:color w:val="000000"/>
                <w:sz w:val="22"/>
                <w:szCs w:val="22"/>
              </w:rPr>
            </w:pPr>
            <w:r w:rsidRPr="001A48D3">
              <w:rPr>
                <w:b/>
                <w:bCs/>
                <w:color w:val="000000"/>
                <w:sz w:val="22"/>
                <w:szCs w:val="22"/>
              </w:rPr>
              <w:t>PM10</w:t>
            </w:r>
          </w:p>
        </w:tc>
      </w:tr>
      <w:tr w:rsidR="00984FC5" w:rsidRPr="001A48D3" w:rsidTr="00443C4B">
        <w:trPr>
          <w:trHeight w:val="20"/>
        </w:trPr>
        <w:tc>
          <w:tcPr>
            <w:tcW w:w="2268" w:type="dxa"/>
            <w:tcBorders>
              <w:bottom w:val="nil"/>
            </w:tcBorders>
            <w:noWrap/>
            <w:hideMark/>
          </w:tcPr>
          <w:p w:rsidR="00984FC5" w:rsidRPr="001A48D3" w:rsidRDefault="00984FC5" w:rsidP="00C4701A">
            <w:pPr>
              <w:spacing w:before="40" w:after="120"/>
              <w:rPr>
                <w:b/>
                <w:bCs/>
                <w:sz w:val="22"/>
                <w:szCs w:val="22"/>
              </w:rPr>
            </w:pPr>
            <w:r w:rsidRPr="001A48D3">
              <w:rPr>
                <w:b/>
                <w:bCs/>
                <w:sz w:val="22"/>
                <w:szCs w:val="22"/>
              </w:rPr>
              <w:t>Central</w:t>
            </w:r>
          </w:p>
        </w:tc>
        <w:tc>
          <w:tcPr>
            <w:tcW w:w="1630" w:type="dxa"/>
            <w:tcBorders>
              <w:bottom w:val="nil"/>
            </w:tcBorders>
            <w:noWrap/>
            <w:hideMark/>
          </w:tcPr>
          <w:p w:rsidR="00984FC5" w:rsidRPr="001A48D3" w:rsidRDefault="00984FC5" w:rsidP="00C4701A">
            <w:pPr>
              <w:spacing w:before="40" w:after="120"/>
              <w:rPr>
                <w:color w:val="000000"/>
                <w:sz w:val="22"/>
                <w:szCs w:val="22"/>
              </w:rPr>
            </w:pPr>
          </w:p>
        </w:tc>
        <w:tc>
          <w:tcPr>
            <w:tcW w:w="1417" w:type="dxa"/>
            <w:tcBorders>
              <w:bottom w:val="nil"/>
            </w:tcBorders>
            <w:noWrap/>
            <w:hideMark/>
          </w:tcPr>
          <w:p w:rsidR="00984FC5" w:rsidRPr="001A48D3" w:rsidRDefault="00984FC5" w:rsidP="00C4701A">
            <w:pPr>
              <w:spacing w:before="40" w:after="120"/>
              <w:rPr>
                <w:color w:val="000000"/>
                <w:sz w:val="22"/>
                <w:szCs w:val="22"/>
              </w:rPr>
            </w:pPr>
          </w:p>
        </w:tc>
        <w:tc>
          <w:tcPr>
            <w:tcW w:w="1559" w:type="dxa"/>
            <w:tcBorders>
              <w:bottom w:val="nil"/>
            </w:tcBorders>
            <w:noWrap/>
            <w:hideMark/>
          </w:tcPr>
          <w:p w:rsidR="00984FC5" w:rsidRPr="001A48D3" w:rsidRDefault="00984FC5" w:rsidP="00C4701A">
            <w:pPr>
              <w:spacing w:before="40" w:after="120"/>
              <w:rPr>
                <w:color w:val="000000"/>
                <w:sz w:val="22"/>
                <w:szCs w:val="22"/>
              </w:rPr>
            </w:pPr>
          </w:p>
        </w:tc>
      </w:tr>
      <w:tr w:rsidR="00984FC5" w:rsidRPr="001A48D3" w:rsidTr="00443C4B">
        <w:trPr>
          <w:trHeight w:val="155"/>
        </w:trPr>
        <w:tc>
          <w:tcPr>
            <w:tcW w:w="2268" w:type="dxa"/>
            <w:tcBorders>
              <w:top w:val="nil"/>
              <w:bottom w:val="nil"/>
            </w:tcBorders>
            <w:noWrap/>
            <w:hideMark/>
          </w:tcPr>
          <w:p w:rsidR="00984FC5" w:rsidRPr="001A48D3" w:rsidRDefault="00984FC5" w:rsidP="00C4701A">
            <w:pPr>
              <w:spacing w:before="40" w:after="120"/>
              <w:rPr>
                <w:sz w:val="22"/>
                <w:szCs w:val="22"/>
              </w:rPr>
            </w:pPr>
            <w:r w:rsidRPr="001A48D3">
              <w:rPr>
                <w:sz w:val="22"/>
                <w:szCs w:val="22"/>
              </w:rPr>
              <w:t>Capital cities</w:t>
            </w:r>
          </w:p>
        </w:tc>
        <w:tc>
          <w:tcPr>
            <w:tcW w:w="1630" w:type="dxa"/>
            <w:tcBorders>
              <w:top w:val="nil"/>
              <w:bottom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8,832</w:t>
            </w:r>
          </w:p>
        </w:tc>
        <w:tc>
          <w:tcPr>
            <w:tcW w:w="1417" w:type="dxa"/>
            <w:tcBorders>
              <w:top w:val="nil"/>
              <w:bottom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1,056</w:t>
            </w:r>
          </w:p>
        </w:tc>
        <w:tc>
          <w:tcPr>
            <w:tcW w:w="1559" w:type="dxa"/>
            <w:tcBorders>
              <w:top w:val="nil"/>
              <w:bottom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235,261</w:t>
            </w:r>
          </w:p>
        </w:tc>
      </w:tr>
      <w:tr w:rsidR="00984FC5" w:rsidRPr="001A48D3" w:rsidTr="00443C4B">
        <w:trPr>
          <w:trHeight w:val="20"/>
        </w:trPr>
        <w:tc>
          <w:tcPr>
            <w:tcW w:w="2268" w:type="dxa"/>
            <w:tcBorders>
              <w:top w:val="nil"/>
            </w:tcBorders>
            <w:noWrap/>
            <w:hideMark/>
          </w:tcPr>
          <w:p w:rsidR="00984FC5" w:rsidRPr="001A48D3" w:rsidRDefault="00984FC5" w:rsidP="00C4701A">
            <w:pPr>
              <w:spacing w:before="40" w:after="120"/>
              <w:rPr>
                <w:sz w:val="22"/>
                <w:szCs w:val="22"/>
              </w:rPr>
            </w:pPr>
            <w:r w:rsidRPr="001A48D3">
              <w:rPr>
                <w:sz w:val="22"/>
                <w:szCs w:val="22"/>
              </w:rPr>
              <w:t>Rest of Australia</w:t>
            </w:r>
          </w:p>
        </w:tc>
        <w:tc>
          <w:tcPr>
            <w:tcW w:w="1630" w:type="dxa"/>
            <w:tcBorders>
              <w:top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103</w:t>
            </w:r>
          </w:p>
        </w:tc>
        <w:tc>
          <w:tcPr>
            <w:tcW w:w="1417" w:type="dxa"/>
            <w:tcBorders>
              <w:top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154</w:t>
            </w:r>
          </w:p>
        </w:tc>
        <w:tc>
          <w:tcPr>
            <w:tcW w:w="1559" w:type="dxa"/>
            <w:tcBorders>
              <w:top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55,827</w:t>
            </w:r>
          </w:p>
        </w:tc>
      </w:tr>
      <w:tr w:rsidR="00984FC5" w:rsidRPr="001A48D3" w:rsidTr="00443C4B">
        <w:trPr>
          <w:trHeight w:val="20"/>
        </w:trPr>
        <w:tc>
          <w:tcPr>
            <w:tcW w:w="2268" w:type="dxa"/>
            <w:tcBorders>
              <w:bottom w:val="nil"/>
            </w:tcBorders>
            <w:noWrap/>
            <w:hideMark/>
          </w:tcPr>
          <w:p w:rsidR="00984FC5" w:rsidRPr="001A48D3" w:rsidRDefault="00984FC5" w:rsidP="00C4701A">
            <w:pPr>
              <w:spacing w:before="40" w:after="120"/>
              <w:rPr>
                <w:b/>
                <w:bCs/>
                <w:sz w:val="22"/>
                <w:szCs w:val="22"/>
              </w:rPr>
            </w:pPr>
            <w:r w:rsidRPr="001A48D3">
              <w:rPr>
                <w:b/>
                <w:bCs/>
                <w:sz w:val="22"/>
                <w:szCs w:val="22"/>
              </w:rPr>
              <w:t>Upper bound + 50%</w:t>
            </w:r>
          </w:p>
        </w:tc>
        <w:tc>
          <w:tcPr>
            <w:tcW w:w="1630" w:type="dxa"/>
            <w:tcBorders>
              <w:bottom w:val="nil"/>
            </w:tcBorders>
            <w:noWrap/>
            <w:hideMark/>
          </w:tcPr>
          <w:p w:rsidR="00984FC5" w:rsidRPr="001A48D3" w:rsidRDefault="00984FC5" w:rsidP="00C4701A">
            <w:pPr>
              <w:spacing w:before="40" w:after="120"/>
              <w:rPr>
                <w:color w:val="000000"/>
                <w:sz w:val="22"/>
                <w:szCs w:val="22"/>
              </w:rPr>
            </w:pPr>
          </w:p>
        </w:tc>
        <w:tc>
          <w:tcPr>
            <w:tcW w:w="1417" w:type="dxa"/>
            <w:tcBorders>
              <w:bottom w:val="nil"/>
            </w:tcBorders>
            <w:noWrap/>
            <w:hideMark/>
          </w:tcPr>
          <w:p w:rsidR="00984FC5" w:rsidRPr="001A48D3" w:rsidRDefault="00984FC5" w:rsidP="00C4701A">
            <w:pPr>
              <w:spacing w:before="40" w:after="120"/>
              <w:rPr>
                <w:color w:val="000000"/>
                <w:sz w:val="22"/>
                <w:szCs w:val="22"/>
              </w:rPr>
            </w:pPr>
          </w:p>
        </w:tc>
        <w:tc>
          <w:tcPr>
            <w:tcW w:w="1559" w:type="dxa"/>
            <w:tcBorders>
              <w:bottom w:val="nil"/>
            </w:tcBorders>
            <w:noWrap/>
            <w:hideMark/>
          </w:tcPr>
          <w:p w:rsidR="00984FC5" w:rsidRPr="001A48D3" w:rsidRDefault="00984FC5" w:rsidP="00C4701A">
            <w:pPr>
              <w:spacing w:before="40" w:after="120"/>
              <w:rPr>
                <w:color w:val="000000"/>
                <w:sz w:val="22"/>
                <w:szCs w:val="22"/>
              </w:rPr>
            </w:pPr>
          </w:p>
        </w:tc>
      </w:tr>
      <w:tr w:rsidR="00984FC5" w:rsidRPr="001A48D3" w:rsidTr="00443C4B">
        <w:trPr>
          <w:trHeight w:val="20"/>
        </w:trPr>
        <w:tc>
          <w:tcPr>
            <w:tcW w:w="2268" w:type="dxa"/>
            <w:tcBorders>
              <w:top w:val="nil"/>
              <w:bottom w:val="nil"/>
            </w:tcBorders>
            <w:noWrap/>
            <w:hideMark/>
          </w:tcPr>
          <w:p w:rsidR="00984FC5" w:rsidRPr="001A48D3" w:rsidRDefault="00984FC5" w:rsidP="00C4701A">
            <w:pPr>
              <w:spacing w:before="40" w:after="120"/>
              <w:rPr>
                <w:sz w:val="22"/>
                <w:szCs w:val="22"/>
              </w:rPr>
            </w:pPr>
            <w:r w:rsidRPr="001A48D3">
              <w:rPr>
                <w:sz w:val="22"/>
                <w:szCs w:val="22"/>
              </w:rPr>
              <w:t>Capital cities</w:t>
            </w:r>
          </w:p>
        </w:tc>
        <w:tc>
          <w:tcPr>
            <w:tcW w:w="1630" w:type="dxa"/>
            <w:tcBorders>
              <w:top w:val="nil"/>
              <w:bottom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13,248</w:t>
            </w:r>
          </w:p>
        </w:tc>
        <w:tc>
          <w:tcPr>
            <w:tcW w:w="1417" w:type="dxa"/>
            <w:tcBorders>
              <w:top w:val="nil"/>
              <w:bottom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1,584</w:t>
            </w:r>
          </w:p>
        </w:tc>
        <w:tc>
          <w:tcPr>
            <w:tcW w:w="1559" w:type="dxa"/>
            <w:tcBorders>
              <w:top w:val="nil"/>
              <w:bottom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352,891</w:t>
            </w:r>
          </w:p>
        </w:tc>
      </w:tr>
      <w:tr w:rsidR="00984FC5" w:rsidRPr="001A48D3" w:rsidTr="00443C4B">
        <w:trPr>
          <w:trHeight w:val="20"/>
        </w:trPr>
        <w:tc>
          <w:tcPr>
            <w:tcW w:w="2268" w:type="dxa"/>
            <w:tcBorders>
              <w:top w:val="nil"/>
            </w:tcBorders>
            <w:noWrap/>
            <w:hideMark/>
          </w:tcPr>
          <w:p w:rsidR="00984FC5" w:rsidRPr="001A48D3" w:rsidRDefault="00984FC5" w:rsidP="00C4701A">
            <w:pPr>
              <w:spacing w:before="40" w:after="120"/>
              <w:rPr>
                <w:sz w:val="22"/>
                <w:szCs w:val="22"/>
              </w:rPr>
            </w:pPr>
            <w:r w:rsidRPr="001A48D3">
              <w:rPr>
                <w:sz w:val="22"/>
                <w:szCs w:val="22"/>
              </w:rPr>
              <w:t>Rest of Australia</w:t>
            </w:r>
          </w:p>
        </w:tc>
        <w:tc>
          <w:tcPr>
            <w:tcW w:w="1630" w:type="dxa"/>
            <w:tcBorders>
              <w:top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155</w:t>
            </w:r>
          </w:p>
        </w:tc>
        <w:tc>
          <w:tcPr>
            <w:tcW w:w="1417" w:type="dxa"/>
            <w:tcBorders>
              <w:top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231</w:t>
            </w:r>
          </w:p>
        </w:tc>
        <w:tc>
          <w:tcPr>
            <w:tcW w:w="1559" w:type="dxa"/>
            <w:tcBorders>
              <w:top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83,740</w:t>
            </w:r>
          </w:p>
        </w:tc>
      </w:tr>
      <w:tr w:rsidR="00984FC5" w:rsidRPr="001A48D3" w:rsidTr="00443C4B">
        <w:trPr>
          <w:trHeight w:val="20"/>
        </w:trPr>
        <w:tc>
          <w:tcPr>
            <w:tcW w:w="2268" w:type="dxa"/>
            <w:tcBorders>
              <w:bottom w:val="nil"/>
            </w:tcBorders>
            <w:noWrap/>
            <w:hideMark/>
          </w:tcPr>
          <w:p w:rsidR="00984FC5" w:rsidRPr="001A48D3" w:rsidRDefault="00984FC5" w:rsidP="00C4701A">
            <w:pPr>
              <w:spacing w:before="40" w:after="120"/>
              <w:rPr>
                <w:b/>
                <w:bCs/>
                <w:sz w:val="22"/>
                <w:szCs w:val="22"/>
              </w:rPr>
            </w:pPr>
            <w:r w:rsidRPr="001A48D3">
              <w:rPr>
                <w:b/>
                <w:bCs/>
                <w:sz w:val="22"/>
                <w:szCs w:val="22"/>
              </w:rPr>
              <w:t>Lower bound -50 %</w:t>
            </w:r>
          </w:p>
        </w:tc>
        <w:tc>
          <w:tcPr>
            <w:tcW w:w="1630" w:type="dxa"/>
            <w:tcBorders>
              <w:bottom w:val="nil"/>
            </w:tcBorders>
            <w:noWrap/>
            <w:hideMark/>
          </w:tcPr>
          <w:p w:rsidR="00984FC5" w:rsidRPr="001A48D3" w:rsidRDefault="00984FC5" w:rsidP="00C4701A">
            <w:pPr>
              <w:spacing w:before="40" w:after="120"/>
              <w:rPr>
                <w:color w:val="000000"/>
                <w:sz w:val="22"/>
                <w:szCs w:val="22"/>
              </w:rPr>
            </w:pPr>
          </w:p>
        </w:tc>
        <w:tc>
          <w:tcPr>
            <w:tcW w:w="1417" w:type="dxa"/>
            <w:tcBorders>
              <w:bottom w:val="nil"/>
            </w:tcBorders>
            <w:noWrap/>
            <w:hideMark/>
          </w:tcPr>
          <w:p w:rsidR="00984FC5" w:rsidRPr="001A48D3" w:rsidRDefault="00984FC5" w:rsidP="00C4701A">
            <w:pPr>
              <w:spacing w:before="40" w:after="120"/>
              <w:rPr>
                <w:color w:val="000000"/>
                <w:sz w:val="22"/>
                <w:szCs w:val="22"/>
              </w:rPr>
            </w:pPr>
          </w:p>
        </w:tc>
        <w:tc>
          <w:tcPr>
            <w:tcW w:w="1559" w:type="dxa"/>
            <w:tcBorders>
              <w:bottom w:val="nil"/>
            </w:tcBorders>
            <w:noWrap/>
            <w:hideMark/>
          </w:tcPr>
          <w:p w:rsidR="00984FC5" w:rsidRPr="001A48D3" w:rsidRDefault="00984FC5" w:rsidP="00C4701A">
            <w:pPr>
              <w:spacing w:before="40" w:after="120"/>
              <w:rPr>
                <w:color w:val="000000"/>
                <w:sz w:val="22"/>
                <w:szCs w:val="22"/>
              </w:rPr>
            </w:pPr>
          </w:p>
        </w:tc>
      </w:tr>
      <w:tr w:rsidR="00984FC5" w:rsidRPr="001A48D3" w:rsidTr="00443C4B">
        <w:trPr>
          <w:trHeight w:val="20"/>
        </w:trPr>
        <w:tc>
          <w:tcPr>
            <w:tcW w:w="2268" w:type="dxa"/>
            <w:tcBorders>
              <w:top w:val="nil"/>
              <w:bottom w:val="nil"/>
            </w:tcBorders>
            <w:noWrap/>
            <w:hideMark/>
          </w:tcPr>
          <w:p w:rsidR="00984FC5" w:rsidRPr="001A48D3" w:rsidRDefault="00984FC5" w:rsidP="00C4701A">
            <w:pPr>
              <w:spacing w:before="40" w:after="120"/>
              <w:rPr>
                <w:sz w:val="22"/>
                <w:szCs w:val="22"/>
              </w:rPr>
            </w:pPr>
            <w:r w:rsidRPr="001A48D3">
              <w:rPr>
                <w:sz w:val="22"/>
                <w:szCs w:val="22"/>
              </w:rPr>
              <w:t>Capital cities</w:t>
            </w:r>
          </w:p>
        </w:tc>
        <w:tc>
          <w:tcPr>
            <w:tcW w:w="1630" w:type="dxa"/>
            <w:tcBorders>
              <w:top w:val="nil"/>
              <w:bottom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4,416</w:t>
            </w:r>
          </w:p>
        </w:tc>
        <w:tc>
          <w:tcPr>
            <w:tcW w:w="1417" w:type="dxa"/>
            <w:tcBorders>
              <w:top w:val="nil"/>
              <w:bottom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528</w:t>
            </w:r>
          </w:p>
        </w:tc>
        <w:tc>
          <w:tcPr>
            <w:tcW w:w="1559" w:type="dxa"/>
            <w:tcBorders>
              <w:top w:val="nil"/>
              <w:bottom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117,630</w:t>
            </w:r>
          </w:p>
        </w:tc>
      </w:tr>
      <w:tr w:rsidR="00984FC5" w:rsidRPr="001A48D3" w:rsidTr="00443C4B">
        <w:trPr>
          <w:trHeight w:val="20"/>
        </w:trPr>
        <w:tc>
          <w:tcPr>
            <w:tcW w:w="2268" w:type="dxa"/>
            <w:tcBorders>
              <w:top w:val="nil"/>
            </w:tcBorders>
            <w:noWrap/>
            <w:hideMark/>
          </w:tcPr>
          <w:p w:rsidR="00984FC5" w:rsidRPr="001A48D3" w:rsidRDefault="00984FC5" w:rsidP="00C4701A">
            <w:pPr>
              <w:spacing w:before="40" w:after="120"/>
              <w:rPr>
                <w:color w:val="000000"/>
                <w:sz w:val="22"/>
                <w:szCs w:val="22"/>
              </w:rPr>
            </w:pPr>
            <w:r w:rsidRPr="001A48D3">
              <w:rPr>
                <w:color w:val="000000"/>
                <w:sz w:val="22"/>
                <w:szCs w:val="22"/>
              </w:rPr>
              <w:t>Rest of Australia</w:t>
            </w:r>
          </w:p>
        </w:tc>
        <w:tc>
          <w:tcPr>
            <w:tcW w:w="1630" w:type="dxa"/>
            <w:tcBorders>
              <w:top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52</w:t>
            </w:r>
          </w:p>
        </w:tc>
        <w:tc>
          <w:tcPr>
            <w:tcW w:w="1417" w:type="dxa"/>
            <w:tcBorders>
              <w:top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77</w:t>
            </w:r>
          </w:p>
        </w:tc>
        <w:tc>
          <w:tcPr>
            <w:tcW w:w="1559" w:type="dxa"/>
            <w:tcBorders>
              <w:top w:val="nil"/>
            </w:tcBorders>
            <w:noWrap/>
            <w:hideMark/>
          </w:tcPr>
          <w:p w:rsidR="00984FC5" w:rsidRPr="001A48D3" w:rsidRDefault="00984FC5" w:rsidP="00C4701A">
            <w:pPr>
              <w:spacing w:before="40" w:after="120"/>
              <w:jc w:val="right"/>
              <w:rPr>
                <w:color w:val="000000"/>
                <w:sz w:val="22"/>
                <w:szCs w:val="22"/>
              </w:rPr>
            </w:pPr>
            <w:r w:rsidRPr="001A48D3">
              <w:rPr>
                <w:color w:val="000000"/>
                <w:sz w:val="22"/>
                <w:szCs w:val="22"/>
              </w:rPr>
              <w:t>27,913</w:t>
            </w:r>
          </w:p>
        </w:tc>
      </w:tr>
    </w:tbl>
    <w:p w:rsidR="00984FC5" w:rsidRPr="001A48D3" w:rsidRDefault="00984FC5" w:rsidP="00C4701A">
      <w:pPr>
        <w:spacing w:after="120"/>
        <w:rPr>
          <w:sz w:val="18"/>
          <w:szCs w:val="18"/>
        </w:rPr>
      </w:pPr>
      <w:r w:rsidRPr="001A48D3">
        <w:rPr>
          <w:sz w:val="18"/>
          <w:szCs w:val="18"/>
        </w:rPr>
        <w:t>Source:</w:t>
      </w:r>
      <w:r w:rsidRPr="001A48D3">
        <w:rPr>
          <w:sz w:val="18"/>
          <w:szCs w:val="18"/>
        </w:rPr>
        <w:tab/>
        <w:t xml:space="preserve">Derived from the results from Coffey Geosciences (2003), </w:t>
      </w:r>
      <w:proofErr w:type="spellStart"/>
      <w:r w:rsidRPr="001A48D3">
        <w:rPr>
          <w:sz w:val="18"/>
          <w:szCs w:val="18"/>
        </w:rPr>
        <w:t>Watkiss</w:t>
      </w:r>
      <w:proofErr w:type="spellEnd"/>
      <w:r w:rsidRPr="001A48D3">
        <w:rPr>
          <w:sz w:val="18"/>
          <w:szCs w:val="18"/>
        </w:rPr>
        <w:t xml:space="preserve"> (2002) and Beer (2002).</w:t>
      </w:r>
    </w:p>
    <w:p w:rsidR="00984FC5" w:rsidRPr="001A48D3" w:rsidRDefault="00984FC5" w:rsidP="00C4701A">
      <w:pPr>
        <w:spacing w:after="120"/>
      </w:pPr>
    </w:p>
    <w:p w:rsidR="004158B5" w:rsidRPr="001A48D3" w:rsidRDefault="004158B5" w:rsidP="00C4701A">
      <w:pPr>
        <w:spacing w:after="120"/>
      </w:pPr>
      <w:r w:rsidRPr="001A48D3">
        <w:t>The introduction of a particle number standard, while not quantified will also deliver significant health benefits as it will directly reduce the number of ultrafine particles emitted from Euro 5/6 vehicles.  Of all the vehicle pollutants reduced by the new standards, ultrafine particles have the strongest association with adverse health effects.</w:t>
      </w:r>
    </w:p>
    <w:p w:rsidR="00896A37" w:rsidRPr="001A48D3" w:rsidRDefault="005476FB" w:rsidP="00C4701A">
      <w:pPr>
        <w:spacing w:after="120"/>
      </w:pPr>
      <w:r w:rsidRPr="001A48D3">
        <w:t xml:space="preserve">The health benefits are dominated by the PM reductions delivered by the new vehicle </w:t>
      </w:r>
      <w:r w:rsidR="00AF01A3" w:rsidRPr="001A48D3">
        <w:t>emissions</w:t>
      </w:r>
      <w:r w:rsidRPr="001A48D3">
        <w:t xml:space="preserve"> standards</w:t>
      </w:r>
      <w:r w:rsidR="007E52DD" w:rsidRPr="001A48D3">
        <w:t xml:space="preserve">, with the reductions in NOx also </w:t>
      </w:r>
      <w:r w:rsidR="00921F31" w:rsidRPr="001A48D3">
        <w:t>contributing to total</w:t>
      </w:r>
      <w:r w:rsidR="007E52DD" w:rsidRPr="001A48D3">
        <w:t xml:space="preserve"> benefits</w:t>
      </w:r>
      <w:r w:rsidRPr="001A48D3">
        <w:t xml:space="preserve">.  </w:t>
      </w:r>
    </w:p>
    <w:p w:rsidR="0067682F" w:rsidRDefault="000D7C02" w:rsidP="00B52F7D">
      <w:pPr>
        <w:spacing w:after="120"/>
      </w:pPr>
      <w:r w:rsidRPr="001A48D3">
        <w:t xml:space="preserve">It is not possible to </w:t>
      </w:r>
      <w:r w:rsidR="00920F5B" w:rsidRPr="001A48D3">
        <w:t xml:space="preserve">isolate and </w:t>
      </w:r>
      <w:r w:rsidRPr="001A48D3">
        <w:t xml:space="preserve">quantify the benefits from the increased durability standards and the upgraded OBD requirements for both petrol and diesel vehicles under the new standards, and thus these have not directly factored into the health benefit estimates.  Nevertheless, as noted in the EC impact assessment, increasing the durability requirements (reinforced by the OBD provisions) will provide a greater level of assurance that </w:t>
      </w:r>
      <w:r w:rsidR="00AF01A3" w:rsidRPr="001A48D3">
        <w:t>emissions</w:t>
      </w:r>
      <w:r w:rsidRPr="001A48D3">
        <w:t xml:space="preserve"> control systems on vehicles will continue to function over the expected life of the vehicle.</w:t>
      </w:r>
      <w:r w:rsidR="00920F5B" w:rsidRPr="001A48D3">
        <w:t xml:space="preserve">  The value of increased durability in </w:t>
      </w:r>
      <w:r w:rsidR="00AF01A3" w:rsidRPr="001A48D3">
        <w:lastRenderedPageBreak/>
        <w:t>emissions</w:t>
      </w:r>
      <w:r w:rsidR="00920F5B" w:rsidRPr="001A48D3">
        <w:t xml:space="preserve"> control systems is illustrated by the sensitivity analyses (see Section 4.5), where the sensitivity testing for deterioration rates (the corollary of durability) indicates that increased rates of deterioration in </w:t>
      </w:r>
      <w:r w:rsidR="00AF01A3" w:rsidRPr="001A48D3">
        <w:t>emissions</w:t>
      </w:r>
      <w:r w:rsidR="00920F5B" w:rsidRPr="001A48D3">
        <w:t xml:space="preserve"> control systems can significantly impact emissions outcomes.</w:t>
      </w:r>
      <w:r w:rsidRPr="001A48D3">
        <w:t xml:space="preserve">  </w:t>
      </w:r>
      <w:bookmarkStart w:id="76" w:name="_Toc89846654"/>
    </w:p>
    <w:p w:rsidR="00896A37" w:rsidRPr="001A48D3" w:rsidRDefault="00361D22" w:rsidP="00153F3E">
      <w:pPr>
        <w:pStyle w:val="Heading2"/>
      </w:pPr>
      <w:bookmarkStart w:id="77" w:name="_Toc430182535"/>
      <w:r>
        <w:t>4.4</w:t>
      </w:r>
      <w:r>
        <w:tab/>
      </w:r>
      <w:r w:rsidR="005476FB" w:rsidRPr="001A48D3">
        <w:t>Net B</w:t>
      </w:r>
      <w:r w:rsidR="00896A37" w:rsidRPr="001A48D3">
        <w:t>enefit</w:t>
      </w:r>
      <w:r w:rsidR="00244E1E" w:rsidRPr="001A48D3">
        <w:t xml:space="preserve"> – Options 2, 3 &amp; 4</w:t>
      </w:r>
      <w:bookmarkEnd w:id="77"/>
      <w:r w:rsidR="00896A37" w:rsidRPr="001A48D3">
        <w:t xml:space="preserve"> </w:t>
      </w:r>
      <w:bookmarkEnd w:id="76"/>
    </w:p>
    <w:p w:rsidR="00F52248" w:rsidRPr="001A48D3" w:rsidRDefault="00F54BF4" w:rsidP="00C4701A">
      <w:pPr>
        <w:spacing w:after="120"/>
      </w:pPr>
      <w:r w:rsidRPr="001A48D3">
        <w:t xml:space="preserve">As illustrated in Tables </w:t>
      </w:r>
      <w:r w:rsidR="006F4E2D" w:rsidRPr="001A48D3">
        <w:t>10</w:t>
      </w:r>
      <w:r w:rsidRPr="001A48D3">
        <w:t xml:space="preserve"> and 1</w:t>
      </w:r>
      <w:r w:rsidR="006F4E2D" w:rsidRPr="001A48D3">
        <w:t>1</w:t>
      </w:r>
      <w:r w:rsidRPr="001A48D3">
        <w:t>, the BCA</w:t>
      </w:r>
      <w:r w:rsidR="004A1451" w:rsidRPr="001A48D3">
        <w:t xml:space="preserve"> </w:t>
      </w:r>
      <w:r w:rsidR="00E71627" w:rsidRPr="001A48D3">
        <w:t xml:space="preserve">results show that both Option 2 and </w:t>
      </w:r>
      <w:r w:rsidRPr="001A48D3">
        <w:t xml:space="preserve">Option </w:t>
      </w:r>
      <w:r w:rsidR="00E71627" w:rsidRPr="001A48D3">
        <w:t xml:space="preserve">3 </w:t>
      </w:r>
      <w:r w:rsidRPr="001A48D3">
        <w:t>provide net benefits</w:t>
      </w:r>
      <w:r w:rsidR="00E71627" w:rsidRPr="001A48D3">
        <w:t xml:space="preserve"> </w:t>
      </w:r>
      <w:r w:rsidR="00D56AAC" w:rsidRPr="001A48D3">
        <w:t xml:space="preserve">for the light vehicle fleet </w:t>
      </w:r>
      <w:r w:rsidR="00921F31" w:rsidRPr="001A48D3">
        <w:t xml:space="preserve">over the </w:t>
      </w:r>
      <w:r w:rsidR="00F61EC0" w:rsidRPr="001A48D3">
        <w:t>analysis</w:t>
      </w:r>
      <w:r w:rsidR="00DD73BA" w:rsidRPr="001A48D3">
        <w:t xml:space="preserve"> </w:t>
      </w:r>
      <w:r w:rsidR="00921F31" w:rsidRPr="001A48D3">
        <w:t xml:space="preserve">period </w:t>
      </w:r>
      <w:r w:rsidR="00E71627" w:rsidRPr="001A48D3">
        <w:t xml:space="preserve">under the </w:t>
      </w:r>
      <w:r w:rsidR="00497D43" w:rsidRPr="001A48D3">
        <w:t xml:space="preserve">base case </w:t>
      </w:r>
      <w:r w:rsidRPr="001A48D3">
        <w:t>assumptions</w:t>
      </w:r>
      <w:r w:rsidR="00921F31" w:rsidRPr="001A48D3">
        <w:t xml:space="preserve"> identified in </w:t>
      </w:r>
      <w:r w:rsidR="00CE0A88" w:rsidRPr="001A48D3">
        <w:t>Section</w:t>
      </w:r>
      <w:r w:rsidR="00921F31" w:rsidRPr="001A48D3">
        <w:t>s 4.1 – 4.3</w:t>
      </w:r>
      <w:r w:rsidR="00D56AAC" w:rsidRPr="001A48D3">
        <w:t>, although the overall net benefit calculated in the BCA is delivered by diesel vehicles meeting the new standards, not petrol vehicles (which, under the BCA, incur net costs)</w:t>
      </w:r>
      <w:r w:rsidRPr="001A48D3">
        <w:t xml:space="preserve">.  </w:t>
      </w:r>
    </w:p>
    <w:p w:rsidR="004A1451" w:rsidRPr="001A48D3" w:rsidRDefault="00F52248" w:rsidP="00C4701A">
      <w:pPr>
        <w:spacing w:after="120"/>
      </w:pPr>
      <w:r w:rsidRPr="001A48D3">
        <w:t xml:space="preserve">A </w:t>
      </w:r>
      <w:r w:rsidR="000D1839" w:rsidRPr="001A48D3">
        <w:t>further</w:t>
      </w:r>
      <w:r w:rsidRPr="001A48D3">
        <w:t xml:space="preserve"> analysis was conducted to assess the impact of removing petrol (and LPG) vehicles from the application of the Euro 5/6 standards.  This was undertaken by apportioning the costs and benefits applicable to petrol vehicles under Option 2</w:t>
      </w:r>
      <w:r w:rsidR="000D1839" w:rsidRPr="001A48D3">
        <w:t xml:space="preserve"> as accurately as possible</w:t>
      </w:r>
      <w:r w:rsidRPr="001A48D3">
        <w:t>, and undertaking the BCA under the same assumptions for Option 2.  This is presented as Option 4</w:t>
      </w:r>
      <w:r w:rsidR="000D1839" w:rsidRPr="001A48D3">
        <w:t xml:space="preserve"> (see </w:t>
      </w:r>
      <w:r w:rsidR="00CE0A88" w:rsidRPr="001A48D3">
        <w:t>Section</w:t>
      </w:r>
      <w:r w:rsidR="000D1839" w:rsidRPr="001A48D3">
        <w:t xml:space="preserve"> 3.5)</w:t>
      </w:r>
      <w:r w:rsidRPr="001A48D3">
        <w:t>.  As illustrated in Table 1</w:t>
      </w:r>
      <w:r w:rsidR="006F4E2D" w:rsidRPr="001A48D3">
        <w:t>2</w:t>
      </w:r>
      <w:r w:rsidRPr="001A48D3">
        <w:t xml:space="preserve">, the BCA results show that </w:t>
      </w:r>
      <w:r w:rsidR="00483A89" w:rsidRPr="001A48D3">
        <w:t>net benefit of Option 4 (the diesel onl</w:t>
      </w:r>
      <w:r w:rsidR="002D1EB1" w:rsidRPr="001A48D3">
        <w:t xml:space="preserve">y option) relative to Option </w:t>
      </w:r>
      <w:r w:rsidR="00483A89" w:rsidRPr="001A48D3">
        <w:t>2 or 3</w:t>
      </w:r>
      <w:r w:rsidR="001552AB" w:rsidRPr="001A48D3">
        <w:t>,</w:t>
      </w:r>
      <w:r w:rsidR="00483A89" w:rsidRPr="001A48D3">
        <w:t xml:space="preserve"> is </w:t>
      </w:r>
      <w:r w:rsidR="00F61EC0" w:rsidRPr="001A48D3">
        <w:t xml:space="preserve">around </w:t>
      </w:r>
      <w:r w:rsidR="00483A89" w:rsidRPr="001A48D3">
        <w:t>$</w:t>
      </w:r>
      <w:r w:rsidR="00F61EC0" w:rsidRPr="001A48D3">
        <w:t xml:space="preserve">200-220 </w:t>
      </w:r>
      <w:r w:rsidR="00483A89" w:rsidRPr="001A48D3">
        <w:t xml:space="preserve">million higher over the </w:t>
      </w:r>
      <w:r w:rsidR="00F61EC0" w:rsidRPr="001A48D3">
        <w:t>analysis</w:t>
      </w:r>
      <w:r w:rsidR="00483A89" w:rsidRPr="001A48D3">
        <w:t xml:space="preserve"> period.</w:t>
      </w:r>
    </w:p>
    <w:p w:rsidR="00361D22" w:rsidRDefault="004F27EF" w:rsidP="00B52F7D">
      <w:r w:rsidRPr="001A48D3">
        <w:br w:type="page"/>
      </w:r>
    </w:p>
    <w:p w:rsidR="00896A37" w:rsidRPr="001A48D3" w:rsidRDefault="00B13B99" w:rsidP="00B52F7D">
      <w:pPr>
        <w:pStyle w:val="Heading3"/>
      </w:pPr>
      <w:bookmarkStart w:id="78" w:name="_Toc430182536"/>
      <w:r w:rsidRPr="001A48D3">
        <w:lastRenderedPageBreak/>
        <w:t xml:space="preserve">Table </w:t>
      </w:r>
      <w:r w:rsidR="006F4E2D" w:rsidRPr="001A48D3">
        <w:t>10</w:t>
      </w:r>
      <w:r w:rsidR="00896A37" w:rsidRPr="001A48D3">
        <w:tab/>
      </w:r>
      <w:r w:rsidR="00F35732" w:rsidRPr="001A48D3">
        <w:t>Su</w:t>
      </w:r>
      <w:r w:rsidR="00D56B08" w:rsidRPr="001A48D3">
        <w:t>mmary of Net Benefit f</w:t>
      </w:r>
      <w:r w:rsidR="00F54BF4" w:rsidRPr="001A48D3">
        <w:t>or Option</w:t>
      </w:r>
      <w:r w:rsidR="00F35732" w:rsidRPr="001A48D3">
        <w:t xml:space="preserve"> 2</w:t>
      </w:r>
      <w:bookmarkEnd w:id="78"/>
      <w:r w:rsidR="00612C45" w:rsidRPr="001A48D3">
        <w:t xml:space="preserve"> </w:t>
      </w:r>
    </w:p>
    <w:p w:rsidR="00F54BF4" w:rsidRPr="001A48D3" w:rsidRDefault="00F54BF4" w:rsidP="00C4701A">
      <w:pPr>
        <w:pStyle w:val="TABLEHEADER"/>
        <w:spacing w:before="120"/>
        <w:rPr>
          <w:rFonts w:ascii="Calibri" w:hAnsi="Calibri"/>
          <w:b/>
          <w:color w:val="auto"/>
          <w:spacing w:val="0"/>
          <w:sz w:val="24"/>
        </w:rPr>
      </w:pPr>
    </w:p>
    <w:tbl>
      <w:tblPr>
        <w:tblW w:w="8924" w:type="dxa"/>
        <w:tblInd w:w="98" w:type="dxa"/>
        <w:tblLook w:val="04A0" w:firstRow="1" w:lastRow="0" w:firstColumn="1" w:lastColumn="0" w:noHBand="0" w:noVBand="1"/>
      </w:tblPr>
      <w:tblGrid>
        <w:gridCol w:w="861"/>
        <w:gridCol w:w="992"/>
        <w:gridCol w:w="992"/>
        <w:gridCol w:w="1276"/>
        <w:gridCol w:w="1259"/>
        <w:gridCol w:w="1276"/>
        <w:gridCol w:w="992"/>
        <w:gridCol w:w="1276"/>
      </w:tblGrid>
      <w:tr w:rsidR="008B33FD" w:rsidRPr="001A48D3" w:rsidTr="00153F3E">
        <w:trPr>
          <w:trHeight w:val="288"/>
          <w:tblHeader/>
        </w:trPr>
        <w:tc>
          <w:tcPr>
            <w:tcW w:w="861" w:type="dxa"/>
            <w:vMerge w:val="restart"/>
            <w:tcBorders>
              <w:top w:val="single" w:sz="8" w:space="0" w:color="auto"/>
              <w:left w:val="single" w:sz="8" w:space="0" w:color="auto"/>
              <w:bottom w:val="single" w:sz="8" w:space="0" w:color="auto"/>
              <w:right w:val="single" w:sz="8" w:space="0" w:color="auto"/>
            </w:tcBorders>
            <w:shd w:val="clear" w:color="auto" w:fill="FFC000"/>
            <w:noWrap/>
            <w:vAlign w:val="center"/>
            <w:hideMark/>
          </w:tcPr>
          <w:p w:rsidR="008B33FD" w:rsidRPr="001A48D3" w:rsidRDefault="008B33FD" w:rsidP="00C4701A">
            <w:pPr>
              <w:spacing w:before="120" w:after="120"/>
              <w:jc w:val="center"/>
              <w:rPr>
                <w:b/>
                <w:bCs/>
                <w:color w:val="000000"/>
                <w:sz w:val="22"/>
                <w:szCs w:val="22"/>
              </w:rPr>
            </w:pPr>
          </w:p>
        </w:tc>
        <w:tc>
          <w:tcPr>
            <w:tcW w:w="3260" w:type="dxa"/>
            <w:gridSpan w:val="3"/>
            <w:tcBorders>
              <w:top w:val="single" w:sz="8" w:space="0" w:color="auto"/>
              <w:left w:val="single" w:sz="8" w:space="0" w:color="auto"/>
              <w:bottom w:val="single" w:sz="8" w:space="0" w:color="auto"/>
              <w:right w:val="single" w:sz="8" w:space="0" w:color="auto"/>
            </w:tcBorders>
            <w:shd w:val="clear" w:color="auto" w:fill="FFC000"/>
            <w:noWrap/>
            <w:vAlign w:val="center"/>
            <w:hideMark/>
          </w:tcPr>
          <w:p w:rsidR="008B33FD" w:rsidRPr="001A48D3" w:rsidRDefault="008B33FD" w:rsidP="00C4701A">
            <w:pPr>
              <w:spacing w:before="120" w:after="120"/>
              <w:jc w:val="center"/>
              <w:rPr>
                <w:b/>
                <w:bCs/>
                <w:color w:val="000000"/>
                <w:sz w:val="22"/>
                <w:szCs w:val="22"/>
              </w:rPr>
            </w:pPr>
            <w:r w:rsidRPr="001A48D3">
              <w:rPr>
                <w:b/>
                <w:bCs/>
                <w:color w:val="000000"/>
                <w:sz w:val="22"/>
                <w:szCs w:val="22"/>
              </w:rPr>
              <w:t xml:space="preserve">Undiscounted Cash Flow </w:t>
            </w:r>
          </w:p>
          <w:p w:rsidR="008B33FD" w:rsidRPr="001A48D3" w:rsidRDefault="008B33FD" w:rsidP="00C4701A">
            <w:pPr>
              <w:spacing w:before="120" w:after="120"/>
              <w:jc w:val="center"/>
              <w:rPr>
                <w:b/>
                <w:bCs/>
                <w:color w:val="000000"/>
                <w:sz w:val="22"/>
                <w:szCs w:val="22"/>
              </w:rPr>
            </w:pPr>
            <w:r w:rsidRPr="001A48D3">
              <w:rPr>
                <w:b/>
                <w:bCs/>
                <w:color w:val="000000"/>
                <w:sz w:val="22"/>
                <w:szCs w:val="22"/>
              </w:rPr>
              <w:t>($m, in 2009 prices)</w:t>
            </w:r>
          </w:p>
        </w:tc>
        <w:tc>
          <w:tcPr>
            <w:tcW w:w="1259" w:type="dxa"/>
            <w:tcBorders>
              <w:top w:val="single" w:sz="8" w:space="0" w:color="auto"/>
              <w:left w:val="single" w:sz="8" w:space="0" w:color="auto"/>
              <w:bottom w:val="single" w:sz="8" w:space="0" w:color="auto"/>
              <w:right w:val="single" w:sz="8" w:space="0" w:color="auto"/>
            </w:tcBorders>
            <w:shd w:val="clear" w:color="auto" w:fill="FFC000"/>
            <w:noWrap/>
            <w:vAlign w:val="center"/>
            <w:hideMark/>
          </w:tcPr>
          <w:p w:rsidR="008B33FD" w:rsidRPr="001A48D3" w:rsidRDefault="00111519" w:rsidP="00C4701A">
            <w:pPr>
              <w:spacing w:before="120" w:after="120"/>
              <w:jc w:val="center"/>
              <w:rPr>
                <w:b/>
                <w:bCs/>
                <w:color w:val="000000"/>
                <w:sz w:val="22"/>
                <w:szCs w:val="22"/>
              </w:rPr>
            </w:pPr>
            <w:r w:rsidRPr="001A48D3">
              <w:rPr>
                <w:b/>
                <w:bCs/>
                <w:color w:val="000000"/>
                <w:sz w:val="22"/>
                <w:szCs w:val="22"/>
              </w:rPr>
              <w:t>Discount</w:t>
            </w:r>
            <w:r w:rsidR="008B33FD" w:rsidRPr="001A48D3">
              <w:rPr>
                <w:b/>
                <w:bCs/>
                <w:color w:val="000000"/>
                <w:sz w:val="22"/>
                <w:szCs w:val="22"/>
              </w:rPr>
              <w:t xml:space="preserve"> Factor</w:t>
            </w:r>
          </w:p>
        </w:tc>
        <w:tc>
          <w:tcPr>
            <w:tcW w:w="3544" w:type="dxa"/>
            <w:gridSpan w:val="3"/>
            <w:tcBorders>
              <w:top w:val="single" w:sz="8" w:space="0" w:color="auto"/>
              <w:left w:val="single" w:sz="8" w:space="0" w:color="auto"/>
              <w:bottom w:val="single" w:sz="8" w:space="0" w:color="auto"/>
              <w:right w:val="single" w:sz="8" w:space="0" w:color="auto"/>
            </w:tcBorders>
            <w:shd w:val="clear" w:color="auto" w:fill="FFC000"/>
            <w:noWrap/>
            <w:vAlign w:val="center"/>
            <w:hideMark/>
          </w:tcPr>
          <w:p w:rsidR="008B33FD" w:rsidRPr="001A48D3" w:rsidRDefault="008B33FD" w:rsidP="00C4701A">
            <w:pPr>
              <w:spacing w:before="120" w:after="120"/>
              <w:jc w:val="center"/>
              <w:rPr>
                <w:b/>
                <w:bCs/>
                <w:color w:val="000000"/>
                <w:sz w:val="22"/>
                <w:szCs w:val="22"/>
              </w:rPr>
            </w:pPr>
            <w:r w:rsidRPr="001A48D3">
              <w:rPr>
                <w:b/>
                <w:bCs/>
                <w:color w:val="000000"/>
                <w:sz w:val="22"/>
                <w:szCs w:val="22"/>
              </w:rPr>
              <w:t>Discounted Cash Flow ($m)</w:t>
            </w:r>
          </w:p>
          <w:p w:rsidR="008B33FD" w:rsidRPr="001A48D3" w:rsidRDefault="008B33FD" w:rsidP="00C4701A">
            <w:pPr>
              <w:spacing w:before="120" w:after="120"/>
              <w:jc w:val="center"/>
              <w:rPr>
                <w:b/>
                <w:bCs/>
                <w:color w:val="000000"/>
                <w:sz w:val="22"/>
                <w:szCs w:val="22"/>
              </w:rPr>
            </w:pPr>
            <w:r w:rsidRPr="001A48D3">
              <w:rPr>
                <w:b/>
                <w:bCs/>
                <w:color w:val="000000"/>
                <w:sz w:val="22"/>
                <w:szCs w:val="22"/>
              </w:rPr>
              <w:t>($m, in 2009 prices)</w:t>
            </w:r>
          </w:p>
        </w:tc>
      </w:tr>
      <w:tr w:rsidR="008B33FD" w:rsidRPr="001A48D3" w:rsidTr="00153F3E">
        <w:trPr>
          <w:trHeight w:val="288"/>
          <w:tblHeader/>
        </w:trPr>
        <w:tc>
          <w:tcPr>
            <w:tcW w:w="861" w:type="dxa"/>
            <w:vMerge/>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after="120"/>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after="120"/>
              <w:jc w:val="center"/>
              <w:rPr>
                <w:b/>
                <w:color w:val="000000"/>
                <w:sz w:val="22"/>
                <w:szCs w:val="22"/>
              </w:rPr>
            </w:pPr>
            <w:r w:rsidRPr="001A48D3">
              <w:rPr>
                <w:b/>
                <w:color w:val="000000"/>
                <w:sz w:val="22"/>
                <w:szCs w:val="22"/>
              </w:rPr>
              <w:t>Cost</w:t>
            </w:r>
          </w:p>
        </w:tc>
        <w:tc>
          <w:tcPr>
            <w:tcW w:w="992"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after="120"/>
              <w:jc w:val="center"/>
              <w:rPr>
                <w:b/>
                <w:color w:val="000000"/>
                <w:sz w:val="22"/>
                <w:szCs w:val="22"/>
              </w:rPr>
            </w:pPr>
            <w:r w:rsidRPr="001A48D3">
              <w:rPr>
                <w:b/>
                <w:color w:val="000000"/>
                <w:sz w:val="22"/>
                <w:szCs w:val="22"/>
              </w:rPr>
              <w:t>Benefit</w:t>
            </w:r>
          </w:p>
        </w:tc>
        <w:tc>
          <w:tcPr>
            <w:tcW w:w="1276"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after="120"/>
              <w:jc w:val="center"/>
              <w:rPr>
                <w:b/>
                <w:color w:val="000000"/>
                <w:sz w:val="22"/>
                <w:szCs w:val="22"/>
              </w:rPr>
            </w:pPr>
            <w:r w:rsidRPr="001A48D3">
              <w:rPr>
                <w:b/>
                <w:color w:val="000000"/>
                <w:sz w:val="22"/>
                <w:szCs w:val="22"/>
              </w:rPr>
              <w:t>Net benefit</w:t>
            </w:r>
          </w:p>
        </w:tc>
        <w:tc>
          <w:tcPr>
            <w:tcW w:w="125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after="120"/>
              <w:jc w:val="center"/>
              <w:rPr>
                <w:b/>
                <w:color w:val="000000"/>
                <w:sz w:val="22"/>
                <w:szCs w:val="22"/>
              </w:rPr>
            </w:pPr>
            <w:r w:rsidRPr="001A48D3">
              <w:rPr>
                <w:b/>
                <w:color w:val="000000"/>
                <w:sz w:val="22"/>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after="120"/>
              <w:jc w:val="center"/>
              <w:rPr>
                <w:b/>
                <w:color w:val="000000"/>
                <w:sz w:val="22"/>
                <w:szCs w:val="22"/>
              </w:rPr>
            </w:pPr>
            <w:r w:rsidRPr="001A48D3">
              <w:rPr>
                <w:b/>
                <w:color w:val="000000"/>
                <w:sz w:val="22"/>
                <w:szCs w:val="22"/>
              </w:rPr>
              <w:t>Cost</w:t>
            </w:r>
          </w:p>
        </w:tc>
        <w:tc>
          <w:tcPr>
            <w:tcW w:w="992"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after="120"/>
              <w:jc w:val="center"/>
              <w:rPr>
                <w:b/>
                <w:color w:val="000000"/>
                <w:sz w:val="22"/>
                <w:szCs w:val="22"/>
              </w:rPr>
            </w:pPr>
            <w:r w:rsidRPr="001A48D3">
              <w:rPr>
                <w:b/>
                <w:color w:val="000000"/>
                <w:sz w:val="22"/>
                <w:szCs w:val="22"/>
              </w:rPr>
              <w:t>Benefit</w:t>
            </w:r>
          </w:p>
        </w:tc>
        <w:tc>
          <w:tcPr>
            <w:tcW w:w="1276"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after="120"/>
              <w:jc w:val="center"/>
              <w:rPr>
                <w:b/>
                <w:color w:val="000000"/>
                <w:sz w:val="22"/>
                <w:szCs w:val="22"/>
              </w:rPr>
            </w:pPr>
            <w:r w:rsidRPr="001A48D3">
              <w:rPr>
                <w:b/>
                <w:color w:val="000000"/>
                <w:sz w:val="22"/>
                <w:szCs w:val="22"/>
              </w:rPr>
              <w:t>Net benefit</w:t>
            </w:r>
          </w:p>
        </w:tc>
      </w:tr>
      <w:tr w:rsidR="008B33FD" w:rsidRPr="001A48D3" w:rsidTr="008B33FD">
        <w:trPr>
          <w:trHeight w:val="288"/>
        </w:trPr>
        <w:tc>
          <w:tcPr>
            <w:tcW w:w="861" w:type="dxa"/>
            <w:tcBorders>
              <w:top w:val="single" w:sz="4" w:space="0" w:color="auto"/>
              <w:left w:val="single" w:sz="4" w:space="0" w:color="auto"/>
              <w:bottom w:val="nil"/>
              <w:right w:val="single" w:sz="4" w:space="0" w:color="auto"/>
            </w:tcBorders>
            <w:noWrap/>
            <w:vAlign w:val="center"/>
            <w:hideMark/>
          </w:tcPr>
          <w:p w:rsidR="008B33FD" w:rsidRPr="001A48D3" w:rsidRDefault="008B33FD" w:rsidP="00C4701A">
            <w:pPr>
              <w:spacing w:before="120" w:after="120"/>
              <w:jc w:val="center"/>
              <w:rPr>
                <w:color w:val="000000"/>
                <w:sz w:val="18"/>
                <w:szCs w:val="18"/>
              </w:rPr>
            </w:pPr>
            <w:r w:rsidRPr="001A48D3">
              <w:rPr>
                <w:color w:val="000000"/>
                <w:sz w:val="18"/>
                <w:szCs w:val="18"/>
              </w:rPr>
              <w:t>2009</w:t>
            </w:r>
          </w:p>
        </w:tc>
        <w:tc>
          <w:tcPr>
            <w:tcW w:w="992" w:type="dxa"/>
            <w:tcBorders>
              <w:top w:val="single" w:sz="4" w:space="0" w:color="auto"/>
              <w:left w:val="nil"/>
              <w:bottom w:val="nil"/>
              <w:right w:val="single" w:sz="4" w:space="0" w:color="auto"/>
            </w:tcBorders>
            <w:noWrap/>
            <w:vAlign w:val="bottom"/>
            <w:hideMark/>
          </w:tcPr>
          <w:p w:rsidR="008B33FD" w:rsidRPr="001A48D3" w:rsidRDefault="008B33FD" w:rsidP="00C4701A">
            <w:pPr>
              <w:spacing w:before="120" w:after="120"/>
              <w:jc w:val="center"/>
              <w:rPr>
                <w:color w:val="000000"/>
                <w:sz w:val="18"/>
                <w:szCs w:val="18"/>
              </w:rPr>
            </w:pPr>
            <w:r w:rsidRPr="001A48D3">
              <w:rPr>
                <w:color w:val="000000"/>
                <w:sz w:val="18"/>
                <w:szCs w:val="18"/>
              </w:rPr>
              <w:t xml:space="preserve">0.0 </w:t>
            </w:r>
          </w:p>
        </w:tc>
        <w:tc>
          <w:tcPr>
            <w:tcW w:w="992" w:type="dxa"/>
            <w:tcBorders>
              <w:top w:val="single" w:sz="4" w:space="0" w:color="auto"/>
              <w:left w:val="nil"/>
              <w:bottom w:val="nil"/>
              <w:right w:val="single" w:sz="4" w:space="0" w:color="auto"/>
            </w:tcBorders>
            <w:noWrap/>
            <w:vAlign w:val="bottom"/>
            <w:hideMark/>
          </w:tcPr>
          <w:p w:rsidR="008B33FD" w:rsidRPr="001A48D3" w:rsidRDefault="008B33FD" w:rsidP="00C4701A">
            <w:pPr>
              <w:spacing w:before="120" w:after="120"/>
              <w:jc w:val="center"/>
              <w:rPr>
                <w:color w:val="000000"/>
                <w:sz w:val="18"/>
                <w:szCs w:val="18"/>
              </w:rPr>
            </w:pPr>
            <w:r w:rsidRPr="001A48D3">
              <w:rPr>
                <w:color w:val="000000"/>
                <w:sz w:val="18"/>
                <w:szCs w:val="18"/>
              </w:rPr>
              <w:t xml:space="preserve">0.0 </w:t>
            </w:r>
          </w:p>
        </w:tc>
        <w:tc>
          <w:tcPr>
            <w:tcW w:w="1276" w:type="dxa"/>
            <w:tcBorders>
              <w:top w:val="single" w:sz="4" w:space="0" w:color="auto"/>
              <w:left w:val="nil"/>
              <w:bottom w:val="nil"/>
              <w:right w:val="single" w:sz="4" w:space="0" w:color="auto"/>
            </w:tcBorders>
            <w:noWrap/>
            <w:vAlign w:val="bottom"/>
            <w:hideMark/>
          </w:tcPr>
          <w:p w:rsidR="008B33FD" w:rsidRPr="001A48D3" w:rsidRDefault="008B33FD" w:rsidP="00C4701A">
            <w:pPr>
              <w:spacing w:before="120" w:after="120"/>
              <w:jc w:val="center"/>
              <w:rPr>
                <w:color w:val="000000"/>
                <w:sz w:val="18"/>
                <w:szCs w:val="18"/>
              </w:rPr>
            </w:pPr>
            <w:r w:rsidRPr="001A48D3">
              <w:rPr>
                <w:color w:val="000000"/>
                <w:sz w:val="18"/>
                <w:szCs w:val="18"/>
              </w:rPr>
              <w:t xml:space="preserve">0.0 </w:t>
            </w:r>
          </w:p>
        </w:tc>
        <w:tc>
          <w:tcPr>
            <w:tcW w:w="1259" w:type="dxa"/>
            <w:tcBorders>
              <w:top w:val="single" w:sz="4" w:space="0" w:color="auto"/>
              <w:left w:val="nil"/>
              <w:bottom w:val="nil"/>
              <w:right w:val="single" w:sz="4" w:space="0" w:color="auto"/>
            </w:tcBorders>
            <w:noWrap/>
            <w:vAlign w:val="center"/>
            <w:hideMark/>
          </w:tcPr>
          <w:p w:rsidR="008B33FD" w:rsidRPr="001A48D3" w:rsidRDefault="008B33FD" w:rsidP="00C4701A">
            <w:pPr>
              <w:spacing w:before="120" w:after="120"/>
              <w:jc w:val="center"/>
              <w:rPr>
                <w:color w:val="000000"/>
                <w:sz w:val="18"/>
                <w:szCs w:val="18"/>
              </w:rPr>
            </w:pPr>
            <w:r w:rsidRPr="001A48D3">
              <w:rPr>
                <w:color w:val="000000"/>
                <w:sz w:val="18"/>
                <w:szCs w:val="18"/>
              </w:rPr>
              <w:t>1.0000</w:t>
            </w:r>
          </w:p>
        </w:tc>
        <w:tc>
          <w:tcPr>
            <w:tcW w:w="1276" w:type="dxa"/>
            <w:tcBorders>
              <w:top w:val="single" w:sz="4" w:space="0" w:color="auto"/>
              <w:left w:val="nil"/>
              <w:bottom w:val="nil"/>
              <w:right w:val="single" w:sz="4" w:space="0" w:color="auto"/>
            </w:tcBorders>
            <w:noWrap/>
            <w:vAlign w:val="bottom"/>
            <w:hideMark/>
          </w:tcPr>
          <w:p w:rsidR="008B33FD" w:rsidRPr="001A48D3" w:rsidRDefault="008B33FD" w:rsidP="00C4701A">
            <w:pPr>
              <w:spacing w:before="120" w:after="120"/>
              <w:jc w:val="center"/>
              <w:rPr>
                <w:color w:val="000000"/>
                <w:sz w:val="18"/>
                <w:szCs w:val="18"/>
              </w:rPr>
            </w:pPr>
            <w:r w:rsidRPr="001A48D3">
              <w:rPr>
                <w:color w:val="000000"/>
                <w:sz w:val="18"/>
                <w:szCs w:val="18"/>
              </w:rPr>
              <w:t xml:space="preserve">0.0 </w:t>
            </w:r>
          </w:p>
        </w:tc>
        <w:tc>
          <w:tcPr>
            <w:tcW w:w="992" w:type="dxa"/>
            <w:tcBorders>
              <w:top w:val="single" w:sz="4" w:space="0" w:color="auto"/>
              <w:left w:val="nil"/>
              <w:bottom w:val="nil"/>
              <w:right w:val="single" w:sz="4" w:space="0" w:color="auto"/>
            </w:tcBorders>
            <w:noWrap/>
            <w:vAlign w:val="bottom"/>
            <w:hideMark/>
          </w:tcPr>
          <w:p w:rsidR="008B33FD" w:rsidRPr="001A48D3" w:rsidRDefault="008B33FD" w:rsidP="00C4701A">
            <w:pPr>
              <w:spacing w:before="120" w:after="120"/>
              <w:jc w:val="center"/>
              <w:rPr>
                <w:color w:val="000000"/>
                <w:sz w:val="18"/>
                <w:szCs w:val="18"/>
              </w:rPr>
            </w:pPr>
            <w:r w:rsidRPr="001A48D3">
              <w:rPr>
                <w:color w:val="000000"/>
                <w:sz w:val="18"/>
                <w:szCs w:val="18"/>
              </w:rPr>
              <w:t xml:space="preserve">0.0 </w:t>
            </w:r>
          </w:p>
        </w:tc>
        <w:tc>
          <w:tcPr>
            <w:tcW w:w="1276" w:type="dxa"/>
            <w:tcBorders>
              <w:top w:val="single" w:sz="4" w:space="0" w:color="auto"/>
              <w:left w:val="nil"/>
              <w:bottom w:val="nil"/>
              <w:right w:val="single" w:sz="4" w:space="0" w:color="auto"/>
            </w:tcBorders>
            <w:noWrap/>
            <w:vAlign w:val="bottom"/>
            <w:hideMark/>
          </w:tcPr>
          <w:p w:rsidR="008B33FD" w:rsidRPr="001A48D3" w:rsidRDefault="008B33FD" w:rsidP="00C4701A">
            <w:pPr>
              <w:spacing w:before="120" w:after="120"/>
              <w:jc w:val="center"/>
              <w:rPr>
                <w:color w:val="000000"/>
                <w:sz w:val="18"/>
                <w:szCs w:val="18"/>
              </w:rPr>
            </w:pPr>
            <w:r w:rsidRPr="001A48D3">
              <w:rPr>
                <w:color w:val="000000"/>
                <w:sz w:val="18"/>
                <w:szCs w:val="18"/>
              </w:rPr>
              <w:t xml:space="preserve">0.0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2010</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0.0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0.0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0.0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0.9346</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0.0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0.0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0.0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2011</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0.0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0.0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0.0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0.8734</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0.0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0.0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0.0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2012</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-79.1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12.7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-66.4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0.8163</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-64.6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10.4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-54.2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2013</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-162.7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38.5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-124.2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0.7629</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-124.1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29.3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-94.8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2014</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-162.2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66.2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-96.0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0.7130</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-115.6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47.2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-68.4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2015</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-160.9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95.4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-65.5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0.6663</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-107.2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63.6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-43.6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2016</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-166.1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127.3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-38.8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0.6227</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-103.4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79.3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-24.2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2017</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-287.8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162.0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-125.9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0.5820</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-167.5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94.3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-73.3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2018</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-282.5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198.9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-83.5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0.5439</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-153.6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108.2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-45.4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2019</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-274.7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238.2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-36.5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0.5083</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-139.6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121.1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-18.5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2020</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-261.0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278.7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17.7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0.4751</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-124.0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132.4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8.4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2021</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-240.2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320.1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79.9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0.4440</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-106.7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142.1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35.5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2022</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-214.5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360.1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145.6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0.4150</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-89.0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149.4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60.4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2023</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-188.1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399.7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211.5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0.3878</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-73.0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155.0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82.0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2024</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-161.3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442.6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281.3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0.3624</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-58.5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160.4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101.9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2025</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-134.0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485.7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351.7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0.3387</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-45.4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164.5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119.1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2026</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-106.2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528.5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422.3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0.3166</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-33.6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167.3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133.7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2027</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-78.5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569.5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491.1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0.2959</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-23.2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168.5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145.3 </w:t>
            </w:r>
          </w:p>
        </w:tc>
      </w:tr>
      <w:tr w:rsidR="008B33FD" w:rsidRPr="001A48D3" w:rsidTr="008B33FD">
        <w:trPr>
          <w:trHeight w:val="288"/>
        </w:trPr>
        <w:tc>
          <w:tcPr>
            <w:tcW w:w="861" w:type="dxa"/>
            <w:tcBorders>
              <w:top w:val="nil"/>
              <w:left w:val="single" w:sz="4" w:space="0" w:color="auto"/>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2028</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-51.2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609.1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557.9 </w:t>
            </w:r>
          </w:p>
        </w:tc>
        <w:tc>
          <w:tcPr>
            <w:tcW w:w="1259" w:type="dxa"/>
            <w:tcBorders>
              <w:top w:val="nil"/>
              <w:left w:val="nil"/>
              <w:bottom w:val="nil"/>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0.2765</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-14.2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168.4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154.3 </w:t>
            </w:r>
          </w:p>
        </w:tc>
      </w:tr>
      <w:tr w:rsidR="008B33FD" w:rsidRPr="001A48D3" w:rsidTr="008B33FD">
        <w:trPr>
          <w:trHeight w:val="288"/>
        </w:trPr>
        <w:tc>
          <w:tcPr>
            <w:tcW w:w="861" w:type="dxa"/>
            <w:tcBorders>
              <w:top w:val="nil"/>
              <w:left w:val="single" w:sz="4" w:space="0" w:color="auto"/>
              <w:bottom w:val="single" w:sz="4" w:space="0" w:color="auto"/>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2029</w:t>
            </w:r>
          </w:p>
        </w:tc>
        <w:tc>
          <w:tcPr>
            <w:tcW w:w="992" w:type="dxa"/>
            <w:tcBorders>
              <w:top w:val="nil"/>
              <w:left w:val="nil"/>
              <w:bottom w:val="single" w:sz="4" w:space="0" w:color="auto"/>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-24.9 </w:t>
            </w:r>
          </w:p>
        </w:tc>
        <w:tc>
          <w:tcPr>
            <w:tcW w:w="992" w:type="dxa"/>
            <w:tcBorders>
              <w:top w:val="nil"/>
              <w:left w:val="nil"/>
              <w:bottom w:val="single" w:sz="4" w:space="0" w:color="auto"/>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647.2 </w:t>
            </w:r>
          </w:p>
        </w:tc>
        <w:tc>
          <w:tcPr>
            <w:tcW w:w="1276" w:type="dxa"/>
            <w:tcBorders>
              <w:top w:val="nil"/>
              <w:left w:val="nil"/>
              <w:bottom w:val="single" w:sz="4" w:space="0" w:color="auto"/>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622.3 </w:t>
            </w:r>
          </w:p>
        </w:tc>
        <w:tc>
          <w:tcPr>
            <w:tcW w:w="1259" w:type="dxa"/>
            <w:tcBorders>
              <w:top w:val="nil"/>
              <w:left w:val="nil"/>
              <w:bottom w:val="single" w:sz="4" w:space="0" w:color="auto"/>
              <w:right w:val="single" w:sz="4" w:space="0" w:color="auto"/>
            </w:tcBorders>
            <w:noWrap/>
            <w:vAlign w:val="center"/>
            <w:hideMark/>
          </w:tcPr>
          <w:p w:rsidR="008B33FD" w:rsidRPr="001A48D3" w:rsidRDefault="008B33FD" w:rsidP="00C4701A">
            <w:pPr>
              <w:spacing w:after="120"/>
              <w:jc w:val="center"/>
              <w:rPr>
                <w:color w:val="000000"/>
                <w:sz w:val="18"/>
                <w:szCs w:val="18"/>
              </w:rPr>
            </w:pPr>
            <w:r w:rsidRPr="001A48D3">
              <w:rPr>
                <w:color w:val="000000"/>
                <w:sz w:val="18"/>
                <w:szCs w:val="18"/>
              </w:rPr>
              <w:t>0.2584</w:t>
            </w:r>
          </w:p>
        </w:tc>
        <w:tc>
          <w:tcPr>
            <w:tcW w:w="1276" w:type="dxa"/>
            <w:tcBorders>
              <w:top w:val="nil"/>
              <w:left w:val="nil"/>
              <w:bottom w:val="single" w:sz="4" w:space="0" w:color="auto"/>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-6.4 </w:t>
            </w:r>
          </w:p>
        </w:tc>
        <w:tc>
          <w:tcPr>
            <w:tcW w:w="992" w:type="dxa"/>
            <w:tcBorders>
              <w:top w:val="nil"/>
              <w:left w:val="nil"/>
              <w:bottom w:val="single" w:sz="4" w:space="0" w:color="auto"/>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167.3 </w:t>
            </w:r>
          </w:p>
        </w:tc>
        <w:tc>
          <w:tcPr>
            <w:tcW w:w="1276" w:type="dxa"/>
            <w:tcBorders>
              <w:top w:val="nil"/>
              <w:left w:val="nil"/>
              <w:bottom w:val="single" w:sz="4" w:space="0" w:color="auto"/>
              <w:right w:val="single" w:sz="4" w:space="0" w:color="auto"/>
            </w:tcBorders>
            <w:noWrap/>
            <w:vAlign w:val="bottom"/>
            <w:hideMark/>
          </w:tcPr>
          <w:p w:rsidR="008B33FD" w:rsidRPr="001A48D3" w:rsidRDefault="008B33FD" w:rsidP="00C4701A">
            <w:pPr>
              <w:spacing w:after="120"/>
              <w:jc w:val="center"/>
              <w:rPr>
                <w:color w:val="000000"/>
                <w:sz w:val="18"/>
                <w:szCs w:val="18"/>
              </w:rPr>
            </w:pPr>
            <w:r w:rsidRPr="001A48D3">
              <w:rPr>
                <w:color w:val="000000"/>
                <w:sz w:val="18"/>
                <w:szCs w:val="18"/>
              </w:rPr>
              <w:t xml:space="preserve">160.8 </w:t>
            </w:r>
          </w:p>
        </w:tc>
      </w:tr>
      <w:tr w:rsidR="008B33FD" w:rsidRPr="001A48D3" w:rsidTr="008B33FD">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B33FD" w:rsidRPr="001A48D3" w:rsidRDefault="008B33FD" w:rsidP="00C4701A">
            <w:pPr>
              <w:spacing w:before="120" w:after="120"/>
              <w:jc w:val="center"/>
              <w:rPr>
                <w:b/>
                <w:bCs/>
                <w:color w:val="000000"/>
                <w:sz w:val="22"/>
                <w:szCs w:val="22"/>
              </w:rPr>
            </w:pPr>
            <w:r w:rsidRPr="001A48D3">
              <w:rPr>
                <w:b/>
                <w:bCs/>
                <w:color w:val="000000"/>
                <w:sz w:val="22"/>
                <w:szCs w:val="22"/>
              </w:rPr>
              <w:t>Total</w:t>
            </w:r>
          </w:p>
        </w:tc>
        <w:tc>
          <w:tcPr>
            <w:tcW w:w="992"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autoSpaceDE w:val="0"/>
              <w:autoSpaceDN w:val="0"/>
              <w:adjustRightInd w:val="0"/>
              <w:spacing w:before="120" w:after="120"/>
              <w:jc w:val="center"/>
              <w:rPr>
                <w:rFonts w:cs="Calibri"/>
                <w:b/>
                <w:bCs/>
                <w:color w:val="000000"/>
                <w:sz w:val="22"/>
                <w:szCs w:val="22"/>
              </w:rPr>
            </w:pPr>
            <w:r w:rsidRPr="001A48D3">
              <w:rPr>
                <w:rFonts w:cs="Calibri"/>
                <w:b/>
                <w:bCs/>
                <w:color w:val="000000"/>
                <w:sz w:val="22"/>
                <w:szCs w:val="22"/>
              </w:rPr>
              <w:t>-3,035.9</w:t>
            </w:r>
          </w:p>
        </w:tc>
        <w:tc>
          <w:tcPr>
            <w:tcW w:w="992"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spacing w:before="120" w:after="120"/>
              <w:jc w:val="center"/>
              <w:rPr>
                <w:b/>
                <w:bCs/>
                <w:color w:val="000000"/>
                <w:sz w:val="22"/>
                <w:szCs w:val="22"/>
              </w:rPr>
            </w:pPr>
            <w:r w:rsidRPr="001A48D3">
              <w:rPr>
                <w:b/>
                <w:bCs/>
                <w:color w:val="000000"/>
                <w:sz w:val="22"/>
                <w:szCs w:val="22"/>
              </w:rPr>
              <w:t>5,580.3</w:t>
            </w:r>
          </w:p>
        </w:tc>
        <w:tc>
          <w:tcPr>
            <w:tcW w:w="1276"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autoSpaceDE w:val="0"/>
              <w:autoSpaceDN w:val="0"/>
              <w:adjustRightInd w:val="0"/>
              <w:spacing w:before="120" w:after="120"/>
              <w:jc w:val="center"/>
              <w:rPr>
                <w:rFonts w:cs="Calibri"/>
                <w:b/>
                <w:bCs/>
                <w:color w:val="000000"/>
                <w:sz w:val="22"/>
                <w:szCs w:val="22"/>
              </w:rPr>
            </w:pPr>
            <w:r w:rsidRPr="001A48D3">
              <w:rPr>
                <w:rFonts w:cs="Calibri"/>
                <w:b/>
                <w:bCs/>
                <w:color w:val="000000"/>
                <w:sz w:val="22"/>
                <w:szCs w:val="22"/>
              </w:rPr>
              <w:t>2,544.4</w:t>
            </w:r>
          </w:p>
        </w:tc>
        <w:tc>
          <w:tcPr>
            <w:tcW w:w="1259"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spacing w:before="120" w:after="120"/>
              <w:jc w:val="center"/>
              <w:rPr>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autoSpaceDE w:val="0"/>
              <w:autoSpaceDN w:val="0"/>
              <w:adjustRightInd w:val="0"/>
              <w:spacing w:before="120" w:after="120"/>
              <w:jc w:val="center"/>
              <w:rPr>
                <w:rFonts w:cs="Calibri"/>
                <w:b/>
                <w:bCs/>
                <w:color w:val="000000"/>
                <w:sz w:val="22"/>
                <w:szCs w:val="22"/>
              </w:rPr>
            </w:pPr>
            <w:r w:rsidRPr="001A48D3">
              <w:rPr>
                <w:rFonts w:cs="Calibri"/>
                <w:b/>
                <w:bCs/>
                <w:color w:val="000000"/>
                <w:sz w:val="22"/>
                <w:szCs w:val="22"/>
              </w:rPr>
              <w:t>-1,549.7</w:t>
            </w:r>
          </w:p>
        </w:tc>
        <w:tc>
          <w:tcPr>
            <w:tcW w:w="992"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autoSpaceDE w:val="0"/>
              <w:autoSpaceDN w:val="0"/>
              <w:adjustRightInd w:val="0"/>
              <w:spacing w:before="120" w:after="120"/>
              <w:jc w:val="center"/>
              <w:rPr>
                <w:rFonts w:cs="Calibri"/>
                <w:b/>
                <w:bCs/>
                <w:color w:val="000000"/>
                <w:sz w:val="22"/>
                <w:szCs w:val="22"/>
              </w:rPr>
            </w:pPr>
            <w:r w:rsidRPr="001A48D3">
              <w:rPr>
                <w:rFonts w:cs="Calibri"/>
                <w:b/>
                <w:bCs/>
                <w:color w:val="000000"/>
                <w:sz w:val="22"/>
                <w:szCs w:val="22"/>
              </w:rPr>
              <w:t>2,128.7</w:t>
            </w:r>
          </w:p>
        </w:tc>
        <w:tc>
          <w:tcPr>
            <w:tcW w:w="1276"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autoSpaceDE w:val="0"/>
              <w:autoSpaceDN w:val="0"/>
              <w:adjustRightInd w:val="0"/>
              <w:spacing w:before="120" w:after="120"/>
              <w:jc w:val="center"/>
              <w:rPr>
                <w:rFonts w:cs="Calibri"/>
                <w:b/>
                <w:bCs/>
                <w:color w:val="000000"/>
                <w:sz w:val="22"/>
                <w:szCs w:val="22"/>
              </w:rPr>
            </w:pPr>
            <w:r w:rsidRPr="001A48D3">
              <w:rPr>
                <w:rFonts w:cs="Calibri"/>
                <w:b/>
                <w:bCs/>
                <w:color w:val="000000"/>
                <w:sz w:val="22"/>
                <w:szCs w:val="22"/>
              </w:rPr>
              <w:t>579.0</w:t>
            </w:r>
          </w:p>
        </w:tc>
      </w:tr>
      <w:tr w:rsidR="008B33FD" w:rsidRPr="001A48D3" w:rsidTr="008B33FD">
        <w:trPr>
          <w:trHeight w:val="324"/>
        </w:trPr>
        <w:tc>
          <w:tcPr>
            <w:tcW w:w="4121" w:type="dxa"/>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8B33FD" w:rsidRPr="001A48D3" w:rsidRDefault="008B33FD" w:rsidP="00C4701A">
            <w:pPr>
              <w:spacing w:before="120" w:after="120"/>
              <w:rPr>
                <w:b/>
                <w:bCs/>
                <w:color w:val="000000"/>
                <w:sz w:val="22"/>
                <w:szCs w:val="22"/>
              </w:rPr>
            </w:pPr>
            <w:r w:rsidRPr="001A48D3">
              <w:rPr>
                <w:b/>
                <w:bCs/>
                <w:color w:val="000000"/>
                <w:sz w:val="22"/>
                <w:szCs w:val="22"/>
              </w:rPr>
              <w:t xml:space="preserve">Benefit–cost Ratio = </w:t>
            </w:r>
            <w:r w:rsidR="00F61EC0" w:rsidRPr="001A48D3">
              <w:rPr>
                <w:b/>
                <w:bCs/>
                <w:color w:val="000000"/>
                <w:sz w:val="22"/>
                <w:szCs w:val="22"/>
              </w:rPr>
              <w:tab/>
            </w:r>
            <w:r w:rsidR="00F61EC0" w:rsidRPr="001A48D3">
              <w:rPr>
                <w:b/>
                <w:bCs/>
                <w:color w:val="000000"/>
                <w:sz w:val="22"/>
                <w:szCs w:val="22"/>
              </w:rPr>
              <w:tab/>
            </w:r>
            <w:r w:rsidRPr="001A48D3">
              <w:rPr>
                <w:b/>
                <w:bCs/>
                <w:color w:val="000000"/>
                <w:sz w:val="22"/>
                <w:szCs w:val="22"/>
              </w:rPr>
              <w:t>1.37</w:t>
            </w:r>
          </w:p>
        </w:tc>
        <w:tc>
          <w:tcPr>
            <w:tcW w:w="4803" w:type="dxa"/>
            <w:gridSpan w:val="4"/>
            <w:tcBorders>
              <w:top w:val="single" w:sz="4" w:space="0" w:color="auto"/>
              <w:left w:val="single" w:sz="4" w:space="0" w:color="auto"/>
              <w:bottom w:val="single" w:sz="4" w:space="0" w:color="auto"/>
              <w:right w:val="single" w:sz="4" w:space="0" w:color="auto"/>
            </w:tcBorders>
            <w:shd w:val="clear" w:color="auto" w:fill="FDE9D9"/>
            <w:vAlign w:val="bottom"/>
          </w:tcPr>
          <w:p w:rsidR="008B33FD" w:rsidRPr="001A48D3" w:rsidRDefault="008B33FD" w:rsidP="00C4701A">
            <w:pPr>
              <w:spacing w:before="120" w:after="120"/>
              <w:rPr>
                <w:b/>
                <w:bCs/>
                <w:color w:val="000000"/>
                <w:sz w:val="22"/>
                <w:szCs w:val="22"/>
              </w:rPr>
            </w:pPr>
            <w:r w:rsidRPr="001A48D3">
              <w:rPr>
                <w:b/>
                <w:bCs/>
                <w:color w:val="000000"/>
                <w:sz w:val="22"/>
                <w:szCs w:val="22"/>
              </w:rPr>
              <w:t xml:space="preserve">NPV = </w:t>
            </w:r>
            <w:r w:rsidRPr="001A48D3">
              <w:rPr>
                <w:b/>
                <w:bCs/>
                <w:color w:val="000000"/>
                <w:sz w:val="22"/>
                <w:szCs w:val="22"/>
              </w:rPr>
              <w:tab/>
            </w:r>
            <w:r w:rsidRPr="001A48D3">
              <w:rPr>
                <w:b/>
                <w:bCs/>
                <w:color w:val="000000"/>
                <w:sz w:val="22"/>
                <w:szCs w:val="22"/>
              </w:rPr>
              <w:tab/>
            </w:r>
            <w:r w:rsidRPr="001A48D3">
              <w:rPr>
                <w:b/>
                <w:bCs/>
                <w:color w:val="000000"/>
                <w:sz w:val="22"/>
                <w:szCs w:val="22"/>
              </w:rPr>
              <w:tab/>
            </w:r>
            <w:r w:rsidRPr="001A48D3">
              <w:rPr>
                <w:b/>
                <w:bCs/>
                <w:color w:val="000000"/>
                <w:sz w:val="22"/>
                <w:szCs w:val="22"/>
              </w:rPr>
              <w:tab/>
            </w:r>
            <w:r w:rsidRPr="001A48D3">
              <w:rPr>
                <w:b/>
                <w:bCs/>
                <w:color w:val="000000"/>
                <w:sz w:val="22"/>
                <w:szCs w:val="22"/>
              </w:rPr>
              <w:tab/>
              <w:t>$579m</w:t>
            </w:r>
          </w:p>
        </w:tc>
      </w:tr>
    </w:tbl>
    <w:p w:rsidR="00361D22" w:rsidRDefault="00F54BF4" w:rsidP="00B52F7D">
      <w:r w:rsidRPr="001A48D3">
        <w:br w:type="page"/>
      </w:r>
    </w:p>
    <w:p w:rsidR="00F54BF4" w:rsidRPr="001A48D3" w:rsidRDefault="00F54BF4" w:rsidP="00B52F7D">
      <w:pPr>
        <w:pStyle w:val="Heading3"/>
      </w:pPr>
      <w:bookmarkStart w:id="79" w:name="_Toc430182537"/>
      <w:r w:rsidRPr="001A48D3">
        <w:lastRenderedPageBreak/>
        <w:t>Table 1</w:t>
      </w:r>
      <w:r w:rsidR="006F4E2D" w:rsidRPr="001A48D3">
        <w:t>1</w:t>
      </w:r>
      <w:r w:rsidRPr="001A48D3">
        <w:tab/>
        <w:t>Su</w:t>
      </w:r>
      <w:r w:rsidR="00D56B08" w:rsidRPr="001A48D3">
        <w:t>mmary of Net Benefit f</w:t>
      </w:r>
      <w:r w:rsidRPr="001A48D3">
        <w:t>or Option 3</w:t>
      </w:r>
      <w:bookmarkEnd w:id="79"/>
      <w:r w:rsidR="00612C45" w:rsidRPr="001A48D3">
        <w:t xml:space="preserve"> </w:t>
      </w:r>
    </w:p>
    <w:tbl>
      <w:tblPr>
        <w:tblW w:w="8515" w:type="dxa"/>
        <w:tblInd w:w="98" w:type="dxa"/>
        <w:tblLook w:val="04A0" w:firstRow="1" w:lastRow="0" w:firstColumn="1" w:lastColumn="0" w:noHBand="0" w:noVBand="1"/>
      </w:tblPr>
      <w:tblGrid>
        <w:gridCol w:w="861"/>
        <w:gridCol w:w="992"/>
        <w:gridCol w:w="992"/>
        <w:gridCol w:w="1276"/>
        <w:gridCol w:w="1198"/>
        <w:gridCol w:w="928"/>
        <w:gridCol w:w="993"/>
        <w:gridCol w:w="1275"/>
      </w:tblGrid>
      <w:tr w:rsidR="008B33FD" w:rsidRPr="001A48D3" w:rsidTr="00153F3E">
        <w:trPr>
          <w:trHeight w:val="288"/>
          <w:tblHeader/>
        </w:trPr>
        <w:tc>
          <w:tcPr>
            <w:tcW w:w="861" w:type="dxa"/>
            <w:vMerge w:val="restart"/>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8B33FD" w:rsidRPr="001A48D3" w:rsidRDefault="008B33FD" w:rsidP="00C4701A">
            <w:pPr>
              <w:spacing w:before="120" w:after="120"/>
              <w:jc w:val="center"/>
              <w:rPr>
                <w:color w:val="000000"/>
                <w:sz w:val="22"/>
                <w:szCs w:val="22"/>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8B33FD" w:rsidRPr="001A48D3" w:rsidRDefault="008B33FD" w:rsidP="00C4701A">
            <w:pPr>
              <w:spacing w:before="120" w:after="120"/>
              <w:jc w:val="center"/>
              <w:rPr>
                <w:b/>
                <w:color w:val="000000"/>
                <w:sz w:val="22"/>
                <w:szCs w:val="22"/>
              </w:rPr>
            </w:pPr>
            <w:r w:rsidRPr="001A48D3">
              <w:rPr>
                <w:b/>
                <w:color w:val="000000"/>
                <w:sz w:val="22"/>
                <w:szCs w:val="22"/>
              </w:rPr>
              <w:t xml:space="preserve">Undiscounted Cash Flow </w:t>
            </w:r>
          </w:p>
          <w:p w:rsidR="008B33FD" w:rsidRPr="001A48D3" w:rsidRDefault="008B33FD" w:rsidP="00C4701A">
            <w:pPr>
              <w:spacing w:before="120" w:after="120"/>
              <w:jc w:val="center"/>
              <w:rPr>
                <w:b/>
                <w:color w:val="000000"/>
                <w:sz w:val="22"/>
                <w:szCs w:val="22"/>
              </w:rPr>
            </w:pPr>
            <w:r w:rsidRPr="001A48D3">
              <w:rPr>
                <w:b/>
                <w:color w:val="000000"/>
                <w:sz w:val="22"/>
                <w:szCs w:val="22"/>
              </w:rPr>
              <w:t>($m, in 2009 prices)</w:t>
            </w:r>
          </w:p>
        </w:tc>
        <w:tc>
          <w:tcPr>
            <w:tcW w:w="1198"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8B33FD" w:rsidRPr="001A48D3" w:rsidRDefault="00111519" w:rsidP="00C4701A">
            <w:pPr>
              <w:spacing w:before="120" w:after="120"/>
              <w:jc w:val="center"/>
              <w:rPr>
                <w:b/>
                <w:color w:val="000000"/>
                <w:sz w:val="22"/>
                <w:szCs w:val="22"/>
              </w:rPr>
            </w:pPr>
            <w:r w:rsidRPr="001A48D3">
              <w:rPr>
                <w:b/>
                <w:color w:val="000000"/>
                <w:sz w:val="22"/>
                <w:szCs w:val="22"/>
              </w:rPr>
              <w:t>Discount</w:t>
            </w:r>
            <w:r w:rsidR="008B33FD" w:rsidRPr="001A48D3">
              <w:rPr>
                <w:b/>
                <w:color w:val="000000"/>
                <w:sz w:val="22"/>
                <w:szCs w:val="22"/>
              </w:rPr>
              <w:t xml:space="preserve"> Factor</w:t>
            </w:r>
          </w:p>
        </w:tc>
        <w:tc>
          <w:tcPr>
            <w:tcW w:w="3196" w:type="dxa"/>
            <w:gridSpan w:val="3"/>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8B33FD" w:rsidRPr="001A48D3" w:rsidRDefault="008B33FD" w:rsidP="00C4701A">
            <w:pPr>
              <w:spacing w:before="120" w:after="120"/>
              <w:jc w:val="center"/>
              <w:rPr>
                <w:b/>
                <w:color w:val="000000"/>
                <w:sz w:val="22"/>
                <w:szCs w:val="22"/>
              </w:rPr>
            </w:pPr>
            <w:r w:rsidRPr="001A48D3">
              <w:rPr>
                <w:b/>
                <w:color w:val="000000"/>
                <w:sz w:val="22"/>
                <w:szCs w:val="22"/>
              </w:rPr>
              <w:t>Discounted Cash Flow ($m)</w:t>
            </w:r>
          </w:p>
          <w:p w:rsidR="008B33FD" w:rsidRPr="001A48D3" w:rsidRDefault="008B33FD" w:rsidP="00C4701A">
            <w:pPr>
              <w:spacing w:before="120" w:after="120"/>
              <w:jc w:val="center"/>
              <w:rPr>
                <w:b/>
                <w:color w:val="000000"/>
                <w:sz w:val="22"/>
                <w:szCs w:val="22"/>
              </w:rPr>
            </w:pPr>
            <w:r w:rsidRPr="001A48D3">
              <w:rPr>
                <w:b/>
                <w:color w:val="000000"/>
                <w:sz w:val="22"/>
                <w:szCs w:val="22"/>
              </w:rPr>
              <w:t>($m, in 2009 prices)</w:t>
            </w:r>
          </w:p>
        </w:tc>
      </w:tr>
      <w:tr w:rsidR="008B33FD" w:rsidRPr="001A48D3" w:rsidTr="00153F3E">
        <w:trPr>
          <w:trHeight w:val="288"/>
          <w:tblHeader/>
        </w:trPr>
        <w:tc>
          <w:tcPr>
            <w:tcW w:w="861" w:type="dxa"/>
            <w:vMerge/>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before="120" w:after="120"/>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before="120" w:after="120"/>
              <w:jc w:val="center"/>
              <w:rPr>
                <w:b/>
                <w:color w:val="000000"/>
                <w:sz w:val="22"/>
                <w:szCs w:val="22"/>
              </w:rPr>
            </w:pPr>
            <w:r w:rsidRPr="001A48D3">
              <w:rPr>
                <w:b/>
                <w:color w:val="000000"/>
                <w:sz w:val="22"/>
                <w:szCs w:val="22"/>
              </w:rPr>
              <w:t>Cost</w:t>
            </w:r>
          </w:p>
        </w:tc>
        <w:tc>
          <w:tcPr>
            <w:tcW w:w="992"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before="120" w:after="120"/>
              <w:jc w:val="center"/>
              <w:rPr>
                <w:b/>
                <w:color w:val="000000"/>
                <w:sz w:val="22"/>
                <w:szCs w:val="22"/>
              </w:rPr>
            </w:pPr>
            <w:r w:rsidRPr="001A48D3">
              <w:rPr>
                <w:b/>
                <w:color w:val="000000"/>
                <w:sz w:val="22"/>
                <w:szCs w:val="22"/>
              </w:rPr>
              <w:t>Benefit</w:t>
            </w:r>
          </w:p>
        </w:tc>
        <w:tc>
          <w:tcPr>
            <w:tcW w:w="1276"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before="120" w:after="120"/>
              <w:jc w:val="center"/>
              <w:rPr>
                <w:b/>
                <w:color w:val="000000"/>
                <w:sz w:val="22"/>
                <w:szCs w:val="22"/>
              </w:rPr>
            </w:pPr>
            <w:r w:rsidRPr="001A48D3">
              <w:rPr>
                <w:b/>
                <w:color w:val="000000"/>
                <w:sz w:val="22"/>
                <w:szCs w:val="22"/>
              </w:rPr>
              <w:t>Net benefit</w:t>
            </w:r>
          </w:p>
        </w:tc>
        <w:tc>
          <w:tcPr>
            <w:tcW w:w="1198"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before="120" w:after="120"/>
              <w:jc w:val="center"/>
              <w:rPr>
                <w:b/>
                <w:color w:val="000000"/>
                <w:sz w:val="22"/>
                <w:szCs w:val="22"/>
              </w:rPr>
            </w:pPr>
            <w:r w:rsidRPr="001A48D3">
              <w:rPr>
                <w:b/>
                <w:color w:val="000000"/>
                <w:sz w:val="22"/>
                <w:szCs w:val="22"/>
              </w:rPr>
              <w:t>(7%)</w:t>
            </w:r>
          </w:p>
        </w:tc>
        <w:tc>
          <w:tcPr>
            <w:tcW w:w="928"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before="120" w:after="120"/>
              <w:jc w:val="center"/>
              <w:rPr>
                <w:b/>
                <w:color w:val="000000"/>
                <w:sz w:val="22"/>
                <w:szCs w:val="22"/>
              </w:rPr>
            </w:pPr>
            <w:r w:rsidRPr="001A48D3">
              <w:rPr>
                <w:b/>
                <w:color w:val="000000"/>
                <w:sz w:val="22"/>
                <w:szCs w:val="22"/>
              </w:rPr>
              <w:t>Cost</w:t>
            </w:r>
          </w:p>
        </w:tc>
        <w:tc>
          <w:tcPr>
            <w:tcW w:w="993"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before="120" w:after="120"/>
              <w:jc w:val="center"/>
              <w:rPr>
                <w:b/>
                <w:color w:val="000000"/>
                <w:sz w:val="22"/>
                <w:szCs w:val="22"/>
              </w:rPr>
            </w:pPr>
            <w:r w:rsidRPr="001A48D3">
              <w:rPr>
                <w:b/>
                <w:color w:val="000000"/>
                <w:sz w:val="22"/>
                <w:szCs w:val="22"/>
              </w:rPr>
              <w:t>Benefit</w:t>
            </w:r>
          </w:p>
        </w:tc>
        <w:tc>
          <w:tcPr>
            <w:tcW w:w="1275"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8B33FD" w:rsidRPr="001A48D3" w:rsidRDefault="008B33FD" w:rsidP="00C4701A">
            <w:pPr>
              <w:spacing w:before="120" w:after="120"/>
              <w:jc w:val="center"/>
              <w:rPr>
                <w:b/>
                <w:color w:val="000000"/>
                <w:sz w:val="22"/>
                <w:szCs w:val="22"/>
              </w:rPr>
            </w:pPr>
            <w:r w:rsidRPr="001A48D3">
              <w:rPr>
                <w:b/>
                <w:color w:val="000000"/>
                <w:sz w:val="22"/>
                <w:szCs w:val="22"/>
              </w:rPr>
              <w:t>Net benefit</w:t>
            </w:r>
          </w:p>
        </w:tc>
      </w:tr>
      <w:tr w:rsidR="008B33FD" w:rsidRPr="001A48D3" w:rsidTr="008B33FD">
        <w:trPr>
          <w:trHeight w:val="288"/>
        </w:trPr>
        <w:tc>
          <w:tcPr>
            <w:tcW w:w="861" w:type="dxa"/>
            <w:tcBorders>
              <w:top w:val="single" w:sz="4" w:space="0" w:color="auto"/>
              <w:left w:val="single" w:sz="8" w:space="0" w:color="auto"/>
              <w:bottom w:val="nil"/>
              <w:right w:val="single" w:sz="4" w:space="0" w:color="auto"/>
            </w:tcBorders>
            <w:noWrap/>
            <w:vAlign w:val="center"/>
            <w:hideMark/>
          </w:tcPr>
          <w:p w:rsidR="008B33FD" w:rsidRPr="001A48D3" w:rsidRDefault="008B33FD" w:rsidP="00C4701A">
            <w:pPr>
              <w:spacing w:before="120" w:after="120" w:line="360" w:lineRule="auto"/>
              <w:contextualSpacing/>
              <w:jc w:val="center"/>
              <w:rPr>
                <w:color w:val="000000"/>
                <w:sz w:val="18"/>
                <w:szCs w:val="18"/>
              </w:rPr>
            </w:pPr>
            <w:r w:rsidRPr="001A48D3">
              <w:rPr>
                <w:color w:val="000000"/>
                <w:sz w:val="18"/>
                <w:szCs w:val="18"/>
              </w:rPr>
              <w:t>2009</w:t>
            </w:r>
          </w:p>
        </w:tc>
        <w:tc>
          <w:tcPr>
            <w:tcW w:w="992" w:type="dxa"/>
            <w:tcBorders>
              <w:top w:val="single" w:sz="4" w:space="0" w:color="auto"/>
              <w:left w:val="nil"/>
              <w:bottom w:val="nil"/>
              <w:right w:val="single" w:sz="4" w:space="0" w:color="auto"/>
            </w:tcBorders>
            <w:noWrap/>
            <w:vAlign w:val="bottom"/>
            <w:hideMark/>
          </w:tcPr>
          <w:p w:rsidR="008B33FD" w:rsidRPr="001A48D3" w:rsidRDefault="008B33FD" w:rsidP="00C4701A">
            <w:pPr>
              <w:spacing w:before="120" w:after="120" w:line="360" w:lineRule="auto"/>
              <w:contextualSpacing/>
              <w:jc w:val="center"/>
              <w:rPr>
                <w:color w:val="000000"/>
                <w:sz w:val="18"/>
                <w:szCs w:val="18"/>
              </w:rPr>
            </w:pPr>
            <w:r w:rsidRPr="001A48D3">
              <w:rPr>
                <w:color w:val="000000"/>
                <w:sz w:val="18"/>
                <w:szCs w:val="18"/>
              </w:rPr>
              <w:t xml:space="preserve">0.0 </w:t>
            </w:r>
          </w:p>
        </w:tc>
        <w:tc>
          <w:tcPr>
            <w:tcW w:w="992" w:type="dxa"/>
            <w:tcBorders>
              <w:top w:val="single" w:sz="4" w:space="0" w:color="auto"/>
              <w:left w:val="nil"/>
              <w:bottom w:val="nil"/>
              <w:right w:val="single" w:sz="4" w:space="0" w:color="auto"/>
            </w:tcBorders>
            <w:noWrap/>
            <w:vAlign w:val="bottom"/>
            <w:hideMark/>
          </w:tcPr>
          <w:p w:rsidR="008B33FD" w:rsidRPr="001A48D3" w:rsidRDefault="008B33FD" w:rsidP="00C4701A">
            <w:pPr>
              <w:spacing w:before="120" w:after="120" w:line="360" w:lineRule="auto"/>
              <w:contextualSpacing/>
              <w:jc w:val="center"/>
              <w:rPr>
                <w:color w:val="000000"/>
                <w:sz w:val="18"/>
                <w:szCs w:val="18"/>
              </w:rPr>
            </w:pPr>
            <w:r w:rsidRPr="001A48D3">
              <w:rPr>
                <w:color w:val="000000"/>
                <w:sz w:val="18"/>
                <w:szCs w:val="18"/>
              </w:rPr>
              <w:t xml:space="preserve">0.0 </w:t>
            </w:r>
          </w:p>
        </w:tc>
        <w:tc>
          <w:tcPr>
            <w:tcW w:w="1276" w:type="dxa"/>
            <w:tcBorders>
              <w:top w:val="single" w:sz="4" w:space="0" w:color="auto"/>
              <w:left w:val="nil"/>
              <w:bottom w:val="nil"/>
              <w:right w:val="single" w:sz="4" w:space="0" w:color="auto"/>
            </w:tcBorders>
            <w:noWrap/>
            <w:vAlign w:val="bottom"/>
            <w:hideMark/>
          </w:tcPr>
          <w:p w:rsidR="008B33FD" w:rsidRPr="001A48D3" w:rsidRDefault="008B33FD" w:rsidP="00C4701A">
            <w:pPr>
              <w:spacing w:before="120" w:after="120" w:line="360" w:lineRule="auto"/>
              <w:contextualSpacing/>
              <w:jc w:val="center"/>
              <w:rPr>
                <w:color w:val="000000"/>
                <w:sz w:val="18"/>
                <w:szCs w:val="18"/>
              </w:rPr>
            </w:pPr>
            <w:r w:rsidRPr="001A48D3">
              <w:rPr>
                <w:color w:val="000000"/>
                <w:sz w:val="18"/>
                <w:szCs w:val="18"/>
              </w:rPr>
              <w:t xml:space="preserve">0.0 </w:t>
            </w:r>
          </w:p>
        </w:tc>
        <w:tc>
          <w:tcPr>
            <w:tcW w:w="1198" w:type="dxa"/>
            <w:tcBorders>
              <w:top w:val="single" w:sz="4" w:space="0" w:color="auto"/>
              <w:left w:val="nil"/>
              <w:bottom w:val="nil"/>
              <w:right w:val="single" w:sz="4" w:space="0" w:color="auto"/>
            </w:tcBorders>
            <w:noWrap/>
            <w:vAlign w:val="center"/>
            <w:hideMark/>
          </w:tcPr>
          <w:p w:rsidR="008B33FD" w:rsidRPr="001A48D3" w:rsidRDefault="008B33FD" w:rsidP="00C4701A">
            <w:pPr>
              <w:spacing w:before="120" w:after="120" w:line="360" w:lineRule="auto"/>
              <w:contextualSpacing/>
              <w:jc w:val="center"/>
              <w:rPr>
                <w:color w:val="000000"/>
                <w:sz w:val="18"/>
                <w:szCs w:val="18"/>
              </w:rPr>
            </w:pPr>
            <w:r w:rsidRPr="001A48D3">
              <w:rPr>
                <w:color w:val="000000"/>
                <w:sz w:val="18"/>
                <w:szCs w:val="18"/>
              </w:rPr>
              <w:t>1.0000</w:t>
            </w:r>
          </w:p>
        </w:tc>
        <w:tc>
          <w:tcPr>
            <w:tcW w:w="928" w:type="dxa"/>
            <w:tcBorders>
              <w:top w:val="single" w:sz="4" w:space="0" w:color="auto"/>
              <w:left w:val="nil"/>
              <w:bottom w:val="nil"/>
              <w:right w:val="single" w:sz="4" w:space="0" w:color="auto"/>
            </w:tcBorders>
            <w:noWrap/>
            <w:vAlign w:val="bottom"/>
            <w:hideMark/>
          </w:tcPr>
          <w:p w:rsidR="008B33FD" w:rsidRPr="001A48D3" w:rsidRDefault="008B33FD" w:rsidP="00C4701A">
            <w:pPr>
              <w:spacing w:before="120" w:after="120" w:line="360" w:lineRule="auto"/>
              <w:contextualSpacing/>
              <w:jc w:val="center"/>
              <w:rPr>
                <w:color w:val="000000"/>
                <w:sz w:val="18"/>
                <w:szCs w:val="18"/>
              </w:rPr>
            </w:pPr>
            <w:r w:rsidRPr="001A48D3">
              <w:rPr>
                <w:color w:val="000000"/>
                <w:sz w:val="18"/>
                <w:szCs w:val="18"/>
              </w:rPr>
              <w:t xml:space="preserve">0.0 </w:t>
            </w:r>
          </w:p>
        </w:tc>
        <w:tc>
          <w:tcPr>
            <w:tcW w:w="993" w:type="dxa"/>
            <w:tcBorders>
              <w:top w:val="single" w:sz="4" w:space="0" w:color="auto"/>
              <w:left w:val="nil"/>
              <w:bottom w:val="nil"/>
              <w:right w:val="single" w:sz="4" w:space="0" w:color="auto"/>
            </w:tcBorders>
            <w:noWrap/>
            <w:vAlign w:val="bottom"/>
            <w:hideMark/>
          </w:tcPr>
          <w:p w:rsidR="008B33FD" w:rsidRPr="001A48D3" w:rsidRDefault="008B33FD" w:rsidP="00C4701A">
            <w:pPr>
              <w:spacing w:before="120" w:after="120" w:line="360" w:lineRule="auto"/>
              <w:contextualSpacing/>
              <w:jc w:val="center"/>
              <w:rPr>
                <w:color w:val="000000"/>
                <w:sz w:val="18"/>
                <w:szCs w:val="18"/>
              </w:rPr>
            </w:pPr>
            <w:r w:rsidRPr="001A48D3">
              <w:rPr>
                <w:color w:val="000000"/>
                <w:sz w:val="18"/>
                <w:szCs w:val="18"/>
              </w:rPr>
              <w:t xml:space="preserve">0.0 </w:t>
            </w:r>
          </w:p>
        </w:tc>
        <w:tc>
          <w:tcPr>
            <w:tcW w:w="1275" w:type="dxa"/>
            <w:tcBorders>
              <w:top w:val="single" w:sz="4" w:space="0" w:color="auto"/>
              <w:left w:val="nil"/>
              <w:bottom w:val="nil"/>
              <w:right w:val="single" w:sz="4" w:space="0" w:color="auto"/>
            </w:tcBorders>
            <w:noWrap/>
            <w:vAlign w:val="bottom"/>
            <w:hideMark/>
          </w:tcPr>
          <w:p w:rsidR="008B33FD" w:rsidRPr="001A48D3" w:rsidRDefault="008B33FD" w:rsidP="00C4701A">
            <w:pPr>
              <w:spacing w:before="120" w:after="120" w:line="360" w:lineRule="auto"/>
              <w:contextualSpacing/>
              <w:jc w:val="center"/>
              <w:rPr>
                <w:color w:val="000000"/>
                <w:sz w:val="18"/>
                <w:szCs w:val="18"/>
              </w:rPr>
            </w:pPr>
            <w:r w:rsidRPr="001A48D3">
              <w:rPr>
                <w:color w:val="000000"/>
                <w:sz w:val="18"/>
                <w:szCs w:val="18"/>
              </w:rPr>
              <w:t xml:space="preserve">0.0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2010</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0.0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0.0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0.0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0.9346</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0.0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0.0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0.0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2011</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0.0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0.0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0.0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0.8734</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0.0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0.0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0.0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2012</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-56.4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12.3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-44.2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0.8163</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-46.1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10.0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-36.1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2013</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-140.0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37.2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-102.8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0.7629</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-106.8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28.4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-78.4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2014</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-162.2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64.6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-97.6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0.7130</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-115.6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46.1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-69.6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2015</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-160.9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93.9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-67.0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0.6663</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-107.2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62.6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-44.6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2016</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-166.1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125.8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-40.3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0.6227</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-103.4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78.3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-25.1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2017</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-287.8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160.4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-127.4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0.5820</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-167.5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93.4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-74.1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2018</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-282.5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197.4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-85.0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0.5439</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-153.6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107.4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-46.2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2019</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-274.7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236.7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-38.0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0.5083</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-139.6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120.3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-19.3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2020</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-261.0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277.3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16.3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0.4751</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-124.0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131.7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7.7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2021</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-240.2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318.7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78.5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0.4440</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-106.7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141.5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34.9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2022</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-214.5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358.7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144.2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0.4150</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-89.0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148.9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59.9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2023</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-188.1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398.4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210.2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0.3878</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-73.0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154.5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81.5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2024</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-161.3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441.3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280.0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0.3624</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-58.5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160.0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101.5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2025</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-134.0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484.5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350.5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0.3387</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-45.4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164.1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118.7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2026</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-106.2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527.4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421.2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0.3166</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-33.6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167.0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133.3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2027</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-78.5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568.5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490.1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0.2959</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-23.2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168.2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145.0 </w:t>
            </w:r>
          </w:p>
        </w:tc>
      </w:tr>
      <w:tr w:rsidR="008B33FD" w:rsidRPr="001A48D3" w:rsidTr="008B33FD">
        <w:trPr>
          <w:trHeight w:val="288"/>
        </w:trPr>
        <w:tc>
          <w:tcPr>
            <w:tcW w:w="861" w:type="dxa"/>
            <w:tcBorders>
              <w:top w:val="nil"/>
              <w:left w:val="single" w:sz="8" w:space="0" w:color="auto"/>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2028</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-51.2 </w:t>
            </w:r>
          </w:p>
        </w:tc>
        <w:tc>
          <w:tcPr>
            <w:tcW w:w="992"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608.2 </w:t>
            </w:r>
          </w:p>
        </w:tc>
        <w:tc>
          <w:tcPr>
            <w:tcW w:w="1276"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557.0 </w:t>
            </w:r>
          </w:p>
        </w:tc>
        <w:tc>
          <w:tcPr>
            <w:tcW w:w="1198" w:type="dxa"/>
            <w:tcBorders>
              <w:top w:val="nil"/>
              <w:left w:val="nil"/>
              <w:bottom w:val="nil"/>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0.2765</w:t>
            </w:r>
          </w:p>
        </w:tc>
        <w:tc>
          <w:tcPr>
            <w:tcW w:w="928"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-14.2 </w:t>
            </w:r>
          </w:p>
        </w:tc>
        <w:tc>
          <w:tcPr>
            <w:tcW w:w="993"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168.2 </w:t>
            </w:r>
          </w:p>
        </w:tc>
        <w:tc>
          <w:tcPr>
            <w:tcW w:w="1275" w:type="dxa"/>
            <w:tcBorders>
              <w:top w:val="nil"/>
              <w:left w:val="nil"/>
              <w:bottom w:val="nil"/>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154.0 </w:t>
            </w:r>
          </w:p>
        </w:tc>
      </w:tr>
      <w:tr w:rsidR="008B33FD" w:rsidRPr="001A48D3" w:rsidTr="008B33FD">
        <w:trPr>
          <w:trHeight w:val="288"/>
        </w:trPr>
        <w:tc>
          <w:tcPr>
            <w:tcW w:w="861" w:type="dxa"/>
            <w:tcBorders>
              <w:top w:val="nil"/>
              <w:left w:val="single" w:sz="8" w:space="0" w:color="auto"/>
              <w:bottom w:val="single" w:sz="4" w:space="0" w:color="auto"/>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2029</w:t>
            </w:r>
          </w:p>
        </w:tc>
        <w:tc>
          <w:tcPr>
            <w:tcW w:w="992" w:type="dxa"/>
            <w:tcBorders>
              <w:top w:val="nil"/>
              <w:left w:val="nil"/>
              <w:bottom w:val="single" w:sz="4" w:space="0" w:color="auto"/>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-24.9 </w:t>
            </w:r>
          </w:p>
        </w:tc>
        <w:tc>
          <w:tcPr>
            <w:tcW w:w="992" w:type="dxa"/>
            <w:tcBorders>
              <w:top w:val="nil"/>
              <w:left w:val="nil"/>
              <w:bottom w:val="single" w:sz="4" w:space="0" w:color="auto"/>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646.4 </w:t>
            </w:r>
          </w:p>
        </w:tc>
        <w:tc>
          <w:tcPr>
            <w:tcW w:w="1276" w:type="dxa"/>
            <w:tcBorders>
              <w:top w:val="nil"/>
              <w:left w:val="nil"/>
              <w:bottom w:val="single" w:sz="4" w:space="0" w:color="auto"/>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621.5 </w:t>
            </w:r>
          </w:p>
        </w:tc>
        <w:tc>
          <w:tcPr>
            <w:tcW w:w="1198" w:type="dxa"/>
            <w:tcBorders>
              <w:top w:val="nil"/>
              <w:left w:val="nil"/>
              <w:bottom w:val="single" w:sz="4" w:space="0" w:color="auto"/>
              <w:right w:val="single" w:sz="4" w:space="0" w:color="auto"/>
            </w:tcBorders>
            <w:noWrap/>
            <w:vAlign w:val="center"/>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0.2584</w:t>
            </w:r>
          </w:p>
        </w:tc>
        <w:tc>
          <w:tcPr>
            <w:tcW w:w="928" w:type="dxa"/>
            <w:tcBorders>
              <w:top w:val="nil"/>
              <w:left w:val="nil"/>
              <w:bottom w:val="single" w:sz="4" w:space="0" w:color="auto"/>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-6.4 </w:t>
            </w:r>
          </w:p>
        </w:tc>
        <w:tc>
          <w:tcPr>
            <w:tcW w:w="993" w:type="dxa"/>
            <w:tcBorders>
              <w:top w:val="nil"/>
              <w:left w:val="nil"/>
              <w:bottom w:val="single" w:sz="4" w:space="0" w:color="auto"/>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167.0 </w:t>
            </w:r>
          </w:p>
        </w:tc>
        <w:tc>
          <w:tcPr>
            <w:tcW w:w="1275" w:type="dxa"/>
            <w:tcBorders>
              <w:top w:val="nil"/>
              <w:left w:val="nil"/>
              <w:bottom w:val="single" w:sz="4" w:space="0" w:color="auto"/>
              <w:right w:val="single" w:sz="4" w:space="0" w:color="auto"/>
            </w:tcBorders>
            <w:noWrap/>
            <w:vAlign w:val="bottom"/>
            <w:hideMark/>
          </w:tcPr>
          <w:p w:rsidR="008B33FD" w:rsidRPr="001A48D3" w:rsidRDefault="008B33FD" w:rsidP="00C4701A">
            <w:pPr>
              <w:spacing w:after="120" w:line="360" w:lineRule="auto"/>
              <w:contextualSpacing/>
              <w:jc w:val="center"/>
              <w:rPr>
                <w:color w:val="000000"/>
                <w:sz w:val="18"/>
                <w:szCs w:val="18"/>
              </w:rPr>
            </w:pPr>
            <w:r w:rsidRPr="001A48D3">
              <w:rPr>
                <w:color w:val="000000"/>
                <w:sz w:val="18"/>
                <w:szCs w:val="18"/>
              </w:rPr>
              <w:t xml:space="preserve">160.6 </w:t>
            </w:r>
          </w:p>
        </w:tc>
      </w:tr>
      <w:tr w:rsidR="008B33FD" w:rsidRPr="001A48D3" w:rsidTr="008B33FD">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B33FD" w:rsidRPr="001A48D3" w:rsidRDefault="008B33FD" w:rsidP="00C4701A">
            <w:pPr>
              <w:spacing w:before="120" w:after="120"/>
              <w:jc w:val="center"/>
              <w:rPr>
                <w:b/>
                <w:bCs/>
                <w:color w:val="000000"/>
                <w:sz w:val="22"/>
                <w:szCs w:val="22"/>
              </w:rPr>
            </w:pPr>
            <w:r w:rsidRPr="001A48D3">
              <w:rPr>
                <w:b/>
                <w:bCs/>
                <w:color w:val="000000"/>
                <w:sz w:val="22"/>
                <w:szCs w:val="22"/>
              </w:rPr>
              <w:t>Total</w:t>
            </w:r>
          </w:p>
        </w:tc>
        <w:tc>
          <w:tcPr>
            <w:tcW w:w="992"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autoSpaceDE w:val="0"/>
              <w:autoSpaceDN w:val="0"/>
              <w:adjustRightInd w:val="0"/>
              <w:spacing w:before="120" w:after="120"/>
              <w:jc w:val="center"/>
              <w:rPr>
                <w:rFonts w:cs="Calibri"/>
                <w:b/>
                <w:bCs/>
                <w:color w:val="000000"/>
                <w:sz w:val="22"/>
                <w:szCs w:val="22"/>
              </w:rPr>
            </w:pPr>
            <w:r w:rsidRPr="001A48D3">
              <w:rPr>
                <w:rFonts w:cs="Calibri"/>
                <w:b/>
                <w:bCs/>
                <w:color w:val="000000"/>
                <w:sz w:val="22"/>
                <w:szCs w:val="22"/>
              </w:rPr>
              <w:t>-2,990.5</w:t>
            </w:r>
          </w:p>
        </w:tc>
        <w:tc>
          <w:tcPr>
            <w:tcW w:w="992"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autoSpaceDE w:val="0"/>
              <w:autoSpaceDN w:val="0"/>
              <w:adjustRightInd w:val="0"/>
              <w:spacing w:before="120" w:after="120"/>
              <w:jc w:val="center"/>
              <w:rPr>
                <w:rFonts w:cs="Calibri"/>
                <w:b/>
                <w:bCs/>
                <w:color w:val="000000"/>
                <w:sz w:val="22"/>
                <w:szCs w:val="22"/>
              </w:rPr>
            </w:pPr>
            <w:r w:rsidRPr="001A48D3">
              <w:rPr>
                <w:rFonts w:cs="Calibri"/>
                <w:b/>
                <w:bCs/>
                <w:color w:val="000000"/>
                <w:sz w:val="22"/>
                <w:szCs w:val="22"/>
              </w:rPr>
              <w:t>5,557.8</w:t>
            </w:r>
          </w:p>
        </w:tc>
        <w:tc>
          <w:tcPr>
            <w:tcW w:w="1276"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autoSpaceDE w:val="0"/>
              <w:autoSpaceDN w:val="0"/>
              <w:adjustRightInd w:val="0"/>
              <w:spacing w:before="120" w:after="120"/>
              <w:jc w:val="center"/>
              <w:rPr>
                <w:rFonts w:cs="Calibri"/>
                <w:b/>
                <w:bCs/>
                <w:color w:val="000000"/>
                <w:sz w:val="22"/>
                <w:szCs w:val="22"/>
              </w:rPr>
            </w:pPr>
            <w:r w:rsidRPr="001A48D3">
              <w:rPr>
                <w:rFonts w:cs="Calibri"/>
                <w:b/>
                <w:bCs/>
                <w:color w:val="000000"/>
                <w:sz w:val="22"/>
                <w:szCs w:val="22"/>
              </w:rPr>
              <w:t>2,567.3</w:t>
            </w:r>
          </w:p>
        </w:tc>
        <w:tc>
          <w:tcPr>
            <w:tcW w:w="1198"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spacing w:before="120" w:after="120"/>
              <w:jc w:val="center"/>
              <w:rPr>
                <w:b/>
                <w:bCs/>
                <w:color w:val="000000"/>
                <w:sz w:val="22"/>
                <w:szCs w:val="22"/>
              </w:rPr>
            </w:pPr>
          </w:p>
        </w:tc>
        <w:tc>
          <w:tcPr>
            <w:tcW w:w="928"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autoSpaceDE w:val="0"/>
              <w:autoSpaceDN w:val="0"/>
              <w:adjustRightInd w:val="0"/>
              <w:spacing w:before="120" w:after="120"/>
              <w:jc w:val="center"/>
              <w:rPr>
                <w:rFonts w:cs="Calibri"/>
                <w:b/>
                <w:bCs/>
                <w:color w:val="000000"/>
                <w:sz w:val="22"/>
                <w:szCs w:val="22"/>
              </w:rPr>
            </w:pPr>
            <w:r w:rsidRPr="001A48D3">
              <w:rPr>
                <w:rFonts w:cs="Calibri"/>
                <w:b/>
                <w:bCs/>
                <w:color w:val="000000"/>
                <w:sz w:val="22"/>
                <w:szCs w:val="22"/>
              </w:rPr>
              <w:t>-1,513.9</w:t>
            </w:r>
          </w:p>
        </w:tc>
        <w:tc>
          <w:tcPr>
            <w:tcW w:w="993"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autoSpaceDE w:val="0"/>
              <w:autoSpaceDN w:val="0"/>
              <w:adjustRightInd w:val="0"/>
              <w:spacing w:before="120" w:after="120"/>
              <w:jc w:val="center"/>
              <w:rPr>
                <w:rFonts w:cs="Calibri"/>
                <w:b/>
                <w:bCs/>
                <w:color w:val="000000"/>
                <w:sz w:val="22"/>
                <w:szCs w:val="22"/>
              </w:rPr>
            </w:pPr>
            <w:r w:rsidRPr="001A48D3">
              <w:rPr>
                <w:rFonts w:cs="Calibri"/>
                <w:b/>
                <w:bCs/>
                <w:color w:val="000000"/>
                <w:sz w:val="22"/>
                <w:szCs w:val="22"/>
              </w:rPr>
              <w:t>2,117.5</w:t>
            </w:r>
          </w:p>
        </w:tc>
        <w:tc>
          <w:tcPr>
            <w:tcW w:w="1275" w:type="dxa"/>
            <w:tcBorders>
              <w:top w:val="single" w:sz="4" w:space="0" w:color="auto"/>
              <w:left w:val="nil"/>
              <w:bottom w:val="single" w:sz="4" w:space="0" w:color="auto"/>
              <w:right w:val="single" w:sz="4" w:space="0" w:color="auto"/>
            </w:tcBorders>
            <w:shd w:val="clear" w:color="000000" w:fill="DDD9C3"/>
            <w:noWrap/>
            <w:vAlign w:val="center"/>
            <w:hideMark/>
          </w:tcPr>
          <w:p w:rsidR="008B33FD" w:rsidRPr="001A48D3" w:rsidRDefault="008B33FD" w:rsidP="00C4701A">
            <w:pPr>
              <w:autoSpaceDE w:val="0"/>
              <w:autoSpaceDN w:val="0"/>
              <w:adjustRightInd w:val="0"/>
              <w:spacing w:before="120" w:after="120"/>
              <w:jc w:val="center"/>
              <w:rPr>
                <w:rFonts w:cs="Calibri"/>
                <w:b/>
                <w:bCs/>
                <w:color w:val="000000"/>
                <w:sz w:val="22"/>
                <w:szCs w:val="22"/>
              </w:rPr>
            </w:pPr>
            <w:r w:rsidRPr="001A48D3">
              <w:rPr>
                <w:rFonts w:cs="Calibri"/>
                <w:b/>
                <w:bCs/>
                <w:color w:val="000000"/>
                <w:sz w:val="22"/>
                <w:szCs w:val="22"/>
              </w:rPr>
              <w:t>603.6</w:t>
            </w:r>
          </w:p>
        </w:tc>
      </w:tr>
      <w:tr w:rsidR="008B33FD" w:rsidRPr="001A48D3" w:rsidTr="008B33FD">
        <w:trPr>
          <w:trHeight w:val="324"/>
        </w:trPr>
        <w:tc>
          <w:tcPr>
            <w:tcW w:w="4121" w:type="dxa"/>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8B33FD" w:rsidRPr="001A48D3" w:rsidRDefault="008B33FD" w:rsidP="00C4701A">
            <w:pPr>
              <w:spacing w:before="120" w:after="120"/>
              <w:rPr>
                <w:b/>
                <w:bCs/>
                <w:color w:val="000000"/>
                <w:sz w:val="22"/>
                <w:szCs w:val="22"/>
              </w:rPr>
            </w:pPr>
            <w:r w:rsidRPr="001A48D3">
              <w:rPr>
                <w:b/>
                <w:bCs/>
                <w:color w:val="000000"/>
                <w:sz w:val="22"/>
                <w:szCs w:val="22"/>
              </w:rPr>
              <w:t xml:space="preserve">Benefit–cost Ratio = </w:t>
            </w:r>
            <w:r w:rsidR="00F61EC0" w:rsidRPr="001A48D3">
              <w:rPr>
                <w:b/>
                <w:bCs/>
                <w:color w:val="000000"/>
                <w:sz w:val="22"/>
                <w:szCs w:val="22"/>
              </w:rPr>
              <w:tab/>
            </w:r>
            <w:r w:rsidR="00F61EC0" w:rsidRPr="001A48D3">
              <w:rPr>
                <w:b/>
                <w:bCs/>
                <w:color w:val="000000"/>
                <w:sz w:val="22"/>
                <w:szCs w:val="22"/>
              </w:rPr>
              <w:tab/>
            </w:r>
            <w:r w:rsidRPr="001A48D3">
              <w:rPr>
                <w:b/>
                <w:bCs/>
                <w:color w:val="000000"/>
                <w:sz w:val="22"/>
                <w:szCs w:val="22"/>
              </w:rPr>
              <w:t>1.40</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DE9D9"/>
            <w:vAlign w:val="bottom"/>
          </w:tcPr>
          <w:p w:rsidR="008B33FD" w:rsidRPr="001A48D3" w:rsidRDefault="008B33FD" w:rsidP="00C4701A">
            <w:pPr>
              <w:spacing w:before="120" w:after="120"/>
              <w:rPr>
                <w:b/>
                <w:bCs/>
                <w:color w:val="000000"/>
                <w:sz w:val="22"/>
                <w:szCs w:val="22"/>
              </w:rPr>
            </w:pPr>
            <w:r w:rsidRPr="001A48D3">
              <w:rPr>
                <w:b/>
                <w:bCs/>
                <w:color w:val="000000"/>
                <w:sz w:val="22"/>
                <w:szCs w:val="22"/>
              </w:rPr>
              <w:t xml:space="preserve">NPV = </w:t>
            </w:r>
            <w:r w:rsidRPr="001A48D3">
              <w:rPr>
                <w:b/>
                <w:bCs/>
                <w:color w:val="000000"/>
                <w:sz w:val="22"/>
                <w:szCs w:val="22"/>
              </w:rPr>
              <w:tab/>
            </w:r>
            <w:r w:rsidRPr="001A48D3">
              <w:rPr>
                <w:b/>
                <w:bCs/>
                <w:color w:val="000000"/>
                <w:sz w:val="22"/>
                <w:szCs w:val="22"/>
              </w:rPr>
              <w:tab/>
            </w:r>
            <w:r w:rsidRPr="001A48D3">
              <w:rPr>
                <w:b/>
                <w:bCs/>
                <w:color w:val="000000"/>
                <w:sz w:val="22"/>
                <w:szCs w:val="22"/>
              </w:rPr>
              <w:tab/>
            </w:r>
            <w:r w:rsidRPr="001A48D3">
              <w:rPr>
                <w:b/>
                <w:bCs/>
                <w:color w:val="000000"/>
                <w:sz w:val="22"/>
                <w:szCs w:val="22"/>
              </w:rPr>
              <w:tab/>
              <w:t>$604m</w:t>
            </w:r>
          </w:p>
        </w:tc>
      </w:tr>
    </w:tbl>
    <w:p w:rsidR="00361D22" w:rsidRDefault="00F52248" w:rsidP="00B52F7D">
      <w:r w:rsidRPr="001A48D3">
        <w:br w:type="page"/>
      </w:r>
    </w:p>
    <w:p w:rsidR="00F52248" w:rsidRPr="001A48D3" w:rsidRDefault="00F52248" w:rsidP="00B52F7D">
      <w:pPr>
        <w:pStyle w:val="Heading3"/>
      </w:pPr>
      <w:bookmarkStart w:id="80" w:name="_Toc430182538"/>
      <w:r w:rsidRPr="001A48D3">
        <w:lastRenderedPageBreak/>
        <w:t xml:space="preserve">Table </w:t>
      </w:r>
      <w:r w:rsidR="006F4E2D" w:rsidRPr="001A48D3">
        <w:t>12</w:t>
      </w:r>
      <w:r w:rsidRPr="001A48D3">
        <w:tab/>
        <w:t xml:space="preserve">Summary of Net Benefit for </w:t>
      </w:r>
      <w:r w:rsidR="00177AEF" w:rsidRPr="001A48D3">
        <w:t>Option 4</w:t>
      </w:r>
      <w:bookmarkEnd w:id="80"/>
      <w:r w:rsidR="00984247" w:rsidRPr="001A48D3">
        <w:t xml:space="preserve"> </w:t>
      </w:r>
    </w:p>
    <w:tbl>
      <w:tblPr>
        <w:tblW w:w="8515" w:type="dxa"/>
        <w:tblInd w:w="98" w:type="dxa"/>
        <w:tblLook w:val="04A0" w:firstRow="1" w:lastRow="0" w:firstColumn="1" w:lastColumn="0" w:noHBand="0" w:noVBand="1"/>
      </w:tblPr>
      <w:tblGrid>
        <w:gridCol w:w="861"/>
        <w:gridCol w:w="992"/>
        <w:gridCol w:w="733"/>
        <w:gridCol w:w="259"/>
        <w:gridCol w:w="1276"/>
        <w:gridCol w:w="1198"/>
        <w:gridCol w:w="928"/>
        <w:gridCol w:w="284"/>
        <w:gridCol w:w="709"/>
        <w:gridCol w:w="1275"/>
      </w:tblGrid>
      <w:tr w:rsidR="00F52248" w:rsidRPr="001A48D3" w:rsidTr="00153F3E">
        <w:trPr>
          <w:trHeight w:val="288"/>
          <w:tblHeader/>
        </w:trPr>
        <w:tc>
          <w:tcPr>
            <w:tcW w:w="861" w:type="dxa"/>
            <w:vMerge w:val="restart"/>
            <w:tcBorders>
              <w:top w:val="single" w:sz="8" w:space="0" w:color="auto"/>
              <w:left w:val="single" w:sz="8" w:space="0" w:color="auto"/>
              <w:bottom w:val="single" w:sz="8" w:space="0" w:color="auto"/>
              <w:right w:val="single" w:sz="8" w:space="0" w:color="auto"/>
            </w:tcBorders>
            <w:shd w:val="clear" w:color="auto" w:fill="FFC000"/>
            <w:noWrap/>
            <w:vAlign w:val="center"/>
            <w:hideMark/>
          </w:tcPr>
          <w:p w:rsidR="00F52248" w:rsidRPr="001A48D3" w:rsidRDefault="00F52248" w:rsidP="00C4701A">
            <w:pPr>
              <w:spacing w:before="120" w:after="120"/>
              <w:jc w:val="center"/>
              <w:rPr>
                <w:b/>
                <w:bCs/>
                <w:color w:val="000000"/>
                <w:sz w:val="22"/>
                <w:szCs w:val="22"/>
              </w:rPr>
            </w:pPr>
            <w:r w:rsidRPr="001A48D3">
              <w:rPr>
                <w:b/>
                <w:bCs/>
                <w:color w:val="000000"/>
                <w:sz w:val="22"/>
                <w:szCs w:val="22"/>
              </w:rPr>
              <w:t>Year</w:t>
            </w:r>
          </w:p>
        </w:tc>
        <w:tc>
          <w:tcPr>
            <w:tcW w:w="3260" w:type="dxa"/>
            <w:gridSpan w:val="4"/>
            <w:tcBorders>
              <w:top w:val="single" w:sz="8" w:space="0" w:color="auto"/>
              <w:left w:val="single" w:sz="8" w:space="0" w:color="auto"/>
              <w:bottom w:val="single" w:sz="8" w:space="0" w:color="auto"/>
              <w:right w:val="single" w:sz="8" w:space="0" w:color="auto"/>
            </w:tcBorders>
            <w:shd w:val="clear" w:color="auto" w:fill="FFC000"/>
            <w:noWrap/>
            <w:vAlign w:val="center"/>
            <w:hideMark/>
          </w:tcPr>
          <w:p w:rsidR="00F52248" w:rsidRPr="001A48D3" w:rsidRDefault="00F52248" w:rsidP="00C4701A">
            <w:pPr>
              <w:spacing w:before="120" w:after="120"/>
              <w:jc w:val="center"/>
              <w:rPr>
                <w:b/>
                <w:bCs/>
                <w:color w:val="000000"/>
                <w:sz w:val="22"/>
                <w:szCs w:val="22"/>
              </w:rPr>
            </w:pPr>
            <w:r w:rsidRPr="001A48D3">
              <w:rPr>
                <w:b/>
                <w:bCs/>
                <w:color w:val="000000"/>
                <w:sz w:val="22"/>
                <w:szCs w:val="22"/>
              </w:rPr>
              <w:t xml:space="preserve">Undiscounted Cash Flow </w:t>
            </w:r>
          </w:p>
          <w:p w:rsidR="00F52248" w:rsidRPr="001A48D3" w:rsidRDefault="00F52248" w:rsidP="00C4701A">
            <w:pPr>
              <w:spacing w:before="120" w:after="120"/>
              <w:jc w:val="center"/>
              <w:rPr>
                <w:b/>
                <w:bCs/>
                <w:color w:val="000000"/>
                <w:sz w:val="22"/>
                <w:szCs w:val="22"/>
              </w:rPr>
            </w:pPr>
            <w:r w:rsidRPr="001A48D3">
              <w:rPr>
                <w:b/>
                <w:bCs/>
                <w:color w:val="000000"/>
                <w:sz w:val="22"/>
                <w:szCs w:val="22"/>
              </w:rPr>
              <w:t>($m, in 2009 prices)</w:t>
            </w:r>
          </w:p>
        </w:tc>
        <w:tc>
          <w:tcPr>
            <w:tcW w:w="1198" w:type="dxa"/>
            <w:tcBorders>
              <w:top w:val="single" w:sz="8" w:space="0" w:color="auto"/>
              <w:left w:val="single" w:sz="8" w:space="0" w:color="auto"/>
              <w:bottom w:val="single" w:sz="8" w:space="0" w:color="auto"/>
              <w:right w:val="single" w:sz="8" w:space="0" w:color="auto"/>
            </w:tcBorders>
            <w:shd w:val="clear" w:color="auto" w:fill="FFC000"/>
            <w:noWrap/>
            <w:vAlign w:val="center"/>
            <w:hideMark/>
          </w:tcPr>
          <w:p w:rsidR="00F52248" w:rsidRPr="001A48D3" w:rsidRDefault="00F52248" w:rsidP="00C4701A">
            <w:pPr>
              <w:spacing w:before="120" w:after="120"/>
              <w:jc w:val="center"/>
              <w:rPr>
                <w:b/>
                <w:bCs/>
                <w:color w:val="000000"/>
                <w:sz w:val="22"/>
                <w:szCs w:val="22"/>
              </w:rPr>
            </w:pPr>
            <w:r w:rsidRPr="001A48D3">
              <w:rPr>
                <w:b/>
                <w:bCs/>
                <w:color w:val="000000"/>
                <w:sz w:val="22"/>
                <w:szCs w:val="22"/>
              </w:rPr>
              <w:t>Discount Factor</w:t>
            </w:r>
          </w:p>
        </w:tc>
        <w:tc>
          <w:tcPr>
            <w:tcW w:w="3196" w:type="dxa"/>
            <w:gridSpan w:val="4"/>
            <w:tcBorders>
              <w:top w:val="single" w:sz="8" w:space="0" w:color="auto"/>
              <w:left w:val="single" w:sz="8" w:space="0" w:color="auto"/>
              <w:bottom w:val="single" w:sz="8" w:space="0" w:color="auto"/>
              <w:right w:val="single" w:sz="8" w:space="0" w:color="auto"/>
            </w:tcBorders>
            <w:shd w:val="clear" w:color="auto" w:fill="FFC000"/>
            <w:noWrap/>
            <w:vAlign w:val="center"/>
            <w:hideMark/>
          </w:tcPr>
          <w:p w:rsidR="00F52248" w:rsidRPr="001A48D3" w:rsidRDefault="00F52248" w:rsidP="00C4701A">
            <w:pPr>
              <w:spacing w:before="120" w:after="120"/>
              <w:jc w:val="center"/>
              <w:rPr>
                <w:b/>
                <w:bCs/>
                <w:color w:val="000000"/>
                <w:sz w:val="22"/>
                <w:szCs w:val="22"/>
              </w:rPr>
            </w:pPr>
            <w:r w:rsidRPr="001A48D3">
              <w:rPr>
                <w:b/>
                <w:bCs/>
                <w:color w:val="000000"/>
                <w:sz w:val="22"/>
                <w:szCs w:val="22"/>
              </w:rPr>
              <w:t>Discounted Cash Flow ($m)</w:t>
            </w:r>
          </w:p>
          <w:p w:rsidR="00F52248" w:rsidRPr="001A48D3" w:rsidRDefault="00F52248" w:rsidP="00C4701A">
            <w:pPr>
              <w:spacing w:before="120" w:after="120"/>
              <w:jc w:val="center"/>
              <w:rPr>
                <w:b/>
                <w:bCs/>
                <w:color w:val="000000"/>
                <w:sz w:val="22"/>
                <w:szCs w:val="22"/>
              </w:rPr>
            </w:pPr>
            <w:r w:rsidRPr="001A48D3">
              <w:rPr>
                <w:b/>
                <w:bCs/>
                <w:color w:val="000000"/>
                <w:sz w:val="22"/>
                <w:szCs w:val="22"/>
              </w:rPr>
              <w:t>($m, in 2009 prices)</w:t>
            </w:r>
          </w:p>
        </w:tc>
      </w:tr>
      <w:tr w:rsidR="00F52248" w:rsidRPr="001A48D3" w:rsidTr="00153F3E">
        <w:trPr>
          <w:trHeight w:val="288"/>
          <w:tblHeader/>
        </w:trPr>
        <w:tc>
          <w:tcPr>
            <w:tcW w:w="861" w:type="dxa"/>
            <w:vMerge/>
            <w:tcBorders>
              <w:top w:val="single" w:sz="8" w:space="0" w:color="auto"/>
              <w:left w:val="single" w:sz="8" w:space="0" w:color="auto"/>
              <w:bottom w:val="single" w:sz="8" w:space="0" w:color="auto"/>
              <w:right w:val="single" w:sz="8" w:space="0" w:color="auto"/>
            </w:tcBorders>
            <w:shd w:val="clear" w:color="auto" w:fill="FFC000"/>
            <w:noWrap/>
            <w:vAlign w:val="bottom"/>
            <w:hideMark/>
          </w:tcPr>
          <w:p w:rsidR="00F52248" w:rsidRPr="001A48D3" w:rsidRDefault="00F52248" w:rsidP="00C4701A">
            <w:pPr>
              <w:spacing w:before="120" w:after="120"/>
              <w:jc w:val="center"/>
              <w:rPr>
                <w:b/>
                <w:bCs/>
                <w:color w:val="000000"/>
                <w:sz w:val="22"/>
                <w:szCs w:val="22"/>
              </w:rPr>
            </w:pPr>
          </w:p>
        </w:tc>
        <w:tc>
          <w:tcPr>
            <w:tcW w:w="992" w:type="dxa"/>
            <w:tcBorders>
              <w:top w:val="single" w:sz="8" w:space="0" w:color="auto"/>
              <w:left w:val="single" w:sz="8" w:space="0" w:color="auto"/>
              <w:bottom w:val="single" w:sz="8" w:space="0" w:color="auto"/>
              <w:right w:val="single" w:sz="8" w:space="0" w:color="auto"/>
            </w:tcBorders>
            <w:shd w:val="clear" w:color="auto" w:fill="FFC000"/>
            <w:noWrap/>
            <w:vAlign w:val="bottom"/>
            <w:hideMark/>
          </w:tcPr>
          <w:p w:rsidR="00F52248" w:rsidRPr="001A48D3" w:rsidRDefault="00F52248" w:rsidP="00C4701A">
            <w:pPr>
              <w:spacing w:before="120" w:after="120"/>
              <w:jc w:val="center"/>
              <w:rPr>
                <w:b/>
                <w:bCs/>
                <w:color w:val="000000"/>
                <w:sz w:val="22"/>
                <w:szCs w:val="22"/>
              </w:rPr>
            </w:pPr>
            <w:r w:rsidRPr="001A48D3">
              <w:rPr>
                <w:b/>
                <w:bCs/>
                <w:color w:val="000000"/>
                <w:sz w:val="22"/>
                <w:szCs w:val="22"/>
              </w:rPr>
              <w:t>Cost</w:t>
            </w:r>
          </w:p>
        </w:tc>
        <w:tc>
          <w:tcPr>
            <w:tcW w:w="992" w:type="dxa"/>
            <w:gridSpan w:val="2"/>
            <w:tcBorders>
              <w:top w:val="single" w:sz="8" w:space="0" w:color="auto"/>
              <w:left w:val="single" w:sz="8" w:space="0" w:color="auto"/>
              <w:bottom w:val="single" w:sz="8" w:space="0" w:color="auto"/>
              <w:right w:val="single" w:sz="8" w:space="0" w:color="auto"/>
            </w:tcBorders>
            <w:shd w:val="clear" w:color="auto" w:fill="FFC000"/>
            <w:noWrap/>
            <w:vAlign w:val="bottom"/>
            <w:hideMark/>
          </w:tcPr>
          <w:p w:rsidR="00F52248" w:rsidRPr="001A48D3" w:rsidRDefault="00F52248" w:rsidP="00C4701A">
            <w:pPr>
              <w:spacing w:before="120" w:after="120"/>
              <w:jc w:val="center"/>
              <w:rPr>
                <w:b/>
                <w:bCs/>
                <w:color w:val="000000"/>
                <w:sz w:val="22"/>
                <w:szCs w:val="22"/>
              </w:rPr>
            </w:pPr>
            <w:r w:rsidRPr="001A48D3">
              <w:rPr>
                <w:b/>
                <w:bCs/>
                <w:color w:val="000000"/>
                <w:sz w:val="22"/>
                <w:szCs w:val="22"/>
              </w:rPr>
              <w:t>Benefit</w:t>
            </w:r>
          </w:p>
        </w:tc>
        <w:tc>
          <w:tcPr>
            <w:tcW w:w="1276" w:type="dxa"/>
            <w:tcBorders>
              <w:top w:val="single" w:sz="8" w:space="0" w:color="auto"/>
              <w:left w:val="single" w:sz="8" w:space="0" w:color="auto"/>
              <w:bottom w:val="single" w:sz="8" w:space="0" w:color="auto"/>
              <w:right w:val="single" w:sz="8" w:space="0" w:color="auto"/>
            </w:tcBorders>
            <w:shd w:val="clear" w:color="auto" w:fill="FFC000"/>
            <w:noWrap/>
            <w:vAlign w:val="bottom"/>
            <w:hideMark/>
          </w:tcPr>
          <w:p w:rsidR="00F52248" w:rsidRPr="001A48D3" w:rsidRDefault="00F52248" w:rsidP="00C4701A">
            <w:pPr>
              <w:spacing w:before="120" w:after="120"/>
              <w:jc w:val="center"/>
              <w:rPr>
                <w:b/>
                <w:bCs/>
                <w:color w:val="000000"/>
                <w:sz w:val="22"/>
                <w:szCs w:val="22"/>
              </w:rPr>
            </w:pPr>
            <w:r w:rsidRPr="001A48D3">
              <w:rPr>
                <w:b/>
                <w:bCs/>
                <w:color w:val="000000"/>
                <w:sz w:val="22"/>
                <w:szCs w:val="22"/>
              </w:rPr>
              <w:t>Net benefit</w:t>
            </w:r>
          </w:p>
        </w:tc>
        <w:tc>
          <w:tcPr>
            <w:tcW w:w="1198" w:type="dxa"/>
            <w:tcBorders>
              <w:top w:val="single" w:sz="8" w:space="0" w:color="auto"/>
              <w:left w:val="single" w:sz="8" w:space="0" w:color="auto"/>
              <w:bottom w:val="single" w:sz="8" w:space="0" w:color="auto"/>
              <w:right w:val="single" w:sz="8" w:space="0" w:color="auto"/>
            </w:tcBorders>
            <w:shd w:val="clear" w:color="auto" w:fill="FFC000"/>
            <w:noWrap/>
            <w:vAlign w:val="bottom"/>
            <w:hideMark/>
          </w:tcPr>
          <w:p w:rsidR="00F52248" w:rsidRPr="001A48D3" w:rsidRDefault="00F52248" w:rsidP="00C4701A">
            <w:pPr>
              <w:spacing w:before="120" w:after="120"/>
              <w:jc w:val="center"/>
              <w:rPr>
                <w:b/>
                <w:bCs/>
                <w:color w:val="000000"/>
                <w:sz w:val="22"/>
                <w:szCs w:val="22"/>
              </w:rPr>
            </w:pPr>
            <w:r w:rsidRPr="001A48D3">
              <w:rPr>
                <w:b/>
                <w:bCs/>
                <w:color w:val="000000"/>
                <w:sz w:val="22"/>
                <w:szCs w:val="22"/>
              </w:rPr>
              <w:t>(7%)</w:t>
            </w:r>
          </w:p>
        </w:tc>
        <w:tc>
          <w:tcPr>
            <w:tcW w:w="928" w:type="dxa"/>
            <w:tcBorders>
              <w:top w:val="single" w:sz="8" w:space="0" w:color="auto"/>
              <w:left w:val="single" w:sz="8" w:space="0" w:color="auto"/>
              <w:bottom w:val="single" w:sz="8" w:space="0" w:color="auto"/>
              <w:right w:val="single" w:sz="8" w:space="0" w:color="auto"/>
            </w:tcBorders>
            <w:shd w:val="clear" w:color="auto" w:fill="FFC000"/>
            <w:noWrap/>
            <w:vAlign w:val="bottom"/>
            <w:hideMark/>
          </w:tcPr>
          <w:p w:rsidR="00F52248" w:rsidRPr="001A48D3" w:rsidRDefault="00F52248" w:rsidP="00C4701A">
            <w:pPr>
              <w:spacing w:before="120" w:after="120"/>
              <w:jc w:val="center"/>
              <w:rPr>
                <w:b/>
                <w:bCs/>
                <w:color w:val="000000"/>
                <w:sz w:val="22"/>
                <w:szCs w:val="22"/>
              </w:rPr>
            </w:pPr>
            <w:r w:rsidRPr="001A48D3">
              <w:rPr>
                <w:b/>
                <w:bCs/>
                <w:color w:val="000000"/>
                <w:sz w:val="22"/>
                <w:szCs w:val="22"/>
              </w:rPr>
              <w:t>Cost</w:t>
            </w:r>
          </w:p>
        </w:tc>
        <w:tc>
          <w:tcPr>
            <w:tcW w:w="993" w:type="dxa"/>
            <w:gridSpan w:val="2"/>
            <w:tcBorders>
              <w:top w:val="single" w:sz="8" w:space="0" w:color="auto"/>
              <w:left w:val="single" w:sz="8" w:space="0" w:color="auto"/>
              <w:bottom w:val="single" w:sz="8" w:space="0" w:color="auto"/>
              <w:right w:val="single" w:sz="8" w:space="0" w:color="auto"/>
            </w:tcBorders>
            <w:shd w:val="clear" w:color="auto" w:fill="FFC000"/>
            <w:noWrap/>
            <w:vAlign w:val="bottom"/>
            <w:hideMark/>
          </w:tcPr>
          <w:p w:rsidR="00F52248" w:rsidRPr="001A48D3" w:rsidRDefault="00F52248" w:rsidP="00C4701A">
            <w:pPr>
              <w:spacing w:before="120" w:after="120"/>
              <w:jc w:val="center"/>
              <w:rPr>
                <w:b/>
                <w:bCs/>
                <w:color w:val="000000"/>
                <w:sz w:val="22"/>
                <w:szCs w:val="22"/>
              </w:rPr>
            </w:pPr>
            <w:r w:rsidRPr="001A48D3">
              <w:rPr>
                <w:b/>
                <w:bCs/>
                <w:color w:val="000000"/>
                <w:sz w:val="22"/>
                <w:szCs w:val="22"/>
              </w:rPr>
              <w:t>Benefit</w:t>
            </w:r>
          </w:p>
        </w:tc>
        <w:tc>
          <w:tcPr>
            <w:tcW w:w="1275" w:type="dxa"/>
            <w:tcBorders>
              <w:top w:val="single" w:sz="8" w:space="0" w:color="auto"/>
              <w:left w:val="single" w:sz="8" w:space="0" w:color="auto"/>
              <w:bottom w:val="single" w:sz="8" w:space="0" w:color="auto"/>
              <w:right w:val="single" w:sz="8" w:space="0" w:color="auto"/>
            </w:tcBorders>
            <w:shd w:val="clear" w:color="auto" w:fill="FFC000"/>
            <w:noWrap/>
            <w:vAlign w:val="bottom"/>
            <w:hideMark/>
          </w:tcPr>
          <w:p w:rsidR="00F52248" w:rsidRPr="001A48D3" w:rsidRDefault="00F52248" w:rsidP="00C4701A">
            <w:pPr>
              <w:spacing w:before="120" w:after="120"/>
              <w:jc w:val="center"/>
              <w:rPr>
                <w:b/>
                <w:bCs/>
                <w:color w:val="000000"/>
                <w:sz w:val="22"/>
                <w:szCs w:val="22"/>
              </w:rPr>
            </w:pPr>
            <w:r w:rsidRPr="001A48D3">
              <w:rPr>
                <w:b/>
                <w:bCs/>
                <w:color w:val="000000"/>
                <w:sz w:val="22"/>
                <w:szCs w:val="22"/>
              </w:rPr>
              <w:t>Net benefit</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before="120" w:after="120" w:line="360" w:lineRule="auto"/>
              <w:contextualSpacing/>
              <w:jc w:val="center"/>
              <w:rPr>
                <w:color w:val="000000"/>
                <w:sz w:val="18"/>
                <w:szCs w:val="18"/>
              </w:rPr>
            </w:pPr>
            <w:r w:rsidRPr="001A48D3">
              <w:rPr>
                <w:color w:val="000000"/>
                <w:sz w:val="18"/>
                <w:szCs w:val="18"/>
              </w:rPr>
              <w:t>2009</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before="120" w:after="120" w:line="360" w:lineRule="auto"/>
              <w:contextualSpacing/>
              <w:jc w:val="center"/>
              <w:rPr>
                <w:color w:val="000000"/>
                <w:sz w:val="18"/>
                <w:szCs w:val="18"/>
              </w:rPr>
            </w:pPr>
            <w:r w:rsidRPr="001A48D3">
              <w:rPr>
                <w:color w:val="000000"/>
                <w:sz w:val="18"/>
                <w:szCs w:val="18"/>
              </w:rPr>
              <w:t xml:space="preserve">0.0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before="120" w:after="120" w:line="360" w:lineRule="auto"/>
              <w:contextualSpacing/>
              <w:jc w:val="center"/>
              <w:rPr>
                <w:color w:val="000000"/>
                <w:sz w:val="18"/>
                <w:szCs w:val="18"/>
              </w:rPr>
            </w:pPr>
            <w:r w:rsidRPr="001A48D3">
              <w:rPr>
                <w:color w:val="000000"/>
                <w:sz w:val="18"/>
                <w:szCs w:val="18"/>
              </w:rPr>
              <w:t xml:space="preserve">0.0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before="120" w:after="120" w:line="360" w:lineRule="auto"/>
              <w:contextualSpacing/>
              <w:jc w:val="center"/>
              <w:rPr>
                <w:color w:val="000000"/>
                <w:sz w:val="18"/>
                <w:szCs w:val="18"/>
              </w:rPr>
            </w:pPr>
            <w:r w:rsidRPr="001A48D3">
              <w:rPr>
                <w:color w:val="000000"/>
                <w:sz w:val="18"/>
                <w:szCs w:val="18"/>
              </w:rPr>
              <w:t xml:space="preserve">0.0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before="120" w:after="120" w:line="360" w:lineRule="auto"/>
              <w:contextualSpacing/>
              <w:jc w:val="center"/>
              <w:rPr>
                <w:color w:val="000000"/>
                <w:sz w:val="18"/>
                <w:szCs w:val="18"/>
              </w:rPr>
            </w:pPr>
            <w:r w:rsidRPr="001A48D3">
              <w:rPr>
                <w:color w:val="000000"/>
                <w:sz w:val="18"/>
                <w:szCs w:val="18"/>
              </w:rPr>
              <w:t>1.0000</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before="120" w:after="120" w:line="360" w:lineRule="auto"/>
              <w:contextualSpacing/>
              <w:jc w:val="center"/>
              <w:rPr>
                <w:color w:val="000000"/>
                <w:sz w:val="18"/>
                <w:szCs w:val="18"/>
              </w:rPr>
            </w:pPr>
            <w:r w:rsidRPr="001A48D3">
              <w:rPr>
                <w:color w:val="000000"/>
                <w:sz w:val="18"/>
                <w:szCs w:val="18"/>
              </w:rPr>
              <w:t xml:space="preserve">0.0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before="120" w:after="120" w:line="360" w:lineRule="auto"/>
              <w:contextualSpacing/>
              <w:jc w:val="center"/>
              <w:rPr>
                <w:color w:val="000000"/>
                <w:sz w:val="18"/>
                <w:szCs w:val="18"/>
              </w:rPr>
            </w:pPr>
            <w:r w:rsidRPr="001A48D3">
              <w:rPr>
                <w:color w:val="000000"/>
                <w:sz w:val="18"/>
                <w:szCs w:val="18"/>
              </w:rPr>
              <w:t xml:space="preserve">0.0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before="120" w:after="120" w:line="360" w:lineRule="auto"/>
              <w:contextualSpacing/>
              <w:jc w:val="center"/>
              <w:rPr>
                <w:color w:val="000000"/>
                <w:sz w:val="18"/>
                <w:szCs w:val="18"/>
              </w:rPr>
            </w:pPr>
            <w:r w:rsidRPr="001A48D3">
              <w:rPr>
                <w:color w:val="000000"/>
                <w:sz w:val="18"/>
                <w:szCs w:val="18"/>
              </w:rPr>
              <w:t xml:space="preserve">0.0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2010</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0.0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0.0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0.0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0.9346</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0.0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0.0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0.0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2011</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0.0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0.0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0.0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0.8734</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0.0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0.0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0.0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2012</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-56.4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12.60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-43.8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0.8163</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-46.1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10.3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-35.8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2013</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-117.3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38.03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-79.3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0.7629</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-89.5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29.0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-60.5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2014</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-118.4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65.32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-53.0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0.7130</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-84.4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46.6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-37.8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2015</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-118.7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94.14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-24.6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0.6663</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-79.1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62.7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-16.4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2016</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-125.6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125.30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-0.3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0.6227</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-78.2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78.0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-0.2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2017</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-249.1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159.07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-90.1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0.5820</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-145.0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92.6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-52.4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2018</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-245.8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195.28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-50.5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0.5439</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-133.7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106.2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-27.5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2019</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-240.0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233.76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-6.3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0.5083</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-122.0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118.8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-3.2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2020</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-229.1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273.57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44.5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0.4751</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-108.8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130.0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21.1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2021</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-211.5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314.26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102.8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0.4440</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-93.9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139.5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45.6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2022</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-189.3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353.56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164.3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0.4150</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-78.6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146.7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68.2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2023</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-166.5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392.55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226.1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0.3878</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-64.6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152.2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87.7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2024</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-143.1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434.86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291.7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0.3624</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-51.9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157.6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105.7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2025</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-119.2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477.37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358.2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0.3387</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-40.4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161.7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121.3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2026</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-94.7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519.52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424.8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0.3166</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-30.0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164.5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134.5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2027</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-70.1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560.01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489.9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0.2959</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-20.7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165.7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144.9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2028</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-45.8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599.04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553.2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0.2765</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-12.7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165.6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153.0 </w:t>
            </w:r>
          </w:p>
        </w:tc>
      </w:tr>
      <w:tr w:rsidR="00944ED9" w:rsidRPr="001A48D3" w:rsidTr="00245288">
        <w:trPr>
          <w:trHeight w:val="288"/>
        </w:trPr>
        <w:tc>
          <w:tcPr>
            <w:tcW w:w="861" w:type="dxa"/>
            <w:tcBorders>
              <w:top w:val="nil"/>
              <w:left w:val="single" w:sz="8" w:space="0" w:color="auto"/>
              <w:bottom w:val="nil"/>
              <w:right w:val="single" w:sz="4" w:space="0" w:color="auto"/>
            </w:tcBorders>
            <w:noWrap/>
            <w:vAlign w:val="center"/>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2029</w:t>
            </w:r>
          </w:p>
        </w:tc>
        <w:tc>
          <w:tcPr>
            <w:tcW w:w="992"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-22.3 </w:t>
            </w:r>
          </w:p>
        </w:tc>
        <w:tc>
          <w:tcPr>
            <w:tcW w:w="992"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636.59 </w:t>
            </w:r>
          </w:p>
        </w:tc>
        <w:tc>
          <w:tcPr>
            <w:tcW w:w="1276"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614.3 </w:t>
            </w:r>
          </w:p>
        </w:tc>
        <w:tc>
          <w:tcPr>
            <w:tcW w:w="1198" w:type="dxa"/>
            <w:tcBorders>
              <w:top w:val="nil"/>
              <w:left w:val="nil"/>
              <w:bottom w:val="nil"/>
              <w:right w:val="single" w:sz="4" w:space="0" w:color="auto"/>
            </w:tcBorders>
            <w:noWrap/>
            <w:hideMark/>
          </w:tcPr>
          <w:p w:rsidR="00944ED9" w:rsidRPr="001A48D3" w:rsidRDefault="00944ED9" w:rsidP="00C4701A">
            <w:pPr>
              <w:autoSpaceDE w:val="0"/>
              <w:autoSpaceDN w:val="0"/>
              <w:adjustRightInd w:val="0"/>
              <w:spacing w:after="120" w:line="360" w:lineRule="auto"/>
              <w:contextualSpacing/>
              <w:jc w:val="center"/>
              <w:rPr>
                <w:color w:val="000000"/>
                <w:sz w:val="18"/>
                <w:szCs w:val="18"/>
              </w:rPr>
            </w:pPr>
            <w:r w:rsidRPr="001A48D3">
              <w:rPr>
                <w:color w:val="000000"/>
                <w:sz w:val="18"/>
                <w:szCs w:val="18"/>
              </w:rPr>
              <w:t>0.2584</w:t>
            </w:r>
          </w:p>
        </w:tc>
        <w:tc>
          <w:tcPr>
            <w:tcW w:w="928"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-5.8 </w:t>
            </w:r>
          </w:p>
        </w:tc>
        <w:tc>
          <w:tcPr>
            <w:tcW w:w="993" w:type="dxa"/>
            <w:gridSpan w:val="2"/>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164.5 </w:t>
            </w:r>
          </w:p>
        </w:tc>
        <w:tc>
          <w:tcPr>
            <w:tcW w:w="1275" w:type="dxa"/>
            <w:tcBorders>
              <w:top w:val="nil"/>
              <w:left w:val="nil"/>
              <w:bottom w:val="nil"/>
              <w:right w:val="single" w:sz="4" w:space="0" w:color="auto"/>
            </w:tcBorders>
            <w:noWrap/>
            <w:vAlign w:val="bottom"/>
            <w:hideMark/>
          </w:tcPr>
          <w:p w:rsidR="00944ED9" w:rsidRPr="001A48D3" w:rsidRDefault="00944ED9" w:rsidP="00C4701A">
            <w:pPr>
              <w:spacing w:after="120" w:line="360" w:lineRule="auto"/>
              <w:contextualSpacing/>
              <w:jc w:val="center"/>
              <w:rPr>
                <w:color w:val="000000"/>
                <w:sz w:val="18"/>
                <w:szCs w:val="18"/>
              </w:rPr>
            </w:pPr>
            <w:r w:rsidRPr="001A48D3">
              <w:rPr>
                <w:color w:val="000000"/>
                <w:sz w:val="18"/>
                <w:szCs w:val="18"/>
              </w:rPr>
              <w:t xml:space="preserve">158.8 </w:t>
            </w:r>
          </w:p>
        </w:tc>
      </w:tr>
      <w:tr w:rsidR="00177AEF" w:rsidRPr="001A48D3" w:rsidTr="00177AEF">
        <w:trPr>
          <w:trHeight w:val="300"/>
        </w:trPr>
        <w:tc>
          <w:tcPr>
            <w:tcW w:w="861" w:type="dxa"/>
            <w:tcBorders>
              <w:top w:val="single" w:sz="4" w:space="0" w:color="auto"/>
              <w:left w:val="single" w:sz="8" w:space="0" w:color="auto"/>
              <w:bottom w:val="single" w:sz="8" w:space="0" w:color="auto"/>
              <w:right w:val="single" w:sz="4" w:space="0" w:color="auto"/>
            </w:tcBorders>
            <w:shd w:val="clear" w:color="000000" w:fill="DDD9C3"/>
            <w:noWrap/>
            <w:vAlign w:val="center"/>
            <w:hideMark/>
          </w:tcPr>
          <w:p w:rsidR="00177AEF" w:rsidRPr="001A48D3" w:rsidRDefault="00177AEF" w:rsidP="00C4701A">
            <w:pPr>
              <w:spacing w:before="120" w:after="120"/>
              <w:jc w:val="center"/>
              <w:rPr>
                <w:b/>
                <w:bCs/>
                <w:color w:val="000000"/>
                <w:sz w:val="22"/>
                <w:szCs w:val="22"/>
              </w:rPr>
            </w:pPr>
            <w:r w:rsidRPr="001A48D3">
              <w:rPr>
                <w:b/>
                <w:bCs/>
                <w:color w:val="000000"/>
                <w:sz w:val="22"/>
                <w:szCs w:val="22"/>
              </w:rPr>
              <w:t>Total</w:t>
            </w:r>
          </w:p>
        </w:tc>
        <w:tc>
          <w:tcPr>
            <w:tcW w:w="992" w:type="dxa"/>
            <w:tcBorders>
              <w:top w:val="single" w:sz="4" w:space="0" w:color="auto"/>
              <w:left w:val="nil"/>
              <w:bottom w:val="single" w:sz="8" w:space="0" w:color="auto"/>
              <w:right w:val="single" w:sz="4" w:space="0" w:color="auto"/>
            </w:tcBorders>
            <w:shd w:val="clear" w:color="000000" w:fill="DDD9C3"/>
            <w:noWrap/>
            <w:hideMark/>
          </w:tcPr>
          <w:p w:rsidR="00177AEF" w:rsidRPr="001A48D3" w:rsidRDefault="00177AEF" w:rsidP="00C4701A">
            <w:pPr>
              <w:autoSpaceDE w:val="0"/>
              <w:autoSpaceDN w:val="0"/>
              <w:adjustRightInd w:val="0"/>
              <w:spacing w:before="120" w:after="120"/>
              <w:jc w:val="center"/>
              <w:rPr>
                <w:b/>
                <w:bCs/>
                <w:color w:val="000000"/>
                <w:sz w:val="22"/>
                <w:szCs w:val="22"/>
              </w:rPr>
            </w:pPr>
            <w:r w:rsidRPr="001A48D3">
              <w:rPr>
                <w:b/>
                <w:bCs/>
                <w:color w:val="000000"/>
                <w:sz w:val="22"/>
                <w:szCs w:val="22"/>
              </w:rPr>
              <w:t>-</w:t>
            </w:r>
            <w:r w:rsidR="00944ED9" w:rsidRPr="001A48D3">
              <w:rPr>
                <w:b/>
                <w:bCs/>
                <w:color w:val="000000"/>
                <w:sz w:val="22"/>
                <w:szCs w:val="22"/>
              </w:rPr>
              <w:t>2,562.9</w:t>
            </w:r>
            <w:r w:rsidRPr="001A48D3">
              <w:rPr>
                <w:b/>
                <w:bCs/>
                <w:color w:val="000000"/>
                <w:sz w:val="22"/>
                <w:szCs w:val="22"/>
              </w:rPr>
              <w:t xml:space="preserve"> </w:t>
            </w:r>
          </w:p>
        </w:tc>
        <w:tc>
          <w:tcPr>
            <w:tcW w:w="992" w:type="dxa"/>
            <w:gridSpan w:val="2"/>
            <w:tcBorders>
              <w:top w:val="single" w:sz="4" w:space="0" w:color="auto"/>
              <w:left w:val="nil"/>
              <w:bottom w:val="single" w:sz="8" w:space="0" w:color="auto"/>
              <w:right w:val="single" w:sz="4" w:space="0" w:color="auto"/>
            </w:tcBorders>
            <w:shd w:val="clear" w:color="000000" w:fill="DDD9C3"/>
            <w:noWrap/>
            <w:hideMark/>
          </w:tcPr>
          <w:p w:rsidR="00177AEF" w:rsidRPr="001A48D3" w:rsidRDefault="00944ED9" w:rsidP="00C4701A">
            <w:pPr>
              <w:autoSpaceDE w:val="0"/>
              <w:autoSpaceDN w:val="0"/>
              <w:adjustRightInd w:val="0"/>
              <w:spacing w:before="120" w:after="120"/>
              <w:jc w:val="center"/>
              <w:rPr>
                <w:b/>
                <w:bCs/>
                <w:color w:val="000000"/>
                <w:sz w:val="22"/>
                <w:szCs w:val="22"/>
              </w:rPr>
            </w:pPr>
            <w:r w:rsidRPr="001A48D3">
              <w:rPr>
                <w:b/>
                <w:bCs/>
                <w:color w:val="000000"/>
                <w:sz w:val="22"/>
                <w:szCs w:val="22"/>
              </w:rPr>
              <w:t>5,484.8</w:t>
            </w:r>
            <w:r w:rsidR="00177AEF" w:rsidRPr="001A48D3">
              <w:rPr>
                <w:b/>
                <w:bCs/>
                <w:color w:val="000000"/>
                <w:sz w:val="22"/>
                <w:szCs w:val="22"/>
              </w:rPr>
              <w:t xml:space="preserve"> </w:t>
            </w:r>
          </w:p>
        </w:tc>
        <w:tc>
          <w:tcPr>
            <w:tcW w:w="1276" w:type="dxa"/>
            <w:tcBorders>
              <w:top w:val="single" w:sz="4" w:space="0" w:color="auto"/>
              <w:left w:val="nil"/>
              <w:bottom w:val="single" w:sz="8" w:space="0" w:color="auto"/>
              <w:right w:val="single" w:sz="4" w:space="0" w:color="auto"/>
            </w:tcBorders>
            <w:shd w:val="clear" w:color="000000" w:fill="DDD9C3"/>
            <w:noWrap/>
            <w:hideMark/>
          </w:tcPr>
          <w:p w:rsidR="00177AEF" w:rsidRPr="001A48D3" w:rsidRDefault="00944ED9" w:rsidP="00C4701A">
            <w:pPr>
              <w:autoSpaceDE w:val="0"/>
              <w:autoSpaceDN w:val="0"/>
              <w:adjustRightInd w:val="0"/>
              <w:spacing w:before="120" w:after="120"/>
              <w:jc w:val="center"/>
              <w:rPr>
                <w:b/>
                <w:bCs/>
                <w:color w:val="000000"/>
                <w:sz w:val="22"/>
                <w:szCs w:val="22"/>
              </w:rPr>
            </w:pPr>
            <w:r w:rsidRPr="001A48D3">
              <w:rPr>
                <w:b/>
                <w:bCs/>
                <w:color w:val="000000"/>
                <w:sz w:val="22"/>
                <w:szCs w:val="22"/>
              </w:rPr>
              <w:t>2,921.9</w:t>
            </w:r>
            <w:r w:rsidR="00177AEF" w:rsidRPr="001A48D3">
              <w:rPr>
                <w:b/>
                <w:bCs/>
                <w:color w:val="000000"/>
                <w:sz w:val="22"/>
                <w:szCs w:val="22"/>
              </w:rPr>
              <w:t xml:space="preserve"> </w:t>
            </w:r>
          </w:p>
        </w:tc>
        <w:tc>
          <w:tcPr>
            <w:tcW w:w="1198" w:type="dxa"/>
            <w:tcBorders>
              <w:top w:val="single" w:sz="4" w:space="0" w:color="auto"/>
              <w:left w:val="nil"/>
              <w:bottom w:val="single" w:sz="8" w:space="0" w:color="auto"/>
              <w:right w:val="single" w:sz="4" w:space="0" w:color="auto"/>
            </w:tcBorders>
            <w:shd w:val="clear" w:color="000000" w:fill="DDD9C3"/>
            <w:noWrap/>
            <w:hideMark/>
          </w:tcPr>
          <w:p w:rsidR="00177AEF" w:rsidRPr="001A48D3" w:rsidRDefault="00177AEF" w:rsidP="00C4701A">
            <w:pPr>
              <w:autoSpaceDE w:val="0"/>
              <w:autoSpaceDN w:val="0"/>
              <w:adjustRightInd w:val="0"/>
              <w:spacing w:before="120" w:after="120"/>
              <w:jc w:val="center"/>
              <w:rPr>
                <w:b/>
                <w:bCs/>
                <w:color w:val="000000"/>
                <w:sz w:val="22"/>
                <w:szCs w:val="22"/>
              </w:rPr>
            </w:pPr>
          </w:p>
        </w:tc>
        <w:tc>
          <w:tcPr>
            <w:tcW w:w="928" w:type="dxa"/>
            <w:tcBorders>
              <w:top w:val="single" w:sz="4" w:space="0" w:color="auto"/>
              <w:left w:val="nil"/>
              <w:bottom w:val="single" w:sz="8" w:space="0" w:color="auto"/>
              <w:right w:val="single" w:sz="4" w:space="0" w:color="auto"/>
            </w:tcBorders>
            <w:shd w:val="clear" w:color="000000" w:fill="DDD9C3"/>
            <w:noWrap/>
            <w:hideMark/>
          </w:tcPr>
          <w:p w:rsidR="00177AEF" w:rsidRPr="001A48D3" w:rsidRDefault="00944ED9" w:rsidP="00C4701A">
            <w:pPr>
              <w:autoSpaceDE w:val="0"/>
              <w:autoSpaceDN w:val="0"/>
              <w:adjustRightInd w:val="0"/>
              <w:spacing w:before="120" w:after="120"/>
              <w:jc w:val="center"/>
              <w:rPr>
                <w:b/>
                <w:bCs/>
                <w:color w:val="000000"/>
                <w:sz w:val="22"/>
                <w:szCs w:val="22"/>
              </w:rPr>
            </w:pPr>
            <w:r w:rsidRPr="001A48D3">
              <w:rPr>
                <w:b/>
                <w:bCs/>
                <w:color w:val="000000"/>
                <w:sz w:val="22"/>
                <w:szCs w:val="22"/>
              </w:rPr>
              <w:t>-1,285.2</w:t>
            </w:r>
            <w:r w:rsidR="00177AEF" w:rsidRPr="001A48D3">
              <w:rPr>
                <w:b/>
                <w:bCs/>
                <w:color w:val="000000"/>
                <w:sz w:val="22"/>
                <w:szCs w:val="22"/>
              </w:rPr>
              <w:t xml:space="preserve"> </w:t>
            </w:r>
          </w:p>
        </w:tc>
        <w:tc>
          <w:tcPr>
            <w:tcW w:w="993" w:type="dxa"/>
            <w:gridSpan w:val="2"/>
            <w:tcBorders>
              <w:top w:val="single" w:sz="4" w:space="0" w:color="auto"/>
              <w:left w:val="nil"/>
              <w:bottom w:val="single" w:sz="8" w:space="0" w:color="auto"/>
              <w:right w:val="single" w:sz="4" w:space="0" w:color="auto"/>
            </w:tcBorders>
            <w:shd w:val="clear" w:color="000000" w:fill="DDD9C3"/>
            <w:noWrap/>
            <w:hideMark/>
          </w:tcPr>
          <w:p w:rsidR="00177AEF" w:rsidRPr="001A48D3" w:rsidRDefault="00944ED9" w:rsidP="00C4701A">
            <w:pPr>
              <w:autoSpaceDE w:val="0"/>
              <w:autoSpaceDN w:val="0"/>
              <w:adjustRightInd w:val="0"/>
              <w:spacing w:before="120" w:after="120"/>
              <w:jc w:val="center"/>
              <w:rPr>
                <w:b/>
                <w:bCs/>
                <w:color w:val="000000"/>
                <w:sz w:val="22"/>
                <w:szCs w:val="22"/>
              </w:rPr>
            </w:pPr>
            <w:r w:rsidRPr="001A48D3">
              <w:rPr>
                <w:b/>
                <w:bCs/>
                <w:color w:val="000000"/>
                <w:sz w:val="22"/>
                <w:szCs w:val="22"/>
              </w:rPr>
              <w:t>2,092.3</w:t>
            </w:r>
            <w:r w:rsidR="00177AEF" w:rsidRPr="001A48D3">
              <w:rPr>
                <w:b/>
                <w:bCs/>
                <w:color w:val="000000"/>
                <w:sz w:val="22"/>
                <w:szCs w:val="22"/>
              </w:rPr>
              <w:t xml:space="preserve"> </w:t>
            </w:r>
          </w:p>
        </w:tc>
        <w:tc>
          <w:tcPr>
            <w:tcW w:w="1275" w:type="dxa"/>
            <w:tcBorders>
              <w:top w:val="single" w:sz="4" w:space="0" w:color="auto"/>
              <w:left w:val="nil"/>
              <w:bottom w:val="single" w:sz="8" w:space="0" w:color="auto"/>
              <w:right w:val="single" w:sz="8" w:space="0" w:color="auto"/>
            </w:tcBorders>
            <w:shd w:val="clear" w:color="000000" w:fill="DDD9C3"/>
            <w:noWrap/>
            <w:hideMark/>
          </w:tcPr>
          <w:p w:rsidR="00177AEF" w:rsidRPr="001A48D3" w:rsidRDefault="00944ED9" w:rsidP="00C4701A">
            <w:pPr>
              <w:autoSpaceDE w:val="0"/>
              <w:autoSpaceDN w:val="0"/>
              <w:adjustRightInd w:val="0"/>
              <w:spacing w:before="120" w:after="120"/>
              <w:jc w:val="center"/>
              <w:rPr>
                <w:b/>
                <w:bCs/>
                <w:color w:val="000000"/>
                <w:sz w:val="22"/>
                <w:szCs w:val="22"/>
              </w:rPr>
            </w:pPr>
            <w:r w:rsidRPr="001A48D3">
              <w:rPr>
                <w:b/>
                <w:bCs/>
                <w:color w:val="000000"/>
                <w:sz w:val="22"/>
                <w:szCs w:val="22"/>
              </w:rPr>
              <w:t>807.1</w:t>
            </w:r>
            <w:r w:rsidR="00177AEF" w:rsidRPr="001A48D3">
              <w:rPr>
                <w:b/>
                <w:bCs/>
                <w:color w:val="000000"/>
                <w:sz w:val="22"/>
                <w:szCs w:val="22"/>
              </w:rPr>
              <w:t xml:space="preserve"> </w:t>
            </w:r>
          </w:p>
        </w:tc>
      </w:tr>
      <w:tr w:rsidR="00177AEF" w:rsidRPr="001A48D3" w:rsidTr="00F52248">
        <w:trPr>
          <w:trHeight w:val="324"/>
        </w:trPr>
        <w:tc>
          <w:tcPr>
            <w:tcW w:w="2586" w:type="dxa"/>
            <w:gridSpan w:val="3"/>
            <w:tcBorders>
              <w:top w:val="nil"/>
              <w:left w:val="single" w:sz="8" w:space="0" w:color="auto"/>
              <w:bottom w:val="single" w:sz="8" w:space="0" w:color="auto"/>
              <w:right w:val="nil"/>
            </w:tcBorders>
            <w:shd w:val="clear" w:color="000000" w:fill="D8D8D8"/>
            <w:noWrap/>
            <w:vAlign w:val="bottom"/>
            <w:hideMark/>
          </w:tcPr>
          <w:p w:rsidR="00177AEF" w:rsidRPr="001A48D3" w:rsidRDefault="00177AEF" w:rsidP="00C4701A">
            <w:pPr>
              <w:spacing w:before="120" w:after="120"/>
              <w:jc w:val="center"/>
              <w:rPr>
                <w:b/>
                <w:bCs/>
                <w:color w:val="000000"/>
                <w:sz w:val="22"/>
                <w:szCs w:val="22"/>
              </w:rPr>
            </w:pPr>
            <w:r w:rsidRPr="001A48D3">
              <w:rPr>
                <w:b/>
                <w:bCs/>
                <w:color w:val="000000"/>
                <w:sz w:val="22"/>
                <w:szCs w:val="22"/>
              </w:rPr>
              <w:t>Benefit–cost Ratio =</w:t>
            </w:r>
          </w:p>
        </w:tc>
        <w:tc>
          <w:tcPr>
            <w:tcW w:w="1535" w:type="dxa"/>
            <w:gridSpan w:val="2"/>
            <w:tcBorders>
              <w:top w:val="nil"/>
              <w:left w:val="nil"/>
              <w:bottom w:val="single" w:sz="8" w:space="0" w:color="auto"/>
              <w:right w:val="single" w:sz="4" w:space="0" w:color="auto"/>
            </w:tcBorders>
            <w:shd w:val="clear" w:color="000000" w:fill="D8D8D8"/>
            <w:noWrap/>
            <w:vAlign w:val="bottom"/>
            <w:hideMark/>
          </w:tcPr>
          <w:p w:rsidR="00177AEF" w:rsidRPr="001A48D3" w:rsidRDefault="00177AEF" w:rsidP="00C4701A">
            <w:pPr>
              <w:spacing w:before="120" w:after="120"/>
              <w:jc w:val="center"/>
              <w:rPr>
                <w:b/>
                <w:bCs/>
                <w:color w:val="000000"/>
                <w:sz w:val="22"/>
                <w:szCs w:val="22"/>
              </w:rPr>
            </w:pPr>
            <w:r w:rsidRPr="001A48D3">
              <w:rPr>
                <w:b/>
                <w:bCs/>
                <w:color w:val="000000"/>
                <w:sz w:val="22"/>
                <w:szCs w:val="22"/>
              </w:rPr>
              <w:t>1.</w:t>
            </w:r>
            <w:r w:rsidR="00944ED9" w:rsidRPr="001A48D3">
              <w:rPr>
                <w:b/>
                <w:bCs/>
                <w:color w:val="000000"/>
                <w:sz w:val="22"/>
                <w:szCs w:val="22"/>
              </w:rPr>
              <w:t>63</w:t>
            </w:r>
          </w:p>
        </w:tc>
        <w:tc>
          <w:tcPr>
            <w:tcW w:w="2410" w:type="dxa"/>
            <w:gridSpan w:val="3"/>
            <w:tcBorders>
              <w:top w:val="single" w:sz="4" w:space="0" w:color="auto"/>
              <w:left w:val="single" w:sz="4" w:space="0" w:color="auto"/>
              <w:bottom w:val="single" w:sz="4" w:space="0" w:color="auto"/>
            </w:tcBorders>
            <w:shd w:val="clear" w:color="auto" w:fill="FDE9D9"/>
            <w:vAlign w:val="bottom"/>
          </w:tcPr>
          <w:p w:rsidR="00177AEF" w:rsidRPr="001A48D3" w:rsidRDefault="00177AEF" w:rsidP="00C4701A">
            <w:pPr>
              <w:spacing w:before="120" w:after="120"/>
              <w:rPr>
                <w:b/>
                <w:bCs/>
                <w:color w:val="000000"/>
                <w:sz w:val="22"/>
                <w:szCs w:val="22"/>
              </w:rPr>
            </w:pPr>
            <w:r w:rsidRPr="001A48D3">
              <w:rPr>
                <w:b/>
                <w:bCs/>
                <w:color w:val="000000"/>
                <w:sz w:val="22"/>
                <w:szCs w:val="22"/>
              </w:rPr>
              <w:t>NPV =</w:t>
            </w:r>
          </w:p>
        </w:tc>
        <w:tc>
          <w:tcPr>
            <w:tcW w:w="1984" w:type="dxa"/>
            <w:gridSpan w:val="2"/>
            <w:tcBorders>
              <w:top w:val="single" w:sz="4" w:space="0" w:color="auto"/>
              <w:bottom w:val="single" w:sz="4" w:space="0" w:color="auto"/>
              <w:right w:val="single" w:sz="4" w:space="0" w:color="auto"/>
            </w:tcBorders>
            <w:shd w:val="clear" w:color="auto" w:fill="FDE9D9"/>
            <w:vAlign w:val="bottom"/>
          </w:tcPr>
          <w:p w:rsidR="00177AEF" w:rsidRPr="001A48D3" w:rsidRDefault="00104D50" w:rsidP="00C4701A">
            <w:pPr>
              <w:spacing w:before="120" w:after="120"/>
              <w:ind w:right="176"/>
              <w:jc w:val="right"/>
              <w:rPr>
                <w:b/>
                <w:bCs/>
                <w:color w:val="000000"/>
                <w:sz w:val="22"/>
                <w:szCs w:val="22"/>
              </w:rPr>
            </w:pPr>
            <w:r w:rsidRPr="001A48D3">
              <w:rPr>
                <w:b/>
                <w:bCs/>
                <w:color w:val="000000"/>
                <w:sz w:val="22"/>
                <w:szCs w:val="22"/>
              </w:rPr>
              <w:t>$</w:t>
            </w:r>
            <w:r w:rsidR="00944ED9" w:rsidRPr="001A48D3">
              <w:rPr>
                <w:b/>
                <w:bCs/>
                <w:color w:val="000000"/>
                <w:sz w:val="22"/>
                <w:szCs w:val="22"/>
              </w:rPr>
              <w:t>807</w:t>
            </w:r>
            <w:r w:rsidR="007F1757" w:rsidRPr="001A48D3">
              <w:rPr>
                <w:b/>
                <w:bCs/>
                <w:color w:val="000000"/>
                <w:sz w:val="22"/>
                <w:szCs w:val="22"/>
              </w:rPr>
              <w:t>m</w:t>
            </w:r>
          </w:p>
        </w:tc>
      </w:tr>
    </w:tbl>
    <w:p w:rsidR="00D925E8" w:rsidRPr="001A48D3" w:rsidRDefault="00F52248" w:rsidP="00C4701A">
      <w:pPr>
        <w:spacing w:afterLines="80" w:after="192"/>
      </w:pPr>
      <w:r w:rsidRPr="001A48D3">
        <w:br w:type="page"/>
      </w:r>
    </w:p>
    <w:p w:rsidR="002D3A92" w:rsidRPr="001A48D3" w:rsidRDefault="00361D22" w:rsidP="00153F3E">
      <w:pPr>
        <w:pStyle w:val="Heading2"/>
      </w:pPr>
      <w:bookmarkStart w:id="81" w:name="_Toc430182539"/>
      <w:r>
        <w:lastRenderedPageBreak/>
        <w:t>4.5</w:t>
      </w:r>
      <w:r>
        <w:tab/>
      </w:r>
      <w:r w:rsidR="002D3A92" w:rsidRPr="001A48D3">
        <w:t>Sensitivity Analyses</w:t>
      </w:r>
      <w:bookmarkEnd w:id="81"/>
    </w:p>
    <w:p w:rsidR="002D3A92" w:rsidRPr="001A48D3" w:rsidRDefault="00497D43" w:rsidP="00C4701A">
      <w:pPr>
        <w:spacing w:after="120"/>
      </w:pPr>
      <w:r w:rsidRPr="001A48D3">
        <w:t>Given the inevitable uncertainties with some of the assumptions used in the base case, a number of sensitivity analyses were undertaken on the assumptions for:</w:t>
      </w:r>
    </w:p>
    <w:p w:rsidR="00497D43" w:rsidRPr="001A48D3" w:rsidRDefault="00497D43" w:rsidP="00C4701A">
      <w:pPr>
        <w:numPr>
          <w:ilvl w:val="0"/>
          <w:numId w:val="28"/>
        </w:numPr>
        <w:spacing w:after="120"/>
      </w:pPr>
      <w:r w:rsidRPr="001A48D3">
        <w:t xml:space="preserve">Fleet parameters (diesel penetration and durability of </w:t>
      </w:r>
      <w:r w:rsidR="00AF01A3" w:rsidRPr="001A48D3">
        <w:t>emissions</w:t>
      </w:r>
      <w:r w:rsidRPr="001A48D3">
        <w:t xml:space="preserve"> controls)</w:t>
      </w:r>
      <w:r w:rsidR="007811F9" w:rsidRPr="001A48D3">
        <w:t>;</w:t>
      </w:r>
    </w:p>
    <w:p w:rsidR="00497D43" w:rsidRPr="001A48D3" w:rsidRDefault="00497D43" w:rsidP="00C4701A">
      <w:pPr>
        <w:numPr>
          <w:ilvl w:val="0"/>
          <w:numId w:val="28"/>
        </w:numPr>
        <w:spacing w:after="120"/>
      </w:pPr>
      <w:r w:rsidRPr="001A48D3">
        <w:t>Unit health costs</w:t>
      </w:r>
      <w:r w:rsidR="007811F9" w:rsidRPr="001A48D3">
        <w:t>;</w:t>
      </w:r>
    </w:p>
    <w:p w:rsidR="00497D43" w:rsidRPr="001A48D3" w:rsidRDefault="00497D43" w:rsidP="00C4701A">
      <w:pPr>
        <w:numPr>
          <w:ilvl w:val="0"/>
          <w:numId w:val="28"/>
        </w:numPr>
        <w:spacing w:after="120"/>
      </w:pPr>
      <w:r w:rsidRPr="001A48D3">
        <w:t>Vehicle costs</w:t>
      </w:r>
      <w:r w:rsidR="007811F9" w:rsidRPr="001A48D3">
        <w:t xml:space="preserve">; </w:t>
      </w:r>
    </w:p>
    <w:p w:rsidR="00DE0841" w:rsidRPr="001A48D3" w:rsidRDefault="00497D43" w:rsidP="00C4701A">
      <w:pPr>
        <w:numPr>
          <w:ilvl w:val="0"/>
          <w:numId w:val="28"/>
        </w:numPr>
        <w:spacing w:after="120"/>
      </w:pPr>
      <w:r w:rsidRPr="001A48D3">
        <w:t>Discount rates</w:t>
      </w:r>
      <w:r w:rsidR="00DE0841" w:rsidRPr="001A48D3">
        <w:t xml:space="preserve">; and </w:t>
      </w:r>
    </w:p>
    <w:p w:rsidR="00497D43" w:rsidRPr="001A48D3" w:rsidRDefault="00DE0841" w:rsidP="00C4701A">
      <w:pPr>
        <w:numPr>
          <w:ilvl w:val="0"/>
          <w:numId w:val="28"/>
        </w:numPr>
        <w:spacing w:after="120"/>
      </w:pPr>
      <w:r w:rsidRPr="001A48D3">
        <w:t>Value of statistical life</w:t>
      </w:r>
      <w:r w:rsidR="00497D43" w:rsidRPr="001A48D3">
        <w:t>.</w:t>
      </w:r>
    </w:p>
    <w:p w:rsidR="00F54BF4" w:rsidRPr="001A48D3" w:rsidRDefault="007811F9" w:rsidP="00C4701A">
      <w:pPr>
        <w:spacing w:after="120"/>
      </w:pPr>
      <w:r w:rsidRPr="001A48D3">
        <w:t>As</w:t>
      </w:r>
      <w:r w:rsidR="00F54BF4" w:rsidRPr="001A48D3">
        <w:t xml:space="preserve"> the </w:t>
      </w:r>
      <w:r w:rsidRPr="001A48D3">
        <w:t>BCA</w:t>
      </w:r>
      <w:r w:rsidR="00F54BF4" w:rsidRPr="001A48D3">
        <w:t xml:space="preserve"> results for Options 2 and 3 are so similar (especially over the longer term), sensitivity testing was done for Option 2</w:t>
      </w:r>
      <w:r w:rsidRPr="001A48D3">
        <w:t xml:space="preserve"> only</w:t>
      </w:r>
      <w:r w:rsidR="00F54BF4" w:rsidRPr="001A48D3">
        <w:t>.</w:t>
      </w:r>
      <w:r w:rsidRPr="001A48D3">
        <w:t xml:space="preserve">  </w:t>
      </w:r>
      <w:r w:rsidR="000D1839" w:rsidRPr="001A48D3">
        <w:t xml:space="preserve">Sensitivity analyses were also not undertaken for Option 4, as the only sensitivity test which might affect the result (diesel vehicle penetration) was shown to have limited effect on the overall results.  </w:t>
      </w:r>
    </w:p>
    <w:p w:rsidR="007811F9" w:rsidRPr="001A48D3" w:rsidRDefault="007811F9" w:rsidP="00C4701A">
      <w:pPr>
        <w:spacing w:after="120"/>
      </w:pPr>
      <w:r w:rsidRPr="001A48D3">
        <w:t>These analyses indicate that Option 2 (and by implication Option 3) deliver net benefits under all circumstances, except where a very low unit health cost value is applied.</w:t>
      </w:r>
    </w:p>
    <w:p w:rsidR="001743A3" w:rsidRPr="001A48D3" w:rsidRDefault="00D57A84" w:rsidP="00C4701A">
      <w:pPr>
        <w:spacing w:after="120"/>
      </w:pPr>
      <w:r w:rsidRPr="001A48D3">
        <w:t xml:space="preserve">As noted at the beginning of Section 4, the vehicle industry raised concerns in the public comment phase regarding the implementation timeframe for the introduction of the new emissions standards, so </w:t>
      </w:r>
      <w:r w:rsidR="00BC4B3A" w:rsidRPr="001A48D3">
        <w:t xml:space="preserve">an </w:t>
      </w:r>
      <w:r w:rsidRPr="001A48D3">
        <w:t>additional sensitivity analys</w:t>
      </w:r>
      <w:r w:rsidR="00BC4B3A" w:rsidRPr="001A48D3">
        <w:t>is</w:t>
      </w:r>
      <w:r w:rsidRPr="001A48D3">
        <w:t xml:space="preserve"> (again using Option 2 as the base case) on </w:t>
      </w:r>
      <w:r w:rsidR="00BC4B3A" w:rsidRPr="001A48D3">
        <w:t>the FCAI’s preferred timeframe is</w:t>
      </w:r>
      <w:r w:rsidRPr="001A48D3">
        <w:t xml:space="preserve"> included at the end of this Section 4.5</w:t>
      </w:r>
      <w:r w:rsidR="00BC4B3A" w:rsidRPr="001A48D3">
        <w:t xml:space="preserve">.  A further analysis is also </w:t>
      </w:r>
      <w:r w:rsidR="001A7D92" w:rsidRPr="001A48D3">
        <w:t>included for</w:t>
      </w:r>
      <w:r w:rsidR="00BC4B3A" w:rsidRPr="001A48D3">
        <w:t xml:space="preserve"> a revised version of Option 3 to reflect the final text of UN ECE Regulation 83/06 (see Section 3.1 for an explanation of the changes to R83/06).</w:t>
      </w:r>
    </w:p>
    <w:p w:rsidR="00F54BF4" w:rsidRPr="001A48D3" w:rsidRDefault="00F54BF4" w:rsidP="00153F3E">
      <w:pPr>
        <w:pStyle w:val="Heading4"/>
        <w:spacing w:before="240" w:after="120"/>
      </w:pPr>
      <w:bookmarkStart w:id="82" w:name="_Toc430182540"/>
      <w:r w:rsidRPr="001A48D3">
        <w:t xml:space="preserve">Changes to </w:t>
      </w:r>
      <w:r w:rsidR="007811F9" w:rsidRPr="001A48D3">
        <w:t>Fleet Parameters</w:t>
      </w:r>
      <w:bookmarkEnd w:id="82"/>
    </w:p>
    <w:p w:rsidR="00F54BF4" w:rsidRPr="001A48D3" w:rsidRDefault="00F54BF4" w:rsidP="00C4701A">
      <w:pPr>
        <w:spacing w:after="120"/>
      </w:pPr>
      <w:r w:rsidRPr="001A48D3">
        <w:t xml:space="preserve">The first set of sensitivity tests (ST1) is for diesel </w:t>
      </w:r>
      <w:r w:rsidR="00DB0228" w:rsidRPr="001A48D3">
        <w:t xml:space="preserve">vehicle </w:t>
      </w:r>
      <w:r w:rsidRPr="001A48D3">
        <w:t>penetration.  The ‘low’ case has new sales remaining roughly at their current proportion of total sales (</w:t>
      </w:r>
      <w:r w:rsidR="00DB0228" w:rsidRPr="001A48D3">
        <w:t>leading to around</w:t>
      </w:r>
      <w:r w:rsidRPr="001A48D3">
        <w:t xml:space="preserve"> 17% of </w:t>
      </w:r>
      <w:r w:rsidR="00DD73BA" w:rsidRPr="001A48D3">
        <w:t xml:space="preserve">2029 </w:t>
      </w:r>
      <w:r w:rsidRPr="001A48D3">
        <w:t xml:space="preserve">sales) and the ‘high’ case has strong increases in diesel vehicles sales (with the result that about </w:t>
      </w:r>
      <w:r w:rsidR="00DD73BA" w:rsidRPr="001A48D3">
        <w:t>4</w:t>
      </w:r>
      <w:r w:rsidR="00E74CBD" w:rsidRPr="001A48D3">
        <w:t>0</w:t>
      </w:r>
      <w:r w:rsidR="00B55DA5" w:rsidRPr="001A48D3">
        <w:t>%</w:t>
      </w:r>
      <w:r w:rsidRPr="001A48D3">
        <w:t xml:space="preserve">of </w:t>
      </w:r>
      <w:r w:rsidR="00DD73BA" w:rsidRPr="001A48D3">
        <w:t xml:space="preserve">2029 </w:t>
      </w:r>
      <w:r w:rsidRPr="001A48D3">
        <w:t>car sales, and most of LCV sales, are diesels).</w:t>
      </w:r>
    </w:p>
    <w:p w:rsidR="00F54BF4" w:rsidRPr="001A48D3" w:rsidRDefault="00F54BF4" w:rsidP="00C4701A">
      <w:pPr>
        <w:spacing w:after="120"/>
      </w:pPr>
      <w:r w:rsidRPr="001A48D3">
        <w:t>The second set of sensitivity tests (ST2) is</w:t>
      </w:r>
      <w:r w:rsidR="00EA76CE" w:rsidRPr="001A48D3">
        <w:t xml:space="preserve"> for durability of the </w:t>
      </w:r>
      <w:r w:rsidR="00AF01A3" w:rsidRPr="001A48D3">
        <w:t>emissions</w:t>
      </w:r>
      <w:r w:rsidR="00EA76CE" w:rsidRPr="001A48D3">
        <w:t xml:space="preserve"> control</w:t>
      </w:r>
      <w:r w:rsidRPr="001A48D3">
        <w:t xml:space="preserve"> technology. </w:t>
      </w:r>
      <w:r w:rsidR="00EA76CE" w:rsidRPr="001A48D3">
        <w:t xml:space="preserve"> </w:t>
      </w:r>
      <w:r w:rsidRPr="001A48D3">
        <w:t xml:space="preserve">The ‘low’ case has the deterioration rates set to zero for all post-2010 models, and the ‘high’ case has the default parameter values doubled for all post-2010 models. </w:t>
      </w:r>
    </w:p>
    <w:p w:rsidR="00F54BF4" w:rsidRPr="001A48D3" w:rsidRDefault="00F54BF4" w:rsidP="00C4701A">
      <w:pPr>
        <w:spacing w:after="120"/>
      </w:pPr>
      <w:r w:rsidRPr="001A48D3">
        <w:t xml:space="preserve">If the changed deterioration rates applied only to the Euro 5 and 6 technology, the zero deterioration assumption would lead to higher benefits (the ‘high’ case), and conversely for doubling the deterioration rate parameter (the ‘low’ case). </w:t>
      </w:r>
      <w:r w:rsidR="00EA76CE" w:rsidRPr="001A48D3">
        <w:t xml:space="preserve"> </w:t>
      </w:r>
      <w:r w:rsidRPr="001A48D3">
        <w:t>However, the changes to the deteriorat</w:t>
      </w:r>
      <w:r w:rsidR="00EA76CE" w:rsidRPr="001A48D3">
        <w:t>ion</w:t>
      </w:r>
      <w:r w:rsidRPr="001A48D3">
        <w:t xml:space="preserve"> rate parameter are applied to the </w:t>
      </w:r>
      <w:r w:rsidR="00DB0228" w:rsidRPr="001A48D3">
        <w:t>Option 1</w:t>
      </w:r>
      <w:r w:rsidRPr="001A48D3">
        <w:t xml:space="preserve"> case as well as the ‘new standards’ case, and they affect the </w:t>
      </w:r>
      <w:r w:rsidR="00DB0228" w:rsidRPr="001A48D3">
        <w:t>status quo</w:t>
      </w:r>
      <w:r w:rsidRPr="001A48D3">
        <w:t xml:space="preserve"> results more than they affect the ‘new standards’ results. </w:t>
      </w:r>
      <w:r w:rsidR="00EA76CE" w:rsidRPr="001A48D3">
        <w:t xml:space="preserve"> </w:t>
      </w:r>
      <w:r w:rsidRPr="001A48D3">
        <w:t>Consequently, the savings in emissions are lower for the sensitivity run with zero deterioration (making it the ‘low’ case) and greater for the run that doubles the deterioration rate (making it the ‘high’ case).</w:t>
      </w:r>
    </w:p>
    <w:p w:rsidR="00143CBA" w:rsidRPr="001A48D3" w:rsidRDefault="00021DA5" w:rsidP="00C4701A">
      <w:pPr>
        <w:spacing w:after="120"/>
      </w:pPr>
      <w:r w:rsidRPr="001A48D3">
        <w:lastRenderedPageBreak/>
        <w:t xml:space="preserve">The impact of these </w:t>
      </w:r>
      <w:r w:rsidR="00143CBA" w:rsidRPr="001A48D3">
        <w:t xml:space="preserve">sensitivity tests </w:t>
      </w:r>
      <w:r w:rsidRPr="001A48D3">
        <w:t xml:space="preserve">on PM emissions (which is the dominant emissions factor in the BCA) is illustrated in </w:t>
      </w:r>
      <w:r w:rsidR="00143CBA" w:rsidRPr="001A48D3">
        <w:t xml:space="preserve">Figure </w:t>
      </w:r>
      <w:r w:rsidR="00244954" w:rsidRPr="001A48D3">
        <w:t>10</w:t>
      </w:r>
      <w:r w:rsidR="00143CBA" w:rsidRPr="001A48D3">
        <w:t xml:space="preserve">. </w:t>
      </w:r>
      <w:r w:rsidRPr="001A48D3">
        <w:t xml:space="preserve"> </w:t>
      </w:r>
      <w:r w:rsidR="00AD2AEB" w:rsidRPr="001A48D3">
        <w:t xml:space="preserve">The chart indicates that under all test conditions, Option 2 (and </w:t>
      </w:r>
      <w:r w:rsidR="00641836" w:rsidRPr="001A48D3">
        <w:t>implicitly</w:t>
      </w:r>
      <w:r w:rsidR="00AD2AEB" w:rsidRPr="001A48D3">
        <w:t xml:space="preserve"> Option 3) </w:t>
      </w:r>
      <w:r w:rsidR="00641836" w:rsidRPr="001A48D3">
        <w:t>deliver</w:t>
      </w:r>
      <w:r w:rsidR="00AD2AEB" w:rsidRPr="001A48D3">
        <w:t xml:space="preserve"> emissions reductions relative to the base</w:t>
      </w:r>
      <w:r w:rsidR="00641836" w:rsidRPr="001A48D3">
        <w:t xml:space="preserve"> case (Option 1</w:t>
      </w:r>
      <w:r w:rsidR="00C4594A" w:rsidRPr="001A48D3">
        <w:t>)</w:t>
      </w:r>
      <w:r w:rsidR="00641836" w:rsidRPr="001A48D3">
        <w:t xml:space="preserve">.  The chart indicates that PM emissions are more sensitive to changes in deterioration rates than diesel penetration, presumably because the PM </w:t>
      </w:r>
      <w:r w:rsidR="00AF01A3" w:rsidRPr="001A48D3">
        <w:t>emissions</w:t>
      </w:r>
      <w:r w:rsidR="00641836" w:rsidRPr="001A48D3">
        <w:t xml:space="preserve"> rate from diesel vehicles meeting Euro 5 is not markedly different from those of petrol vehicles.</w:t>
      </w:r>
    </w:p>
    <w:p w:rsidR="007D4568" w:rsidRPr="001A48D3" w:rsidRDefault="007D4568" w:rsidP="00C4701A">
      <w:pPr>
        <w:spacing w:after="120"/>
        <w:rPr>
          <w:sz w:val="18"/>
          <w:szCs w:val="18"/>
        </w:rPr>
      </w:pPr>
    </w:p>
    <w:p w:rsidR="004C28A3" w:rsidRPr="001A48D3" w:rsidRDefault="00836FFF" w:rsidP="00C4701A">
      <w:pPr>
        <w:spacing w:after="120"/>
        <w:rPr>
          <w:sz w:val="18"/>
          <w:szCs w:val="18"/>
        </w:rPr>
      </w:pPr>
      <w:r>
        <w:rPr>
          <w:noProof/>
          <w:szCs w:val="18"/>
        </w:rPr>
        <w:drawing>
          <wp:inline distT="0" distB="0" distL="0" distR="0" wp14:anchorId="3C2D3939" wp14:editId="2DF92174">
            <wp:extent cx="4791075" cy="5019675"/>
            <wp:effectExtent l="0" t="0" r="9525" b="9525"/>
            <wp:docPr id="10" name="Picture 10" descr="The diagram is a technical diagram. If you are unable to view this image, please contact the Department of Infrastructure &amp; Regional Development for a hard copy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diagram is a technical diagram. If you are unable to view this image, please contact the Department of Infrastructure &amp; Regional Development for a hard copy of this docu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91075" cy="5019675"/>
                    </a:xfrm>
                    <a:prstGeom prst="rect">
                      <a:avLst/>
                    </a:prstGeom>
                    <a:noFill/>
                    <a:ln>
                      <a:noFill/>
                    </a:ln>
                  </pic:spPr>
                </pic:pic>
              </a:graphicData>
            </a:graphic>
          </wp:inline>
        </w:drawing>
      </w:r>
    </w:p>
    <w:p w:rsidR="007D4568" w:rsidRPr="001A48D3" w:rsidRDefault="007D4568" w:rsidP="00C4701A">
      <w:pPr>
        <w:spacing w:after="120"/>
        <w:rPr>
          <w:sz w:val="18"/>
          <w:szCs w:val="18"/>
        </w:rPr>
      </w:pPr>
      <w:r w:rsidRPr="001A48D3">
        <w:rPr>
          <w:sz w:val="18"/>
          <w:szCs w:val="18"/>
        </w:rPr>
        <w:t>Source: BITRE Estimates</w:t>
      </w:r>
      <w:r w:rsidR="004C28A3" w:rsidRPr="001A48D3">
        <w:rPr>
          <w:sz w:val="18"/>
          <w:szCs w:val="18"/>
        </w:rPr>
        <w:t xml:space="preserve"> (2009)</w:t>
      </w:r>
    </w:p>
    <w:p w:rsidR="00143CBA" w:rsidRPr="001A48D3" w:rsidRDefault="00143CBA" w:rsidP="00B52F7D">
      <w:pPr>
        <w:pStyle w:val="Heading3"/>
      </w:pPr>
      <w:bookmarkStart w:id="83" w:name="_Toc430182541"/>
      <w:r w:rsidRPr="001A48D3">
        <w:t xml:space="preserve">Figure </w:t>
      </w:r>
      <w:r w:rsidR="00443C4B" w:rsidRPr="001A48D3">
        <w:t>1</w:t>
      </w:r>
      <w:r w:rsidR="00244954" w:rsidRPr="001A48D3">
        <w:t>0</w:t>
      </w:r>
      <w:r w:rsidRPr="001A48D3">
        <w:tab/>
        <w:t xml:space="preserve">Projected Impact on PM Emissions </w:t>
      </w:r>
      <w:r w:rsidR="007D4568" w:rsidRPr="001A48D3">
        <w:t>of</w:t>
      </w:r>
      <w:r w:rsidRPr="001A48D3">
        <w:t xml:space="preserve"> the Light Vehicle Fleet from the Introduction of Euro 5/6 </w:t>
      </w:r>
      <w:r w:rsidR="00AF01A3" w:rsidRPr="001A48D3">
        <w:t>Emissions</w:t>
      </w:r>
      <w:r w:rsidRPr="001A48D3">
        <w:t xml:space="preserve"> Standards under Different Diesel Penetration and Durability Sensitivity Tests</w:t>
      </w:r>
      <w:bookmarkEnd w:id="83"/>
      <w:r w:rsidR="006B3936" w:rsidRPr="001A48D3">
        <w:t xml:space="preserve"> </w:t>
      </w:r>
    </w:p>
    <w:p w:rsidR="00F54BF4" w:rsidRPr="001A48D3" w:rsidRDefault="00641836" w:rsidP="00153F3E">
      <w:pPr>
        <w:spacing w:before="120" w:after="120"/>
      </w:pPr>
      <w:r w:rsidRPr="001A48D3">
        <w:t>The r</w:t>
      </w:r>
      <w:r w:rsidR="00F54BF4" w:rsidRPr="001A48D3">
        <w:t xml:space="preserve">esults of sensitivity tests for ST1 </w:t>
      </w:r>
      <w:r w:rsidR="00EA76CE" w:rsidRPr="001A48D3">
        <w:t xml:space="preserve">and ST2 </w:t>
      </w:r>
      <w:r w:rsidR="00AD2AEB" w:rsidRPr="001A48D3">
        <w:t>in</w:t>
      </w:r>
      <w:r w:rsidR="004C28A3" w:rsidRPr="001A48D3">
        <w:t xml:space="preserve"> </w:t>
      </w:r>
      <w:r w:rsidRPr="001A48D3">
        <w:t xml:space="preserve">terms of </w:t>
      </w:r>
      <w:r w:rsidR="004C28A3" w:rsidRPr="001A48D3">
        <w:t xml:space="preserve">the BCA </w:t>
      </w:r>
      <w:r w:rsidR="00EA76CE" w:rsidRPr="001A48D3">
        <w:t xml:space="preserve">are presented in Table </w:t>
      </w:r>
      <w:r w:rsidR="007B1EDC" w:rsidRPr="001A48D3">
        <w:t>1</w:t>
      </w:r>
      <w:r w:rsidR="006F4E2D" w:rsidRPr="001A48D3">
        <w:t>3</w:t>
      </w:r>
      <w:r w:rsidR="00F54BF4" w:rsidRPr="001A48D3">
        <w:t xml:space="preserve">. </w:t>
      </w:r>
      <w:r w:rsidR="00EA76CE" w:rsidRPr="001A48D3">
        <w:t xml:space="preserve"> While there are still net benefits under all tests, </w:t>
      </w:r>
      <w:r w:rsidRPr="001A48D3">
        <w:t xml:space="preserve">as noted above, </w:t>
      </w:r>
      <w:r w:rsidR="00EA76CE" w:rsidRPr="001A48D3">
        <w:t>i</w:t>
      </w:r>
      <w:r w:rsidR="00F54BF4" w:rsidRPr="001A48D3">
        <w:t xml:space="preserve">t appears that the results are more sensitive to the changes in the </w:t>
      </w:r>
      <w:r w:rsidR="00EA76CE" w:rsidRPr="001A48D3">
        <w:t>deterioration rates</w:t>
      </w:r>
      <w:r w:rsidR="00C4594A" w:rsidRPr="001A48D3">
        <w:t xml:space="preserve"> than diesel penetration rates</w:t>
      </w:r>
      <w:r w:rsidR="00F54BF4" w:rsidRPr="001A48D3">
        <w:t>.</w:t>
      </w:r>
    </w:p>
    <w:p w:rsidR="00F54BF4" w:rsidRPr="001A48D3" w:rsidRDefault="007B1EDC" w:rsidP="00B52F7D">
      <w:pPr>
        <w:pStyle w:val="Heading3"/>
      </w:pPr>
      <w:bookmarkStart w:id="84" w:name="_Toc430182542"/>
      <w:r w:rsidRPr="001A48D3">
        <w:lastRenderedPageBreak/>
        <w:t>Table 1</w:t>
      </w:r>
      <w:r w:rsidR="006F4E2D" w:rsidRPr="001A48D3">
        <w:t>3</w:t>
      </w:r>
      <w:r w:rsidR="00F54BF4" w:rsidRPr="001A48D3">
        <w:tab/>
      </w:r>
      <w:r w:rsidR="00EA76CE" w:rsidRPr="001A48D3">
        <w:t xml:space="preserve">Impact of Changes to </w:t>
      </w:r>
      <w:r w:rsidR="0095502B" w:rsidRPr="001A48D3">
        <w:t>Specified</w:t>
      </w:r>
      <w:r w:rsidR="00EA76CE" w:rsidRPr="001A48D3">
        <w:t xml:space="preserve"> </w:t>
      </w:r>
      <w:r w:rsidR="007811F9" w:rsidRPr="001A48D3">
        <w:t>Fleet Parameters</w:t>
      </w:r>
      <w:bookmarkEnd w:id="84"/>
      <w:r w:rsidR="00FC00B2" w:rsidRPr="001A48D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835"/>
        <w:gridCol w:w="2268"/>
      </w:tblGrid>
      <w:tr w:rsidR="00F54BF4" w:rsidRPr="001A48D3" w:rsidTr="00757C79">
        <w:tc>
          <w:tcPr>
            <w:tcW w:w="2518" w:type="dxa"/>
            <w:shd w:val="clear" w:color="auto" w:fill="FFC000"/>
          </w:tcPr>
          <w:p w:rsidR="00F54BF4" w:rsidRPr="001A48D3" w:rsidRDefault="00DB0228" w:rsidP="00C4701A">
            <w:pPr>
              <w:spacing w:before="120" w:after="120"/>
              <w:jc w:val="center"/>
              <w:rPr>
                <w:b/>
                <w:bCs/>
                <w:color w:val="000000"/>
                <w:sz w:val="22"/>
                <w:szCs w:val="22"/>
              </w:rPr>
            </w:pPr>
            <w:r w:rsidRPr="001A48D3">
              <w:rPr>
                <w:b/>
                <w:bCs/>
                <w:color w:val="000000"/>
                <w:sz w:val="22"/>
                <w:szCs w:val="22"/>
              </w:rPr>
              <w:t>Scenarios</w:t>
            </w:r>
          </w:p>
        </w:tc>
        <w:tc>
          <w:tcPr>
            <w:tcW w:w="2835" w:type="dxa"/>
            <w:shd w:val="clear" w:color="auto" w:fill="FFC000"/>
          </w:tcPr>
          <w:p w:rsidR="00F54BF4" w:rsidRPr="001A48D3" w:rsidRDefault="00F54BF4" w:rsidP="00C4701A">
            <w:pPr>
              <w:spacing w:before="120" w:after="120"/>
              <w:jc w:val="center"/>
              <w:rPr>
                <w:b/>
                <w:bCs/>
                <w:color w:val="000000"/>
                <w:sz w:val="22"/>
                <w:szCs w:val="22"/>
              </w:rPr>
            </w:pPr>
            <w:r w:rsidRPr="001A48D3">
              <w:rPr>
                <w:b/>
                <w:bCs/>
                <w:color w:val="000000"/>
                <w:sz w:val="22"/>
                <w:szCs w:val="22"/>
              </w:rPr>
              <w:t xml:space="preserve">Net </w:t>
            </w:r>
            <w:r w:rsidR="007811F9" w:rsidRPr="001A48D3">
              <w:rPr>
                <w:b/>
                <w:bCs/>
                <w:color w:val="000000"/>
                <w:sz w:val="22"/>
                <w:szCs w:val="22"/>
              </w:rPr>
              <w:t>Benefit</w:t>
            </w:r>
            <w:r w:rsidRPr="001A48D3">
              <w:rPr>
                <w:b/>
                <w:bCs/>
                <w:color w:val="000000"/>
                <w:sz w:val="22"/>
                <w:szCs w:val="22"/>
              </w:rPr>
              <w:br/>
              <w:t>($m)</w:t>
            </w:r>
          </w:p>
        </w:tc>
        <w:tc>
          <w:tcPr>
            <w:tcW w:w="2268" w:type="dxa"/>
            <w:shd w:val="clear" w:color="auto" w:fill="FFC000"/>
          </w:tcPr>
          <w:p w:rsidR="00F54BF4" w:rsidRPr="001A48D3" w:rsidRDefault="00F54BF4" w:rsidP="00C4701A">
            <w:pPr>
              <w:spacing w:before="120" w:after="120"/>
              <w:jc w:val="center"/>
              <w:rPr>
                <w:b/>
                <w:bCs/>
                <w:color w:val="000000"/>
                <w:sz w:val="22"/>
                <w:szCs w:val="22"/>
              </w:rPr>
            </w:pPr>
            <w:r w:rsidRPr="001A48D3">
              <w:rPr>
                <w:b/>
                <w:bCs/>
                <w:color w:val="000000"/>
                <w:sz w:val="22"/>
                <w:szCs w:val="22"/>
              </w:rPr>
              <w:t>Benefit–cost Ratio</w:t>
            </w:r>
          </w:p>
        </w:tc>
      </w:tr>
      <w:tr w:rsidR="00111519" w:rsidRPr="001A48D3" w:rsidTr="00111519">
        <w:tc>
          <w:tcPr>
            <w:tcW w:w="2518" w:type="dxa"/>
          </w:tcPr>
          <w:p w:rsidR="00111519" w:rsidRPr="001A48D3" w:rsidRDefault="00111519" w:rsidP="00C4701A">
            <w:pPr>
              <w:spacing w:after="120"/>
              <w:rPr>
                <w:sz w:val="22"/>
                <w:szCs w:val="22"/>
              </w:rPr>
            </w:pPr>
            <w:r w:rsidRPr="001A48D3">
              <w:rPr>
                <w:sz w:val="22"/>
                <w:szCs w:val="22"/>
              </w:rPr>
              <w:t xml:space="preserve">Base Case </w:t>
            </w:r>
          </w:p>
        </w:tc>
        <w:tc>
          <w:tcPr>
            <w:tcW w:w="2835" w:type="dxa"/>
            <w:vAlign w:val="center"/>
          </w:tcPr>
          <w:p w:rsidR="00111519" w:rsidRPr="001A48D3" w:rsidRDefault="00111519" w:rsidP="00C4701A">
            <w:pPr>
              <w:spacing w:after="120"/>
              <w:jc w:val="center"/>
              <w:rPr>
                <w:sz w:val="22"/>
                <w:szCs w:val="22"/>
              </w:rPr>
            </w:pPr>
            <w:r w:rsidRPr="001A48D3">
              <w:rPr>
                <w:sz w:val="22"/>
                <w:szCs w:val="22"/>
              </w:rPr>
              <w:t>579</w:t>
            </w:r>
          </w:p>
        </w:tc>
        <w:tc>
          <w:tcPr>
            <w:tcW w:w="2268" w:type="dxa"/>
            <w:vAlign w:val="center"/>
          </w:tcPr>
          <w:p w:rsidR="00111519" w:rsidRPr="001A48D3" w:rsidRDefault="00111519" w:rsidP="00C4701A">
            <w:pPr>
              <w:spacing w:after="120"/>
              <w:jc w:val="center"/>
              <w:rPr>
                <w:sz w:val="22"/>
                <w:szCs w:val="22"/>
              </w:rPr>
            </w:pPr>
            <w:r w:rsidRPr="001A48D3">
              <w:rPr>
                <w:sz w:val="22"/>
                <w:szCs w:val="22"/>
              </w:rPr>
              <w:t>1.37</w:t>
            </w:r>
          </w:p>
        </w:tc>
      </w:tr>
      <w:tr w:rsidR="00111519" w:rsidRPr="001A48D3" w:rsidTr="00111519">
        <w:tc>
          <w:tcPr>
            <w:tcW w:w="2518" w:type="dxa"/>
            <w:tcBorders>
              <w:bottom w:val="nil"/>
            </w:tcBorders>
          </w:tcPr>
          <w:p w:rsidR="00111519" w:rsidRPr="001A48D3" w:rsidRDefault="00111519" w:rsidP="00C4701A">
            <w:pPr>
              <w:spacing w:after="120"/>
              <w:rPr>
                <w:sz w:val="22"/>
                <w:szCs w:val="22"/>
              </w:rPr>
            </w:pPr>
            <w:r w:rsidRPr="001A48D3">
              <w:rPr>
                <w:sz w:val="22"/>
                <w:szCs w:val="22"/>
              </w:rPr>
              <w:t>ST1 (diesel penetration)</w:t>
            </w:r>
          </w:p>
        </w:tc>
        <w:tc>
          <w:tcPr>
            <w:tcW w:w="2835" w:type="dxa"/>
            <w:tcBorders>
              <w:bottom w:val="nil"/>
            </w:tcBorders>
            <w:vAlign w:val="center"/>
          </w:tcPr>
          <w:p w:rsidR="00111519" w:rsidRPr="001A48D3" w:rsidRDefault="00111519" w:rsidP="00C4701A">
            <w:pPr>
              <w:spacing w:after="120"/>
              <w:jc w:val="center"/>
              <w:rPr>
                <w:sz w:val="22"/>
                <w:szCs w:val="22"/>
              </w:rPr>
            </w:pPr>
          </w:p>
        </w:tc>
        <w:tc>
          <w:tcPr>
            <w:tcW w:w="2268" w:type="dxa"/>
            <w:tcBorders>
              <w:bottom w:val="nil"/>
            </w:tcBorders>
            <w:vAlign w:val="center"/>
          </w:tcPr>
          <w:p w:rsidR="00111519" w:rsidRPr="001A48D3" w:rsidRDefault="00111519" w:rsidP="00C4701A">
            <w:pPr>
              <w:spacing w:after="120"/>
              <w:jc w:val="center"/>
              <w:rPr>
                <w:sz w:val="22"/>
                <w:szCs w:val="22"/>
              </w:rPr>
            </w:pPr>
          </w:p>
        </w:tc>
      </w:tr>
      <w:tr w:rsidR="00111519" w:rsidRPr="001A48D3" w:rsidTr="00111519">
        <w:tc>
          <w:tcPr>
            <w:tcW w:w="2518" w:type="dxa"/>
            <w:tcBorders>
              <w:top w:val="nil"/>
              <w:bottom w:val="nil"/>
            </w:tcBorders>
          </w:tcPr>
          <w:p w:rsidR="00111519" w:rsidRPr="001A48D3" w:rsidRDefault="00111519" w:rsidP="00C4701A">
            <w:pPr>
              <w:spacing w:after="120"/>
              <w:ind w:left="720"/>
              <w:rPr>
                <w:sz w:val="22"/>
                <w:szCs w:val="22"/>
              </w:rPr>
            </w:pPr>
            <w:r w:rsidRPr="001A48D3">
              <w:rPr>
                <w:sz w:val="22"/>
                <w:szCs w:val="22"/>
              </w:rPr>
              <w:t>Low</w:t>
            </w:r>
          </w:p>
        </w:tc>
        <w:tc>
          <w:tcPr>
            <w:tcW w:w="2835" w:type="dxa"/>
            <w:tcBorders>
              <w:top w:val="nil"/>
              <w:bottom w:val="nil"/>
            </w:tcBorders>
            <w:vAlign w:val="center"/>
          </w:tcPr>
          <w:p w:rsidR="00111519" w:rsidRPr="001A48D3" w:rsidRDefault="00111519" w:rsidP="00C4701A">
            <w:pPr>
              <w:spacing w:after="120"/>
              <w:jc w:val="center"/>
              <w:rPr>
                <w:sz w:val="22"/>
                <w:szCs w:val="22"/>
              </w:rPr>
            </w:pPr>
            <w:r w:rsidRPr="001A48D3">
              <w:rPr>
                <w:sz w:val="22"/>
                <w:szCs w:val="22"/>
              </w:rPr>
              <w:t>444</w:t>
            </w:r>
          </w:p>
        </w:tc>
        <w:tc>
          <w:tcPr>
            <w:tcW w:w="2268" w:type="dxa"/>
            <w:tcBorders>
              <w:top w:val="nil"/>
              <w:bottom w:val="nil"/>
            </w:tcBorders>
            <w:vAlign w:val="center"/>
          </w:tcPr>
          <w:p w:rsidR="00111519" w:rsidRPr="001A48D3" w:rsidRDefault="00111519" w:rsidP="00C4701A">
            <w:pPr>
              <w:spacing w:after="120"/>
              <w:jc w:val="center"/>
              <w:rPr>
                <w:sz w:val="22"/>
                <w:szCs w:val="22"/>
              </w:rPr>
            </w:pPr>
            <w:r w:rsidRPr="001A48D3">
              <w:rPr>
                <w:sz w:val="22"/>
                <w:szCs w:val="22"/>
              </w:rPr>
              <w:t>1.37</w:t>
            </w:r>
          </w:p>
        </w:tc>
      </w:tr>
      <w:tr w:rsidR="00111519" w:rsidRPr="001A48D3" w:rsidTr="00111519">
        <w:tc>
          <w:tcPr>
            <w:tcW w:w="2518" w:type="dxa"/>
            <w:tcBorders>
              <w:top w:val="nil"/>
            </w:tcBorders>
          </w:tcPr>
          <w:p w:rsidR="00111519" w:rsidRPr="001A48D3" w:rsidRDefault="00111519" w:rsidP="00C4701A">
            <w:pPr>
              <w:spacing w:after="120"/>
              <w:ind w:left="720"/>
              <w:rPr>
                <w:sz w:val="22"/>
                <w:szCs w:val="22"/>
              </w:rPr>
            </w:pPr>
            <w:r w:rsidRPr="001A48D3">
              <w:rPr>
                <w:sz w:val="22"/>
                <w:szCs w:val="22"/>
              </w:rPr>
              <w:t>High</w:t>
            </w:r>
          </w:p>
        </w:tc>
        <w:tc>
          <w:tcPr>
            <w:tcW w:w="2835" w:type="dxa"/>
            <w:tcBorders>
              <w:top w:val="nil"/>
            </w:tcBorders>
            <w:vAlign w:val="center"/>
          </w:tcPr>
          <w:p w:rsidR="00111519" w:rsidRPr="001A48D3" w:rsidRDefault="00111519" w:rsidP="00C4701A">
            <w:pPr>
              <w:spacing w:after="120"/>
              <w:jc w:val="center"/>
              <w:rPr>
                <w:sz w:val="22"/>
                <w:szCs w:val="22"/>
              </w:rPr>
            </w:pPr>
            <w:r w:rsidRPr="001A48D3">
              <w:rPr>
                <w:sz w:val="22"/>
                <w:szCs w:val="22"/>
              </w:rPr>
              <w:t>581</w:t>
            </w:r>
          </w:p>
        </w:tc>
        <w:tc>
          <w:tcPr>
            <w:tcW w:w="2268" w:type="dxa"/>
            <w:tcBorders>
              <w:top w:val="nil"/>
            </w:tcBorders>
            <w:vAlign w:val="center"/>
          </w:tcPr>
          <w:p w:rsidR="00111519" w:rsidRPr="001A48D3" w:rsidRDefault="00111519" w:rsidP="00C4701A">
            <w:pPr>
              <w:spacing w:after="120"/>
              <w:jc w:val="center"/>
              <w:rPr>
                <w:sz w:val="22"/>
                <w:szCs w:val="22"/>
              </w:rPr>
            </w:pPr>
            <w:r w:rsidRPr="001A48D3">
              <w:rPr>
                <w:sz w:val="22"/>
                <w:szCs w:val="22"/>
              </w:rPr>
              <w:t>1.37</w:t>
            </w:r>
          </w:p>
        </w:tc>
      </w:tr>
      <w:tr w:rsidR="00111519" w:rsidRPr="001A48D3" w:rsidTr="00111519">
        <w:tc>
          <w:tcPr>
            <w:tcW w:w="2518" w:type="dxa"/>
            <w:tcBorders>
              <w:bottom w:val="nil"/>
            </w:tcBorders>
          </w:tcPr>
          <w:p w:rsidR="00111519" w:rsidRPr="001A48D3" w:rsidRDefault="00111519" w:rsidP="00C4701A">
            <w:pPr>
              <w:spacing w:after="120"/>
              <w:rPr>
                <w:sz w:val="22"/>
                <w:szCs w:val="22"/>
              </w:rPr>
            </w:pPr>
            <w:r w:rsidRPr="001A48D3">
              <w:rPr>
                <w:sz w:val="22"/>
                <w:szCs w:val="22"/>
              </w:rPr>
              <w:t>ST2 (deterioration rates)</w:t>
            </w:r>
          </w:p>
        </w:tc>
        <w:tc>
          <w:tcPr>
            <w:tcW w:w="2835" w:type="dxa"/>
            <w:tcBorders>
              <w:bottom w:val="nil"/>
            </w:tcBorders>
            <w:vAlign w:val="center"/>
          </w:tcPr>
          <w:p w:rsidR="00111519" w:rsidRPr="001A48D3" w:rsidRDefault="00111519" w:rsidP="00C4701A">
            <w:pPr>
              <w:spacing w:after="120"/>
              <w:jc w:val="center"/>
              <w:rPr>
                <w:sz w:val="22"/>
                <w:szCs w:val="22"/>
              </w:rPr>
            </w:pPr>
          </w:p>
        </w:tc>
        <w:tc>
          <w:tcPr>
            <w:tcW w:w="2268" w:type="dxa"/>
            <w:tcBorders>
              <w:bottom w:val="nil"/>
            </w:tcBorders>
            <w:vAlign w:val="center"/>
          </w:tcPr>
          <w:p w:rsidR="00111519" w:rsidRPr="001A48D3" w:rsidRDefault="00111519" w:rsidP="00C4701A">
            <w:pPr>
              <w:spacing w:after="120"/>
              <w:jc w:val="center"/>
              <w:rPr>
                <w:sz w:val="22"/>
                <w:szCs w:val="22"/>
              </w:rPr>
            </w:pPr>
          </w:p>
        </w:tc>
      </w:tr>
      <w:tr w:rsidR="00111519" w:rsidRPr="001A48D3" w:rsidTr="00111519">
        <w:tc>
          <w:tcPr>
            <w:tcW w:w="2518" w:type="dxa"/>
            <w:tcBorders>
              <w:top w:val="nil"/>
              <w:bottom w:val="nil"/>
            </w:tcBorders>
          </w:tcPr>
          <w:p w:rsidR="00111519" w:rsidRPr="001A48D3" w:rsidRDefault="00111519" w:rsidP="00C4701A">
            <w:pPr>
              <w:spacing w:after="120"/>
              <w:ind w:left="720"/>
              <w:rPr>
                <w:sz w:val="22"/>
                <w:szCs w:val="22"/>
              </w:rPr>
            </w:pPr>
            <w:r w:rsidRPr="001A48D3">
              <w:rPr>
                <w:sz w:val="22"/>
                <w:szCs w:val="22"/>
              </w:rPr>
              <w:t>Low</w:t>
            </w:r>
          </w:p>
        </w:tc>
        <w:tc>
          <w:tcPr>
            <w:tcW w:w="2835" w:type="dxa"/>
            <w:tcBorders>
              <w:top w:val="nil"/>
              <w:bottom w:val="nil"/>
            </w:tcBorders>
            <w:vAlign w:val="center"/>
          </w:tcPr>
          <w:p w:rsidR="00111519" w:rsidRPr="001A48D3" w:rsidRDefault="00111519" w:rsidP="00C4701A">
            <w:pPr>
              <w:spacing w:after="120"/>
              <w:jc w:val="center"/>
              <w:rPr>
                <w:sz w:val="22"/>
                <w:szCs w:val="22"/>
              </w:rPr>
            </w:pPr>
            <w:r w:rsidRPr="001A48D3">
              <w:rPr>
                <w:sz w:val="22"/>
                <w:szCs w:val="22"/>
              </w:rPr>
              <w:t>248</w:t>
            </w:r>
          </w:p>
        </w:tc>
        <w:tc>
          <w:tcPr>
            <w:tcW w:w="2268" w:type="dxa"/>
            <w:tcBorders>
              <w:top w:val="nil"/>
              <w:bottom w:val="nil"/>
            </w:tcBorders>
            <w:vAlign w:val="center"/>
          </w:tcPr>
          <w:p w:rsidR="00111519" w:rsidRPr="001A48D3" w:rsidRDefault="00111519" w:rsidP="00C4701A">
            <w:pPr>
              <w:spacing w:after="120"/>
              <w:jc w:val="center"/>
              <w:rPr>
                <w:sz w:val="22"/>
                <w:szCs w:val="22"/>
              </w:rPr>
            </w:pPr>
            <w:r w:rsidRPr="001A48D3">
              <w:rPr>
                <w:sz w:val="22"/>
                <w:szCs w:val="22"/>
              </w:rPr>
              <w:t>1.16</w:t>
            </w:r>
          </w:p>
        </w:tc>
      </w:tr>
      <w:tr w:rsidR="00111519" w:rsidRPr="001A48D3" w:rsidTr="00111519">
        <w:tc>
          <w:tcPr>
            <w:tcW w:w="2518" w:type="dxa"/>
            <w:tcBorders>
              <w:top w:val="nil"/>
            </w:tcBorders>
          </w:tcPr>
          <w:p w:rsidR="00111519" w:rsidRPr="001A48D3" w:rsidRDefault="00111519" w:rsidP="00C4701A">
            <w:pPr>
              <w:spacing w:after="120"/>
              <w:ind w:left="720"/>
              <w:rPr>
                <w:sz w:val="22"/>
                <w:szCs w:val="22"/>
              </w:rPr>
            </w:pPr>
            <w:r w:rsidRPr="001A48D3">
              <w:rPr>
                <w:sz w:val="22"/>
                <w:szCs w:val="22"/>
              </w:rPr>
              <w:t>High</w:t>
            </w:r>
          </w:p>
        </w:tc>
        <w:tc>
          <w:tcPr>
            <w:tcW w:w="2835" w:type="dxa"/>
            <w:tcBorders>
              <w:top w:val="nil"/>
            </w:tcBorders>
            <w:vAlign w:val="center"/>
          </w:tcPr>
          <w:p w:rsidR="00111519" w:rsidRPr="001A48D3" w:rsidRDefault="00111519" w:rsidP="00C4701A">
            <w:pPr>
              <w:spacing w:after="120"/>
              <w:jc w:val="center"/>
              <w:rPr>
                <w:sz w:val="22"/>
                <w:szCs w:val="22"/>
              </w:rPr>
            </w:pPr>
            <w:r w:rsidRPr="001A48D3">
              <w:rPr>
                <w:sz w:val="22"/>
                <w:szCs w:val="22"/>
              </w:rPr>
              <w:t>922</w:t>
            </w:r>
          </w:p>
        </w:tc>
        <w:tc>
          <w:tcPr>
            <w:tcW w:w="2268" w:type="dxa"/>
            <w:tcBorders>
              <w:top w:val="nil"/>
            </w:tcBorders>
            <w:vAlign w:val="center"/>
          </w:tcPr>
          <w:p w:rsidR="00111519" w:rsidRPr="001A48D3" w:rsidRDefault="00111519" w:rsidP="00C4701A">
            <w:pPr>
              <w:spacing w:after="120"/>
              <w:jc w:val="center"/>
              <w:rPr>
                <w:sz w:val="22"/>
                <w:szCs w:val="22"/>
              </w:rPr>
            </w:pPr>
            <w:r w:rsidRPr="001A48D3">
              <w:rPr>
                <w:sz w:val="22"/>
                <w:szCs w:val="22"/>
              </w:rPr>
              <w:t>1.60</w:t>
            </w:r>
          </w:p>
        </w:tc>
      </w:tr>
    </w:tbl>
    <w:p w:rsidR="00F54BF4" w:rsidRPr="001A48D3" w:rsidRDefault="007811F9" w:rsidP="00153F3E">
      <w:pPr>
        <w:pStyle w:val="Heading4"/>
        <w:spacing w:before="240" w:after="120"/>
      </w:pPr>
      <w:bookmarkStart w:id="85" w:name="_Toc430182543"/>
      <w:r w:rsidRPr="001A48D3">
        <w:t>Changes to Unit Health C</w:t>
      </w:r>
      <w:r w:rsidR="00F54BF4" w:rsidRPr="001A48D3">
        <w:t>ost</w:t>
      </w:r>
      <w:r w:rsidRPr="001A48D3">
        <w:t>s</w:t>
      </w:r>
      <w:bookmarkEnd w:id="85"/>
    </w:p>
    <w:p w:rsidR="00F54BF4" w:rsidRPr="001A48D3" w:rsidRDefault="00673D2D" w:rsidP="00C4701A">
      <w:pPr>
        <w:spacing w:after="120"/>
      </w:pPr>
      <w:r w:rsidRPr="001A48D3">
        <w:t>The two test</w:t>
      </w:r>
      <w:r w:rsidR="002D1EB1" w:rsidRPr="001A48D3">
        <w:t>s</w:t>
      </w:r>
      <w:r w:rsidRPr="001A48D3">
        <w:t xml:space="preserve"> for health costs were simply to apply a ±50% factor to the base case estimates.  </w:t>
      </w:r>
      <w:r w:rsidR="007B1EDC" w:rsidRPr="001A48D3">
        <w:t>As shown in Table 1</w:t>
      </w:r>
      <w:r w:rsidR="006F4E2D" w:rsidRPr="001A48D3">
        <w:t>4</w:t>
      </w:r>
      <w:r w:rsidR="00443C4B" w:rsidRPr="001A48D3">
        <w:t>, u</w:t>
      </w:r>
      <w:r w:rsidR="00F54BF4" w:rsidRPr="001A48D3">
        <w:t xml:space="preserve">nder the unlikely scenario where unit health cost values </w:t>
      </w:r>
      <w:r w:rsidR="00DD6BED" w:rsidRPr="001A48D3">
        <w:t xml:space="preserve">(i.e. the benefits measured in terms of avoided health costs) </w:t>
      </w:r>
      <w:r w:rsidR="007811F9" w:rsidRPr="001A48D3">
        <w:t>are</w:t>
      </w:r>
      <w:r w:rsidR="00F54BF4" w:rsidRPr="001A48D3">
        <w:t xml:space="preserve"> reduced by 50</w:t>
      </w:r>
      <w:r w:rsidRPr="001A48D3">
        <w:t>%</w:t>
      </w:r>
      <w:r w:rsidR="00DD6BED" w:rsidRPr="001A48D3">
        <w:t>, there is a net cost over the analysis period</w:t>
      </w:r>
      <w:r w:rsidR="00F54BF4" w:rsidRPr="001A48D3">
        <w:t>.</w:t>
      </w:r>
    </w:p>
    <w:p w:rsidR="00F54BF4" w:rsidRPr="001A48D3" w:rsidRDefault="007B1EDC" w:rsidP="00B52F7D">
      <w:pPr>
        <w:pStyle w:val="Heading3"/>
      </w:pPr>
      <w:bookmarkStart w:id="86" w:name="_Toc430182544"/>
      <w:r w:rsidRPr="001A48D3">
        <w:t>Table 1</w:t>
      </w:r>
      <w:r w:rsidR="006F4E2D" w:rsidRPr="001A48D3">
        <w:t>4</w:t>
      </w:r>
      <w:r w:rsidR="00F54BF4" w:rsidRPr="001A48D3">
        <w:tab/>
      </w:r>
      <w:r w:rsidR="007811F9" w:rsidRPr="001A48D3">
        <w:t>Impact of Changes to Unit Health Costs</w:t>
      </w:r>
      <w:bookmarkEnd w:id="86"/>
      <w:r w:rsidR="00FC00B2" w:rsidRPr="001A48D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268"/>
      </w:tblGrid>
      <w:tr w:rsidR="00F54BF4" w:rsidRPr="001A48D3" w:rsidTr="00673D2D">
        <w:tc>
          <w:tcPr>
            <w:tcW w:w="2518" w:type="dxa"/>
            <w:shd w:val="clear" w:color="auto" w:fill="FFC000"/>
            <w:vAlign w:val="center"/>
          </w:tcPr>
          <w:p w:rsidR="00F54BF4" w:rsidRPr="001A48D3" w:rsidRDefault="00673D2D" w:rsidP="00C4701A">
            <w:pPr>
              <w:spacing w:before="120" w:after="120"/>
              <w:jc w:val="center"/>
              <w:rPr>
                <w:b/>
                <w:bCs/>
                <w:color w:val="000000"/>
                <w:sz w:val="22"/>
                <w:szCs w:val="22"/>
              </w:rPr>
            </w:pPr>
            <w:r w:rsidRPr="001A48D3">
              <w:rPr>
                <w:b/>
                <w:bCs/>
                <w:color w:val="000000"/>
                <w:sz w:val="22"/>
                <w:szCs w:val="22"/>
              </w:rPr>
              <w:t>Scenarios</w:t>
            </w:r>
          </w:p>
        </w:tc>
        <w:tc>
          <w:tcPr>
            <w:tcW w:w="2835" w:type="dxa"/>
            <w:shd w:val="clear" w:color="auto" w:fill="FFC000"/>
            <w:vAlign w:val="center"/>
          </w:tcPr>
          <w:p w:rsidR="00F54BF4" w:rsidRPr="001A48D3" w:rsidRDefault="00F54BF4" w:rsidP="00C4701A">
            <w:pPr>
              <w:spacing w:before="120" w:after="120"/>
              <w:jc w:val="center"/>
              <w:rPr>
                <w:b/>
                <w:bCs/>
                <w:color w:val="000000"/>
                <w:sz w:val="22"/>
                <w:szCs w:val="22"/>
              </w:rPr>
            </w:pPr>
            <w:r w:rsidRPr="001A48D3">
              <w:rPr>
                <w:b/>
                <w:bCs/>
                <w:color w:val="000000"/>
                <w:sz w:val="22"/>
                <w:szCs w:val="22"/>
              </w:rPr>
              <w:t xml:space="preserve">Net </w:t>
            </w:r>
            <w:r w:rsidR="007811F9" w:rsidRPr="001A48D3">
              <w:rPr>
                <w:b/>
                <w:bCs/>
                <w:color w:val="000000"/>
                <w:sz w:val="22"/>
                <w:szCs w:val="22"/>
              </w:rPr>
              <w:t>Benefit</w:t>
            </w:r>
            <w:r w:rsidRPr="001A48D3">
              <w:rPr>
                <w:b/>
                <w:bCs/>
                <w:color w:val="000000"/>
                <w:sz w:val="22"/>
                <w:szCs w:val="22"/>
              </w:rPr>
              <w:br/>
              <w:t>($m)</w:t>
            </w:r>
          </w:p>
        </w:tc>
        <w:tc>
          <w:tcPr>
            <w:tcW w:w="2268" w:type="dxa"/>
            <w:shd w:val="clear" w:color="auto" w:fill="FFC000"/>
            <w:vAlign w:val="center"/>
          </w:tcPr>
          <w:p w:rsidR="00F54BF4" w:rsidRPr="001A48D3" w:rsidRDefault="00F54BF4" w:rsidP="00C4701A">
            <w:pPr>
              <w:spacing w:before="120" w:after="120"/>
              <w:jc w:val="center"/>
              <w:rPr>
                <w:b/>
                <w:bCs/>
                <w:color w:val="000000"/>
                <w:sz w:val="22"/>
                <w:szCs w:val="22"/>
              </w:rPr>
            </w:pPr>
            <w:r w:rsidRPr="001A48D3">
              <w:rPr>
                <w:b/>
                <w:bCs/>
                <w:color w:val="000000"/>
                <w:sz w:val="22"/>
                <w:szCs w:val="22"/>
              </w:rPr>
              <w:t>Benefit–cost Ratio</w:t>
            </w:r>
          </w:p>
        </w:tc>
      </w:tr>
      <w:tr w:rsidR="00111519" w:rsidRPr="001A48D3" w:rsidTr="00673D2D">
        <w:tc>
          <w:tcPr>
            <w:tcW w:w="2518" w:type="dxa"/>
            <w:vAlign w:val="center"/>
          </w:tcPr>
          <w:p w:rsidR="00111519" w:rsidRPr="001A48D3" w:rsidRDefault="00111519" w:rsidP="00C4701A">
            <w:pPr>
              <w:spacing w:after="120"/>
              <w:rPr>
                <w:sz w:val="22"/>
                <w:szCs w:val="22"/>
              </w:rPr>
            </w:pPr>
            <w:r w:rsidRPr="001A48D3">
              <w:rPr>
                <w:sz w:val="22"/>
                <w:szCs w:val="22"/>
              </w:rPr>
              <w:t>Base Case</w:t>
            </w:r>
          </w:p>
        </w:tc>
        <w:tc>
          <w:tcPr>
            <w:tcW w:w="2835" w:type="dxa"/>
            <w:vAlign w:val="center"/>
          </w:tcPr>
          <w:p w:rsidR="00111519" w:rsidRPr="001A48D3" w:rsidRDefault="00111519" w:rsidP="00C4701A">
            <w:pPr>
              <w:spacing w:after="120"/>
              <w:jc w:val="center"/>
              <w:rPr>
                <w:sz w:val="22"/>
                <w:szCs w:val="22"/>
              </w:rPr>
            </w:pPr>
            <w:r w:rsidRPr="001A48D3">
              <w:rPr>
                <w:sz w:val="22"/>
                <w:szCs w:val="22"/>
              </w:rPr>
              <w:t>579</w:t>
            </w:r>
          </w:p>
        </w:tc>
        <w:tc>
          <w:tcPr>
            <w:tcW w:w="2268" w:type="dxa"/>
            <w:vAlign w:val="center"/>
          </w:tcPr>
          <w:p w:rsidR="00111519" w:rsidRPr="001A48D3" w:rsidRDefault="00111519" w:rsidP="00C4701A">
            <w:pPr>
              <w:spacing w:after="120"/>
              <w:jc w:val="center"/>
              <w:rPr>
                <w:sz w:val="22"/>
                <w:szCs w:val="22"/>
              </w:rPr>
            </w:pPr>
            <w:r w:rsidRPr="001A48D3">
              <w:rPr>
                <w:sz w:val="22"/>
                <w:szCs w:val="22"/>
              </w:rPr>
              <w:t>1.37</w:t>
            </w:r>
          </w:p>
        </w:tc>
      </w:tr>
      <w:tr w:rsidR="00111519" w:rsidRPr="001A48D3" w:rsidTr="00673D2D">
        <w:tc>
          <w:tcPr>
            <w:tcW w:w="2518" w:type="dxa"/>
            <w:vAlign w:val="center"/>
          </w:tcPr>
          <w:p w:rsidR="00111519" w:rsidRPr="001A48D3" w:rsidRDefault="00111519" w:rsidP="00C4701A">
            <w:pPr>
              <w:spacing w:after="120"/>
              <w:rPr>
                <w:sz w:val="22"/>
                <w:szCs w:val="22"/>
              </w:rPr>
            </w:pPr>
            <w:r w:rsidRPr="001A48D3">
              <w:rPr>
                <w:sz w:val="22"/>
                <w:szCs w:val="22"/>
              </w:rPr>
              <w:t>Low Avoided Cost (– 50%)</w:t>
            </w:r>
          </w:p>
        </w:tc>
        <w:tc>
          <w:tcPr>
            <w:tcW w:w="2835" w:type="dxa"/>
            <w:vAlign w:val="center"/>
          </w:tcPr>
          <w:p w:rsidR="00111519" w:rsidRPr="001A48D3" w:rsidRDefault="00111519" w:rsidP="00C4701A">
            <w:pPr>
              <w:spacing w:after="120"/>
              <w:jc w:val="center"/>
              <w:rPr>
                <w:sz w:val="22"/>
                <w:szCs w:val="22"/>
              </w:rPr>
            </w:pPr>
            <w:r w:rsidRPr="001A48D3">
              <w:rPr>
                <w:sz w:val="22"/>
                <w:szCs w:val="22"/>
              </w:rPr>
              <w:t>– 485</w:t>
            </w:r>
          </w:p>
        </w:tc>
        <w:tc>
          <w:tcPr>
            <w:tcW w:w="2268" w:type="dxa"/>
            <w:vAlign w:val="center"/>
          </w:tcPr>
          <w:p w:rsidR="00111519" w:rsidRPr="001A48D3" w:rsidRDefault="00111519" w:rsidP="00C4701A">
            <w:pPr>
              <w:spacing w:after="120"/>
              <w:jc w:val="center"/>
              <w:rPr>
                <w:sz w:val="22"/>
                <w:szCs w:val="22"/>
              </w:rPr>
            </w:pPr>
            <w:r w:rsidRPr="001A48D3">
              <w:rPr>
                <w:sz w:val="22"/>
                <w:szCs w:val="22"/>
              </w:rPr>
              <w:t>0.69</w:t>
            </w:r>
          </w:p>
        </w:tc>
      </w:tr>
      <w:tr w:rsidR="00111519" w:rsidRPr="001A48D3" w:rsidTr="00673D2D">
        <w:tc>
          <w:tcPr>
            <w:tcW w:w="2518" w:type="dxa"/>
            <w:vAlign w:val="center"/>
          </w:tcPr>
          <w:p w:rsidR="00111519" w:rsidRPr="001A48D3" w:rsidRDefault="00111519" w:rsidP="00C4701A">
            <w:pPr>
              <w:spacing w:after="120"/>
              <w:rPr>
                <w:sz w:val="22"/>
                <w:szCs w:val="22"/>
              </w:rPr>
            </w:pPr>
            <w:r w:rsidRPr="001A48D3">
              <w:rPr>
                <w:sz w:val="22"/>
                <w:szCs w:val="22"/>
              </w:rPr>
              <w:t>High Avoided Cost (+ 50%)</w:t>
            </w:r>
          </w:p>
        </w:tc>
        <w:tc>
          <w:tcPr>
            <w:tcW w:w="2835" w:type="dxa"/>
            <w:vAlign w:val="center"/>
          </w:tcPr>
          <w:p w:rsidR="00111519" w:rsidRPr="001A48D3" w:rsidRDefault="00111519" w:rsidP="00C4701A">
            <w:pPr>
              <w:spacing w:after="120"/>
              <w:jc w:val="center"/>
              <w:rPr>
                <w:sz w:val="22"/>
                <w:szCs w:val="22"/>
              </w:rPr>
            </w:pPr>
            <w:r w:rsidRPr="001A48D3">
              <w:rPr>
                <w:sz w:val="22"/>
                <w:szCs w:val="22"/>
              </w:rPr>
              <w:t>1,643</w:t>
            </w:r>
          </w:p>
        </w:tc>
        <w:tc>
          <w:tcPr>
            <w:tcW w:w="2268" w:type="dxa"/>
            <w:vAlign w:val="center"/>
          </w:tcPr>
          <w:p w:rsidR="00111519" w:rsidRPr="001A48D3" w:rsidRDefault="00111519" w:rsidP="00C4701A">
            <w:pPr>
              <w:spacing w:after="120"/>
              <w:jc w:val="center"/>
              <w:rPr>
                <w:sz w:val="22"/>
                <w:szCs w:val="22"/>
              </w:rPr>
            </w:pPr>
            <w:r w:rsidRPr="001A48D3">
              <w:rPr>
                <w:sz w:val="22"/>
                <w:szCs w:val="22"/>
              </w:rPr>
              <w:t>2.06</w:t>
            </w:r>
          </w:p>
        </w:tc>
      </w:tr>
    </w:tbl>
    <w:p w:rsidR="00F54BF4" w:rsidRPr="001A48D3" w:rsidRDefault="00945CBA" w:rsidP="00153F3E">
      <w:pPr>
        <w:pStyle w:val="Heading4"/>
        <w:spacing w:before="240" w:after="120"/>
      </w:pPr>
      <w:r w:rsidRPr="001A48D3">
        <w:br w:type="page"/>
      </w:r>
      <w:bookmarkStart w:id="87" w:name="_Toc430182545"/>
      <w:r w:rsidR="00673D2D" w:rsidRPr="001A48D3">
        <w:lastRenderedPageBreak/>
        <w:t>Changes to Implementation C</w:t>
      </w:r>
      <w:r w:rsidR="00F54BF4" w:rsidRPr="001A48D3">
        <w:t>osts</w:t>
      </w:r>
      <w:bookmarkEnd w:id="87"/>
    </w:p>
    <w:p w:rsidR="007811F9" w:rsidRPr="001A48D3" w:rsidRDefault="00DD6BED" w:rsidP="00C4701A">
      <w:pPr>
        <w:spacing w:after="120"/>
      </w:pPr>
      <w:r w:rsidRPr="001A48D3">
        <w:t>As noted earlier, th</w:t>
      </w:r>
      <w:r w:rsidR="00F54BF4" w:rsidRPr="001A48D3">
        <w:t xml:space="preserve">ere are </w:t>
      </w:r>
      <w:r w:rsidR="00C62627" w:rsidRPr="001A48D3">
        <w:t xml:space="preserve">considerable </w:t>
      </w:r>
      <w:r w:rsidR="00F54BF4" w:rsidRPr="001A48D3">
        <w:t>uncertainties in the assumed cost adjustment proc</w:t>
      </w:r>
      <w:r w:rsidR="00443C4B" w:rsidRPr="001A48D3">
        <w:t>ess illustrated in Figure 9</w:t>
      </w:r>
      <w:r w:rsidR="00F54BF4" w:rsidRPr="001A48D3">
        <w:t xml:space="preserve">. </w:t>
      </w:r>
      <w:r w:rsidR="007811F9" w:rsidRPr="001A48D3">
        <w:t xml:space="preserve"> </w:t>
      </w:r>
      <w:r w:rsidR="00F54BF4" w:rsidRPr="001A48D3">
        <w:t xml:space="preserve">An alternative assumption tested </w:t>
      </w:r>
      <w:r w:rsidR="00447172" w:rsidRPr="001A48D3">
        <w:t xml:space="preserve">in this RIS </w:t>
      </w:r>
      <w:r w:rsidR="00F54BF4" w:rsidRPr="001A48D3">
        <w:t xml:space="preserve">is to assume no downward cost adjustment over time. </w:t>
      </w:r>
      <w:r w:rsidR="007811F9" w:rsidRPr="001A48D3">
        <w:t xml:space="preserve"> </w:t>
      </w:r>
      <w:r w:rsidR="00F54BF4" w:rsidRPr="001A48D3">
        <w:t xml:space="preserve">The result of the </w:t>
      </w:r>
      <w:r w:rsidR="007B1EDC" w:rsidRPr="001A48D3">
        <w:t>testing is presented in Table 1</w:t>
      </w:r>
      <w:r w:rsidR="006F4E2D" w:rsidRPr="001A48D3">
        <w:t>5</w:t>
      </w:r>
      <w:r w:rsidR="007B1EDC" w:rsidRPr="001A48D3">
        <w:t>.</w:t>
      </w:r>
      <w:r w:rsidR="00F54BF4" w:rsidRPr="001A48D3">
        <w:t xml:space="preserve"> </w:t>
      </w:r>
      <w:r w:rsidR="007811F9" w:rsidRPr="001A48D3">
        <w:t xml:space="preserve"> E</w:t>
      </w:r>
      <w:r w:rsidR="00F54BF4" w:rsidRPr="001A48D3">
        <w:t>ven with this very conservative assumption, the</w:t>
      </w:r>
      <w:r w:rsidRPr="001A48D3">
        <w:t>re are still net benefits over the analysis period</w:t>
      </w:r>
      <w:r w:rsidR="00F54BF4" w:rsidRPr="001A48D3">
        <w:t>.</w:t>
      </w:r>
    </w:p>
    <w:p w:rsidR="00F54BF4" w:rsidRPr="001A48D3" w:rsidRDefault="007B1EDC" w:rsidP="00B52F7D">
      <w:pPr>
        <w:pStyle w:val="Heading3"/>
      </w:pPr>
      <w:bookmarkStart w:id="88" w:name="_Toc430182546"/>
      <w:r w:rsidRPr="001A48D3">
        <w:t>Table 1</w:t>
      </w:r>
      <w:r w:rsidR="006F4E2D" w:rsidRPr="001A48D3">
        <w:t>5</w:t>
      </w:r>
      <w:r w:rsidR="00F54BF4" w:rsidRPr="001A48D3">
        <w:tab/>
      </w:r>
      <w:r w:rsidR="00673D2D" w:rsidRPr="001A48D3">
        <w:t xml:space="preserve">Impact of </w:t>
      </w:r>
      <w:r w:rsidR="00F54BF4" w:rsidRPr="001A48D3">
        <w:t xml:space="preserve">Changes to Implementation </w:t>
      </w:r>
      <w:r w:rsidR="00DD2271" w:rsidRPr="001A48D3">
        <w:t xml:space="preserve">(Vehicle) </w:t>
      </w:r>
      <w:r w:rsidR="00F54BF4" w:rsidRPr="001A48D3">
        <w:t>Costs</w:t>
      </w:r>
      <w:bookmarkEnd w:id="88"/>
      <w:r w:rsidR="00FC00B2" w:rsidRPr="001A48D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410"/>
        <w:gridCol w:w="2268"/>
      </w:tblGrid>
      <w:tr w:rsidR="00F54BF4" w:rsidRPr="001A48D3" w:rsidTr="00673D2D">
        <w:tc>
          <w:tcPr>
            <w:tcW w:w="2943" w:type="dxa"/>
            <w:shd w:val="clear" w:color="auto" w:fill="FFC000"/>
            <w:vAlign w:val="center"/>
          </w:tcPr>
          <w:p w:rsidR="00F54BF4" w:rsidRPr="001A48D3" w:rsidRDefault="00673D2D" w:rsidP="00C4701A">
            <w:pPr>
              <w:spacing w:before="120" w:after="120"/>
              <w:jc w:val="center"/>
              <w:rPr>
                <w:b/>
                <w:bCs/>
                <w:color w:val="000000"/>
                <w:sz w:val="22"/>
                <w:szCs w:val="22"/>
              </w:rPr>
            </w:pPr>
            <w:r w:rsidRPr="001A48D3">
              <w:rPr>
                <w:b/>
                <w:bCs/>
                <w:color w:val="000000"/>
                <w:sz w:val="22"/>
                <w:szCs w:val="22"/>
              </w:rPr>
              <w:t>Scenarios</w:t>
            </w:r>
          </w:p>
        </w:tc>
        <w:tc>
          <w:tcPr>
            <w:tcW w:w="2410" w:type="dxa"/>
            <w:shd w:val="clear" w:color="auto" w:fill="FFC000"/>
            <w:vAlign w:val="center"/>
          </w:tcPr>
          <w:p w:rsidR="00F54BF4" w:rsidRPr="001A48D3" w:rsidRDefault="00F54BF4" w:rsidP="00C4701A">
            <w:pPr>
              <w:spacing w:before="120" w:after="120"/>
              <w:jc w:val="center"/>
              <w:rPr>
                <w:b/>
                <w:bCs/>
                <w:color w:val="000000"/>
                <w:sz w:val="22"/>
                <w:szCs w:val="22"/>
              </w:rPr>
            </w:pPr>
            <w:r w:rsidRPr="001A48D3">
              <w:rPr>
                <w:b/>
                <w:bCs/>
                <w:color w:val="000000"/>
                <w:sz w:val="22"/>
                <w:szCs w:val="22"/>
              </w:rPr>
              <w:t xml:space="preserve">Net </w:t>
            </w:r>
            <w:r w:rsidR="00DD6BED" w:rsidRPr="001A48D3">
              <w:rPr>
                <w:b/>
                <w:bCs/>
                <w:color w:val="000000"/>
                <w:sz w:val="22"/>
                <w:szCs w:val="22"/>
              </w:rPr>
              <w:t>Benefit</w:t>
            </w:r>
            <w:r w:rsidRPr="001A48D3">
              <w:rPr>
                <w:b/>
                <w:bCs/>
                <w:color w:val="000000"/>
                <w:sz w:val="22"/>
                <w:szCs w:val="22"/>
              </w:rPr>
              <w:br/>
              <w:t>($m)</w:t>
            </w:r>
          </w:p>
        </w:tc>
        <w:tc>
          <w:tcPr>
            <w:tcW w:w="2268" w:type="dxa"/>
            <w:shd w:val="clear" w:color="auto" w:fill="FFC000"/>
            <w:vAlign w:val="center"/>
          </w:tcPr>
          <w:p w:rsidR="00F54BF4" w:rsidRPr="001A48D3" w:rsidRDefault="00F54BF4" w:rsidP="00C4701A">
            <w:pPr>
              <w:spacing w:before="120" w:after="120"/>
              <w:jc w:val="center"/>
              <w:rPr>
                <w:b/>
                <w:bCs/>
                <w:color w:val="000000"/>
                <w:sz w:val="22"/>
                <w:szCs w:val="22"/>
              </w:rPr>
            </w:pPr>
            <w:r w:rsidRPr="001A48D3">
              <w:rPr>
                <w:b/>
                <w:bCs/>
                <w:color w:val="000000"/>
                <w:sz w:val="22"/>
                <w:szCs w:val="22"/>
              </w:rPr>
              <w:t>Benefit–cost Ratio</w:t>
            </w:r>
          </w:p>
        </w:tc>
      </w:tr>
      <w:tr w:rsidR="00111519" w:rsidRPr="001A48D3" w:rsidTr="00673D2D">
        <w:tc>
          <w:tcPr>
            <w:tcW w:w="2943" w:type="dxa"/>
            <w:vAlign w:val="center"/>
          </w:tcPr>
          <w:p w:rsidR="00111519" w:rsidRPr="001A48D3" w:rsidRDefault="00111519" w:rsidP="00C4701A">
            <w:pPr>
              <w:spacing w:after="120"/>
              <w:rPr>
                <w:sz w:val="22"/>
                <w:szCs w:val="22"/>
              </w:rPr>
            </w:pPr>
            <w:r w:rsidRPr="001A48D3">
              <w:rPr>
                <w:sz w:val="22"/>
                <w:szCs w:val="22"/>
              </w:rPr>
              <w:t>Base Case</w:t>
            </w:r>
          </w:p>
        </w:tc>
        <w:tc>
          <w:tcPr>
            <w:tcW w:w="2410" w:type="dxa"/>
            <w:vAlign w:val="center"/>
          </w:tcPr>
          <w:p w:rsidR="00111519" w:rsidRPr="001A48D3" w:rsidRDefault="00111519" w:rsidP="00C4701A">
            <w:pPr>
              <w:spacing w:after="120"/>
              <w:jc w:val="center"/>
              <w:rPr>
                <w:sz w:val="22"/>
                <w:szCs w:val="22"/>
              </w:rPr>
            </w:pPr>
            <w:r w:rsidRPr="001A48D3">
              <w:rPr>
                <w:sz w:val="22"/>
                <w:szCs w:val="22"/>
              </w:rPr>
              <w:t>579</w:t>
            </w:r>
          </w:p>
        </w:tc>
        <w:tc>
          <w:tcPr>
            <w:tcW w:w="2268" w:type="dxa"/>
            <w:vAlign w:val="center"/>
          </w:tcPr>
          <w:p w:rsidR="00111519" w:rsidRPr="001A48D3" w:rsidRDefault="00111519" w:rsidP="00C4701A">
            <w:pPr>
              <w:spacing w:after="120"/>
              <w:jc w:val="center"/>
              <w:rPr>
                <w:sz w:val="22"/>
                <w:szCs w:val="22"/>
              </w:rPr>
            </w:pPr>
            <w:r w:rsidRPr="001A48D3">
              <w:rPr>
                <w:sz w:val="22"/>
                <w:szCs w:val="22"/>
              </w:rPr>
              <w:t>1.37</w:t>
            </w:r>
          </w:p>
        </w:tc>
      </w:tr>
      <w:tr w:rsidR="00111519" w:rsidRPr="001A48D3" w:rsidTr="00673D2D">
        <w:tc>
          <w:tcPr>
            <w:tcW w:w="2943" w:type="dxa"/>
            <w:vAlign w:val="center"/>
          </w:tcPr>
          <w:p w:rsidR="00111519" w:rsidRPr="001A48D3" w:rsidRDefault="00111519" w:rsidP="00C4701A">
            <w:pPr>
              <w:spacing w:after="120"/>
              <w:rPr>
                <w:sz w:val="22"/>
                <w:szCs w:val="22"/>
              </w:rPr>
            </w:pPr>
            <w:r w:rsidRPr="001A48D3">
              <w:rPr>
                <w:sz w:val="22"/>
                <w:szCs w:val="22"/>
              </w:rPr>
              <w:t xml:space="preserve">High Cost </w:t>
            </w:r>
            <w:r w:rsidRPr="001A48D3">
              <w:rPr>
                <w:sz w:val="22"/>
                <w:szCs w:val="22"/>
              </w:rPr>
              <w:br/>
              <w:t>(no downward cost adjustment)</w:t>
            </w:r>
          </w:p>
        </w:tc>
        <w:tc>
          <w:tcPr>
            <w:tcW w:w="2410" w:type="dxa"/>
            <w:vAlign w:val="center"/>
          </w:tcPr>
          <w:p w:rsidR="00111519" w:rsidRPr="001A48D3" w:rsidRDefault="00111519" w:rsidP="00C4701A">
            <w:pPr>
              <w:spacing w:after="120"/>
              <w:jc w:val="center"/>
              <w:rPr>
                <w:sz w:val="22"/>
                <w:szCs w:val="22"/>
              </w:rPr>
            </w:pPr>
            <w:r w:rsidRPr="001A48D3">
              <w:rPr>
                <w:sz w:val="22"/>
                <w:szCs w:val="22"/>
              </w:rPr>
              <w:t>489</w:t>
            </w:r>
          </w:p>
        </w:tc>
        <w:tc>
          <w:tcPr>
            <w:tcW w:w="2268" w:type="dxa"/>
            <w:vAlign w:val="center"/>
          </w:tcPr>
          <w:p w:rsidR="00111519" w:rsidRPr="001A48D3" w:rsidRDefault="00111519" w:rsidP="00C4701A">
            <w:pPr>
              <w:spacing w:after="120"/>
              <w:jc w:val="center"/>
              <w:rPr>
                <w:sz w:val="22"/>
                <w:szCs w:val="22"/>
              </w:rPr>
            </w:pPr>
            <w:r w:rsidRPr="001A48D3">
              <w:rPr>
                <w:sz w:val="22"/>
                <w:szCs w:val="22"/>
              </w:rPr>
              <w:t>1.30</w:t>
            </w:r>
          </w:p>
        </w:tc>
      </w:tr>
    </w:tbl>
    <w:p w:rsidR="00F54BF4" w:rsidRPr="001A48D3" w:rsidRDefault="00447172" w:rsidP="00153F3E">
      <w:pPr>
        <w:pStyle w:val="Heading4"/>
        <w:spacing w:before="240" w:after="120"/>
      </w:pPr>
      <w:bookmarkStart w:id="89" w:name="_Toc430182547"/>
      <w:r w:rsidRPr="001A48D3">
        <w:t>Changes to Discount R</w:t>
      </w:r>
      <w:r w:rsidR="00F54BF4" w:rsidRPr="001A48D3">
        <w:t>ates</w:t>
      </w:r>
      <w:bookmarkEnd w:id="89"/>
    </w:p>
    <w:p w:rsidR="00F54BF4" w:rsidRPr="001A48D3" w:rsidRDefault="00F54BF4" w:rsidP="00C4701A">
      <w:pPr>
        <w:spacing w:after="120"/>
      </w:pPr>
      <w:r w:rsidRPr="001A48D3">
        <w:t>The results of sensitivity testing in relation to the disc</w:t>
      </w:r>
      <w:r w:rsidR="007B1EDC" w:rsidRPr="001A48D3">
        <w:t>ount rates are shown in Table 1</w:t>
      </w:r>
      <w:r w:rsidR="006F4E2D" w:rsidRPr="001A48D3">
        <w:t>6</w:t>
      </w:r>
      <w:r w:rsidRPr="001A48D3">
        <w:t xml:space="preserve">. </w:t>
      </w:r>
      <w:r w:rsidR="00DD6BED" w:rsidRPr="001A48D3">
        <w:t xml:space="preserve"> There are net benefits under all three rates, w</w:t>
      </w:r>
      <w:r w:rsidRPr="001A48D3">
        <w:t xml:space="preserve">ith </w:t>
      </w:r>
      <w:r w:rsidR="00DD6BED" w:rsidRPr="001A48D3">
        <w:t>the 3</w:t>
      </w:r>
      <w:r w:rsidR="00D56B08" w:rsidRPr="001A48D3">
        <w:t>%</w:t>
      </w:r>
      <w:r w:rsidR="00DD6BED" w:rsidRPr="001A48D3">
        <w:t xml:space="preserve"> </w:t>
      </w:r>
      <w:r w:rsidRPr="001A48D3">
        <w:t xml:space="preserve">discount rate </w:t>
      </w:r>
      <w:r w:rsidR="00DD6BED" w:rsidRPr="001A48D3">
        <w:t>p</w:t>
      </w:r>
      <w:r w:rsidRPr="001A48D3">
        <w:t>referred</w:t>
      </w:r>
      <w:r w:rsidR="00DD6BED" w:rsidRPr="001A48D3">
        <w:t xml:space="preserve"> by BITRE delivering a significantly higher net benefit than the base case.</w:t>
      </w:r>
      <w:r w:rsidRPr="001A48D3">
        <w:t xml:space="preserve"> </w:t>
      </w:r>
    </w:p>
    <w:p w:rsidR="00F54BF4" w:rsidRPr="001A48D3" w:rsidRDefault="007B1EDC" w:rsidP="00B52F7D">
      <w:pPr>
        <w:pStyle w:val="Heading3"/>
      </w:pPr>
      <w:bookmarkStart w:id="90" w:name="_Toc430182548"/>
      <w:r w:rsidRPr="001A48D3">
        <w:t>Table 1</w:t>
      </w:r>
      <w:r w:rsidR="006F4E2D" w:rsidRPr="001A48D3">
        <w:t>6</w:t>
      </w:r>
      <w:r w:rsidR="00F54BF4" w:rsidRPr="001A48D3">
        <w:tab/>
      </w:r>
      <w:r w:rsidR="00673D2D" w:rsidRPr="001A48D3">
        <w:t xml:space="preserve">Impact of </w:t>
      </w:r>
      <w:r w:rsidR="00F54BF4" w:rsidRPr="001A48D3">
        <w:t>Changes to Discount Rates</w:t>
      </w:r>
      <w:bookmarkEnd w:id="90"/>
      <w:r w:rsidR="00FC00B2" w:rsidRPr="001A48D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268"/>
      </w:tblGrid>
      <w:tr w:rsidR="00F54BF4" w:rsidRPr="001A48D3" w:rsidTr="00673D2D">
        <w:tc>
          <w:tcPr>
            <w:tcW w:w="2518" w:type="dxa"/>
            <w:shd w:val="clear" w:color="auto" w:fill="FFC000"/>
            <w:vAlign w:val="center"/>
          </w:tcPr>
          <w:p w:rsidR="00F54BF4" w:rsidRPr="001A48D3" w:rsidRDefault="00673D2D" w:rsidP="00C4701A">
            <w:pPr>
              <w:spacing w:before="120" w:after="120"/>
              <w:jc w:val="center"/>
              <w:rPr>
                <w:b/>
                <w:bCs/>
                <w:color w:val="000000"/>
                <w:sz w:val="22"/>
                <w:szCs w:val="22"/>
              </w:rPr>
            </w:pPr>
            <w:r w:rsidRPr="001A48D3">
              <w:rPr>
                <w:b/>
                <w:bCs/>
                <w:color w:val="000000"/>
                <w:sz w:val="22"/>
                <w:szCs w:val="22"/>
              </w:rPr>
              <w:t>Scenarios</w:t>
            </w:r>
          </w:p>
        </w:tc>
        <w:tc>
          <w:tcPr>
            <w:tcW w:w="2835" w:type="dxa"/>
            <w:shd w:val="clear" w:color="auto" w:fill="FFC000"/>
            <w:vAlign w:val="center"/>
          </w:tcPr>
          <w:p w:rsidR="00F54BF4" w:rsidRPr="001A48D3" w:rsidRDefault="00F54BF4" w:rsidP="00C4701A">
            <w:pPr>
              <w:spacing w:before="120" w:after="120"/>
              <w:jc w:val="center"/>
              <w:rPr>
                <w:b/>
                <w:bCs/>
                <w:color w:val="000000"/>
                <w:sz w:val="22"/>
                <w:szCs w:val="22"/>
              </w:rPr>
            </w:pPr>
            <w:r w:rsidRPr="001A48D3">
              <w:rPr>
                <w:b/>
                <w:bCs/>
                <w:color w:val="000000"/>
                <w:sz w:val="22"/>
                <w:szCs w:val="22"/>
              </w:rPr>
              <w:t xml:space="preserve">Net </w:t>
            </w:r>
            <w:r w:rsidR="00DD6BED" w:rsidRPr="001A48D3">
              <w:rPr>
                <w:b/>
                <w:bCs/>
                <w:color w:val="000000"/>
                <w:sz w:val="22"/>
                <w:szCs w:val="22"/>
              </w:rPr>
              <w:t>Benefit</w:t>
            </w:r>
            <w:r w:rsidRPr="001A48D3">
              <w:rPr>
                <w:b/>
                <w:bCs/>
                <w:color w:val="000000"/>
                <w:sz w:val="22"/>
                <w:szCs w:val="22"/>
              </w:rPr>
              <w:br/>
              <w:t>($m)</w:t>
            </w:r>
          </w:p>
        </w:tc>
        <w:tc>
          <w:tcPr>
            <w:tcW w:w="2268" w:type="dxa"/>
            <w:shd w:val="clear" w:color="auto" w:fill="FFC000"/>
            <w:vAlign w:val="center"/>
          </w:tcPr>
          <w:p w:rsidR="00F54BF4" w:rsidRPr="001A48D3" w:rsidRDefault="00F54BF4" w:rsidP="00C4701A">
            <w:pPr>
              <w:spacing w:before="120" w:after="120"/>
              <w:jc w:val="center"/>
              <w:rPr>
                <w:b/>
                <w:bCs/>
                <w:color w:val="000000"/>
                <w:sz w:val="22"/>
                <w:szCs w:val="22"/>
              </w:rPr>
            </w:pPr>
            <w:r w:rsidRPr="001A48D3">
              <w:rPr>
                <w:b/>
                <w:bCs/>
                <w:color w:val="000000"/>
                <w:sz w:val="22"/>
                <w:szCs w:val="22"/>
              </w:rPr>
              <w:t>Benefit–cost Ratio</w:t>
            </w:r>
          </w:p>
        </w:tc>
      </w:tr>
      <w:tr w:rsidR="00111519" w:rsidRPr="001A48D3" w:rsidTr="00673D2D">
        <w:tc>
          <w:tcPr>
            <w:tcW w:w="2518" w:type="dxa"/>
            <w:vAlign w:val="center"/>
          </w:tcPr>
          <w:p w:rsidR="00111519" w:rsidRPr="001A48D3" w:rsidRDefault="00111519" w:rsidP="00C4701A">
            <w:pPr>
              <w:spacing w:before="60" w:after="120"/>
              <w:rPr>
                <w:sz w:val="22"/>
                <w:szCs w:val="22"/>
              </w:rPr>
            </w:pPr>
            <w:r w:rsidRPr="001A48D3">
              <w:rPr>
                <w:sz w:val="22"/>
                <w:szCs w:val="22"/>
              </w:rPr>
              <w:t>Base Case (7%)</w:t>
            </w:r>
          </w:p>
        </w:tc>
        <w:tc>
          <w:tcPr>
            <w:tcW w:w="2835" w:type="dxa"/>
            <w:vAlign w:val="center"/>
          </w:tcPr>
          <w:p w:rsidR="00111519" w:rsidRPr="001A48D3" w:rsidRDefault="00111519" w:rsidP="00C4701A">
            <w:pPr>
              <w:spacing w:before="60" w:after="120"/>
              <w:jc w:val="center"/>
              <w:rPr>
                <w:sz w:val="22"/>
                <w:szCs w:val="22"/>
              </w:rPr>
            </w:pPr>
            <w:r w:rsidRPr="001A48D3">
              <w:rPr>
                <w:sz w:val="22"/>
                <w:szCs w:val="22"/>
              </w:rPr>
              <w:t>579</w:t>
            </w:r>
          </w:p>
        </w:tc>
        <w:tc>
          <w:tcPr>
            <w:tcW w:w="2268" w:type="dxa"/>
            <w:vAlign w:val="center"/>
          </w:tcPr>
          <w:p w:rsidR="00111519" w:rsidRPr="001A48D3" w:rsidRDefault="00111519" w:rsidP="00C4701A">
            <w:pPr>
              <w:spacing w:before="60" w:after="120"/>
              <w:jc w:val="center"/>
              <w:rPr>
                <w:sz w:val="22"/>
                <w:szCs w:val="22"/>
              </w:rPr>
            </w:pPr>
            <w:r w:rsidRPr="001A48D3">
              <w:rPr>
                <w:sz w:val="22"/>
                <w:szCs w:val="22"/>
              </w:rPr>
              <w:t>1.37</w:t>
            </w:r>
          </w:p>
        </w:tc>
      </w:tr>
      <w:tr w:rsidR="00111519" w:rsidRPr="001A48D3" w:rsidTr="00673D2D">
        <w:tc>
          <w:tcPr>
            <w:tcW w:w="2518" w:type="dxa"/>
            <w:vAlign w:val="center"/>
          </w:tcPr>
          <w:p w:rsidR="00111519" w:rsidRPr="001A48D3" w:rsidRDefault="00111519" w:rsidP="00C4701A">
            <w:pPr>
              <w:spacing w:before="60" w:after="120"/>
              <w:rPr>
                <w:sz w:val="22"/>
                <w:szCs w:val="22"/>
              </w:rPr>
            </w:pPr>
            <w:r w:rsidRPr="001A48D3">
              <w:rPr>
                <w:sz w:val="22"/>
                <w:szCs w:val="22"/>
              </w:rPr>
              <w:t>Low (3%)</w:t>
            </w:r>
          </w:p>
        </w:tc>
        <w:tc>
          <w:tcPr>
            <w:tcW w:w="2835" w:type="dxa"/>
            <w:vAlign w:val="center"/>
          </w:tcPr>
          <w:p w:rsidR="00111519" w:rsidRPr="001A48D3" w:rsidRDefault="00111519" w:rsidP="00C4701A">
            <w:pPr>
              <w:spacing w:before="60" w:after="120"/>
              <w:jc w:val="center"/>
              <w:rPr>
                <w:sz w:val="22"/>
                <w:szCs w:val="22"/>
              </w:rPr>
            </w:pPr>
            <w:r w:rsidRPr="001A48D3">
              <w:rPr>
                <w:sz w:val="22"/>
                <w:szCs w:val="22"/>
              </w:rPr>
              <w:t>1,576</w:t>
            </w:r>
          </w:p>
        </w:tc>
        <w:tc>
          <w:tcPr>
            <w:tcW w:w="2268" w:type="dxa"/>
            <w:vAlign w:val="center"/>
          </w:tcPr>
          <w:p w:rsidR="00111519" w:rsidRPr="001A48D3" w:rsidRDefault="00111519" w:rsidP="00C4701A">
            <w:pPr>
              <w:spacing w:before="60" w:after="120"/>
              <w:jc w:val="center"/>
              <w:rPr>
                <w:sz w:val="22"/>
                <w:szCs w:val="22"/>
              </w:rPr>
            </w:pPr>
            <w:r w:rsidRPr="001A48D3">
              <w:rPr>
                <w:sz w:val="22"/>
                <w:szCs w:val="22"/>
              </w:rPr>
              <w:t>1.77</w:t>
            </w:r>
          </w:p>
        </w:tc>
      </w:tr>
      <w:tr w:rsidR="00111519" w:rsidRPr="001A48D3" w:rsidTr="00673D2D">
        <w:tc>
          <w:tcPr>
            <w:tcW w:w="2518" w:type="dxa"/>
            <w:vAlign w:val="center"/>
          </w:tcPr>
          <w:p w:rsidR="00111519" w:rsidRPr="001A48D3" w:rsidRDefault="00111519" w:rsidP="00C4701A">
            <w:pPr>
              <w:spacing w:before="60" w:after="120"/>
              <w:rPr>
                <w:sz w:val="22"/>
                <w:szCs w:val="22"/>
              </w:rPr>
            </w:pPr>
            <w:r w:rsidRPr="001A48D3">
              <w:rPr>
                <w:sz w:val="22"/>
                <w:szCs w:val="22"/>
              </w:rPr>
              <w:t>High (11%)</w:t>
            </w:r>
          </w:p>
        </w:tc>
        <w:tc>
          <w:tcPr>
            <w:tcW w:w="2835" w:type="dxa"/>
            <w:vAlign w:val="center"/>
          </w:tcPr>
          <w:p w:rsidR="00111519" w:rsidRPr="001A48D3" w:rsidRDefault="00111519" w:rsidP="00C4701A">
            <w:pPr>
              <w:spacing w:before="60" w:after="120"/>
              <w:jc w:val="center"/>
              <w:rPr>
                <w:sz w:val="22"/>
                <w:szCs w:val="22"/>
              </w:rPr>
            </w:pPr>
            <w:r w:rsidRPr="001A48D3">
              <w:rPr>
                <w:sz w:val="22"/>
                <w:szCs w:val="22"/>
              </w:rPr>
              <w:t>132</w:t>
            </w:r>
          </w:p>
        </w:tc>
        <w:tc>
          <w:tcPr>
            <w:tcW w:w="2268" w:type="dxa"/>
            <w:vAlign w:val="center"/>
          </w:tcPr>
          <w:p w:rsidR="00111519" w:rsidRPr="001A48D3" w:rsidRDefault="00111519" w:rsidP="00C4701A">
            <w:pPr>
              <w:spacing w:before="60" w:after="120"/>
              <w:jc w:val="center"/>
              <w:rPr>
                <w:sz w:val="22"/>
                <w:szCs w:val="22"/>
              </w:rPr>
            </w:pPr>
            <w:r w:rsidRPr="001A48D3">
              <w:rPr>
                <w:sz w:val="22"/>
                <w:szCs w:val="22"/>
              </w:rPr>
              <w:t>1.11</w:t>
            </w:r>
          </w:p>
        </w:tc>
      </w:tr>
    </w:tbl>
    <w:p w:rsidR="00DE0841" w:rsidRPr="001A48D3" w:rsidRDefault="00447172" w:rsidP="00153F3E">
      <w:pPr>
        <w:pStyle w:val="Heading4"/>
        <w:spacing w:before="240" w:after="120"/>
      </w:pPr>
      <w:bookmarkStart w:id="91" w:name="_Toc430182549"/>
      <w:r w:rsidRPr="001A48D3">
        <w:t>Changes to Value of a Statistical L</w:t>
      </w:r>
      <w:r w:rsidR="00DE0841" w:rsidRPr="001A48D3">
        <w:t>ife</w:t>
      </w:r>
      <w:bookmarkEnd w:id="91"/>
    </w:p>
    <w:p w:rsidR="00244954" w:rsidRPr="001A48D3" w:rsidRDefault="00244954" w:rsidP="00C4701A">
      <w:pPr>
        <w:spacing w:after="120"/>
      </w:pPr>
      <w:r w:rsidRPr="001A48D3">
        <w:t xml:space="preserve">As noted in </w:t>
      </w:r>
      <w:r w:rsidR="004605B9" w:rsidRPr="001A48D3">
        <w:t>S</w:t>
      </w:r>
      <w:r w:rsidRPr="001A48D3">
        <w:t>ection 4.3, the estimates for avoided health costs can vary widely, and in part this is affected by the assumed value of a statistical life (VSL).  The implied average VSL used by the three most recent studies evaluated in the BCA was $6 million and was derived from a consistent methodology (willingness to pay).  This is consistent with a 2008 report</w:t>
      </w:r>
      <w:r w:rsidRPr="001A48D3">
        <w:rPr>
          <w:rStyle w:val="FootnoteReference"/>
        </w:rPr>
        <w:footnoteReference w:id="47"/>
      </w:r>
      <w:r w:rsidRPr="001A48D3">
        <w:t xml:space="preserve"> for Australian Safety and Compensation Council, which, while also noting the inherent uncertainties in VSL estimates suggested a “ballpark average” of $6 million for VSL, with sensitivity analysis recommended at $3.7 million and $8.1 million.  To assess the influence of changes in VSL on the BCA outcomes, a sensitivity test using the VSL estimate preferred by the OBPR ($3.</w:t>
      </w:r>
      <w:r w:rsidR="00111519" w:rsidRPr="001A48D3">
        <w:t>7</w:t>
      </w:r>
      <w:r w:rsidRPr="001A48D3">
        <w:t xml:space="preserve"> million) was conducted.  The result of the testing is presented in Table 1</w:t>
      </w:r>
      <w:r w:rsidR="006F4E2D" w:rsidRPr="001A48D3">
        <w:t>7</w:t>
      </w:r>
      <w:r w:rsidRPr="001A48D3">
        <w:t xml:space="preserve">.  Using this </w:t>
      </w:r>
      <w:r w:rsidRPr="001A48D3">
        <w:lastRenderedPageBreak/>
        <w:t xml:space="preserve">very conservative assumption, the net benefits are </w:t>
      </w:r>
      <w:r w:rsidR="00111519" w:rsidRPr="001A48D3">
        <w:t xml:space="preserve">greatly </w:t>
      </w:r>
      <w:r w:rsidRPr="001A48D3">
        <w:t>reduced, although still positive over the analysis period.</w:t>
      </w:r>
    </w:p>
    <w:p w:rsidR="00244954" w:rsidRPr="001A48D3" w:rsidRDefault="00244954" w:rsidP="00B52F7D">
      <w:pPr>
        <w:pStyle w:val="Heading3"/>
      </w:pPr>
      <w:bookmarkStart w:id="92" w:name="_Toc430182550"/>
      <w:r w:rsidRPr="001A48D3">
        <w:t>Table 1</w:t>
      </w:r>
      <w:r w:rsidR="006F4E2D" w:rsidRPr="001A48D3">
        <w:t>7</w:t>
      </w:r>
      <w:r w:rsidRPr="001A48D3">
        <w:tab/>
        <w:t>Impact of Changes to Value of Statistical Life Estimates</w:t>
      </w:r>
      <w:bookmarkEnd w:id="92"/>
      <w:r w:rsidR="00FC00B2" w:rsidRPr="001A48D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268"/>
      </w:tblGrid>
      <w:tr w:rsidR="00244954" w:rsidRPr="001A48D3" w:rsidTr="00442137">
        <w:tc>
          <w:tcPr>
            <w:tcW w:w="2518" w:type="dxa"/>
            <w:shd w:val="clear" w:color="auto" w:fill="FFC000"/>
            <w:vAlign w:val="center"/>
          </w:tcPr>
          <w:p w:rsidR="00244954" w:rsidRPr="001A48D3" w:rsidRDefault="00244954" w:rsidP="00C4701A">
            <w:pPr>
              <w:spacing w:before="120" w:after="120"/>
              <w:jc w:val="center"/>
              <w:rPr>
                <w:b/>
                <w:sz w:val="22"/>
                <w:szCs w:val="22"/>
              </w:rPr>
            </w:pPr>
            <w:r w:rsidRPr="001A48D3">
              <w:rPr>
                <w:b/>
                <w:sz w:val="22"/>
                <w:szCs w:val="22"/>
              </w:rPr>
              <w:t>Assumed VSL</w:t>
            </w:r>
          </w:p>
        </w:tc>
        <w:tc>
          <w:tcPr>
            <w:tcW w:w="2835" w:type="dxa"/>
            <w:shd w:val="clear" w:color="auto" w:fill="FFC000"/>
            <w:vAlign w:val="center"/>
          </w:tcPr>
          <w:p w:rsidR="00244954" w:rsidRPr="001A48D3" w:rsidRDefault="00244954" w:rsidP="00C4701A">
            <w:pPr>
              <w:spacing w:before="120" w:after="120"/>
              <w:jc w:val="center"/>
              <w:rPr>
                <w:b/>
                <w:sz w:val="22"/>
                <w:szCs w:val="22"/>
              </w:rPr>
            </w:pPr>
            <w:r w:rsidRPr="001A48D3">
              <w:rPr>
                <w:b/>
                <w:sz w:val="22"/>
                <w:szCs w:val="22"/>
              </w:rPr>
              <w:t>Net Benefit</w:t>
            </w:r>
            <w:r w:rsidRPr="001A48D3">
              <w:rPr>
                <w:b/>
                <w:sz w:val="22"/>
                <w:szCs w:val="22"/>
              </w:rPr>
              <w:br/>
              <w:t>($m)</w:t>
            </w:r>
          </w:p>
        </w:tc>
        <w:tc>
          <w:tcPr>
            <w:tcW w:w="2268" w:type="dxa"/>
            <w:shd w:val="clear" w:color="auto" w:fill="FFC000"/>
            <w:vAlign w:val="center"/>
          </w:tcPr>
          <w:p w:rsidR="00244954" w:rsidRPr="001A48D3" w:rsidRDefault="00244954" w:rsidP="00C4701A">
            <w:pPr>
              <w:spacing w:before="120" w:after="120"/>
              <w:jc w:val="center"/>
              <w:rPr>
                <w:b/>
                <w:sz w:val="22"/>
                <w:szCs w:val="22"/>
              </w:rPr>
            </w:pPr>
            <w:r w:rsidRPr="001A48D3">
              <w:rPr>
                <w:b/>
                <w:sz w:val="22"/>
                <w:szCs w:val="22"/>
              </w:rPr>
              <w:t>Benefit–cost Ratio</w:t>
            </w:r>
          </w:p>
        </w:tc>
      </w:tr>
      <w:tr w:rsidR="00111519" w:rsidRPr="001A48D3" w:rsidTr="00442137">
        <w:tc>
          <w:tcPr>
            <w:tcW w:w="2518" w:type="dxa"/>
            <w:vAlign w:val="center"/>
          </w:tcPr>
          <w:p w:rsidR="00111519" w:rsidRPr="001A48D3" w:rsidRDefault="00111519" w:rsidP="00C4701A">
            <w:pPr>
              <w:spacing w:before="60" w:after="120"/>
              <w:rPr>
                <w:sz w:val="22"/>
                <w:szCs w:val="22"/>
              </w:rPr>
            </w:pPr>
            <w:r w:rsidRPr="001A48D3">
              <w:rPr>
                <w:sz w:val="22"/>
                <w:szCs w:val="22"/>
              </w:rPr>
              <w:t>Base Case ($6m)</w:t>
            </w:r>
          </w:p>
        </w:tc>
        <w:tc>
          <w:tcPr>
            <w:tcW w:w="2835" w:type="dxa"/>
            <w:vAlign w:val="center"/>
          </w:tcPr>
          <w:p w:rsidR="00111519" w:rsidRPr="001A48D3" w:rsidRDefault="00111519" w:rsidP="00C4701A">
            <w:pPr>
              <w:spacing w:before="60" w:after="120"/>
              <w:jc w:val="center"/>
              <w:rPr>
                <w:sz w:val="22"/>
                <w:szCs w:val="22"/>
              </w:rPr>
            </w:pPr>
            <w:r w:rsidRPr="001A48D3">
              <w:rPr>
                <w:sz w:val="22"/>
                <w:szCs w:val="22"/>
              </w:rPr>
              <w:t>579</w:t>
            </w:r>
          </w:p>
        </w:tc>
        <w:tc>
          <w:tcPr>
            <w:tcW w:w="2268" w:type="dxa"/>
            <w:vAlign w:val="center"/>
          </w:tcPr>
          <w:p w:rsidR="00111519" w:rsidRPr="001A48D3" w:rsidRDefault="00111519" w:rsidP="00C4701A">
            <w:pPr>
              <w:spacing w:before="60" w:after="120"/>
              <w:jc w:val="center"/>
              <w:rPr>
                <w:sz w:val="22"/>
                <w:szCs w:val="22"/>
              </w:rPr>
            </w:pPr>
            <w:r w:rsidRPr="001A48D3">
              <w:rPr>
                <w:sz w:val="22"/>
                <w:szCs w:val="22"/>
              </w:rPr>
              <w:t>1.37</w:t>
            </w:r>
          </w:p>
        </w:tc>
      </w:tr>
      <w:tr w:rsidR="00111519" w:rsidRPr="001A48D3" w:rsidTr="00442137">
        <w:tc>
          <w:tcPr>
            <w:tcW w:w="2518" w:type="dxa"/>
            <w:vAlign w:val="center"/>
          </w:tcPr>
          <w:p w:rsidR="00111519" w:rsidRPr="001A48D3" w:rsidRDefault="00111519" w:rsidP="00C4701A">
            <w:pPr>
              <w:spacing w:before="60" w:after="120"/>
              <w:rPr>
                <w:sz w:val="22"/>
                <w:szCs w:val="22"/>
              </w:rPr>
            </w:pPr>
            <w:r w:rsidRPr="001A48D3">
              <w:rPr>
                <w:sz w:val="22"/>
                <w:szCs w:val="22"/>
              </w:rPr>
              <w:t>Low Case ($3.7m)</w:t>
            </w:r>
          </w:p>
        </w:tc>
        <w:tc>
          <w:tcPr>
            <w:tcW w:w="2835" w:type="dxa"/>
            <w:vAlign w:val="center"/>
          </w:tcPr>
          <w:p w:rsidR="00111519" w:rsidRPr="001A48D3" w:rsidRDefault="00111519" w:rsidP="00C4701A">
            <w:pPr>
              <w:spacing w:before="60" w:after="120"/>
              <w:jc w:val="center"/>
              <w:rPr>
                <w:sz w:val="22"/>
                <w:szCs w:val="22"/>
              </w:rPr>
            </w:pPr>
            <w:r w:rsidRPr="001A48D3">
              <w:rPr>
                <w:sz w:val="22"/>
                <w:szCs w:val="22"/>
              </w:rPr>
              <w:t>20</w:t>
            </w:r>
          </w:p>
        </w:tc>
        <w:tc>
          <w:tcPr>
            <w:tcW w:w="2268" w:type="dxa"/>
            <w:vAlign w:val="center"/>
          </w:tcPr>
          <w:p w:rsidR="00111519" w:rsidRPr="001A48D3" w:rsidRDefault="00111519" w:rsidP="00C4701A">
            <w:pPr>
              <w:spacing w:before="60" w:after="120"/>
              <w:jc w:val="center"/>
              <w:rPr>
                <w:sz w:val="22"/>
                <w:szCs w:val="22"/>
              </w:rPr>
            </w:pPr>
            <w:r w:rsidRPr="001A48D3">
              <w:rPr>
                <w:sz w:val="22"/>
                <w:szCs w:val="22"/>
              </w:rPr>
              <w:t>1.01</w:t>
            </w:r>
          </w:p>
        </w:tc>
      </w:tr>
    </w:tbl>
    <w:p w:rsidR="004605B9" w:rsidRPr="001A48D3" w:rsidRDefault="004605B9" w:rsidP="00153F3E">
      <w:pPr>
        <w:pStyle w:val="Heading4"/>
        <w:spacing w:before="240" w:after="120"/>
      </w:pPr>
      <w:bookmarkStart w:id="93" w:name="_Toc430182551"/>
      <w:r w:rsidRPr="001A48D3">
        <w:t>Changes to Implementation Timelines</w:t>
      </w:r>
      <w:bookmarkEnd w:id="93"/>
    </w:p>
    <w:p w:rsidR="00C0643B" w:rsidRPr="001A48D3" w:rsidRDefault="00AB220C" w:rsidP="00C4701A">
      <w:pPr>
        <w:spacing w:after="120"/>
      </w:pPr>
      <w:r w:rsidRPr="001A48D3">
        <w:t xml:space="preserve">The FCAI and some individual manufacturers have claimed that the timing proposed in Option 3 would incur higher costs (albeit in the absence of any usable quantification of such costs) and would disrupt product planning for some models.  </w:t>
      </w:r>
      <w:r w:rsidR="00D57A84" w:rsidRPr="001A48D3">
        <w:t xml:space="preserve">In response to </w:t>
      </w:r>
      <w:r w:rsidRPr="001A48D3">
        <w:t xml:space="preserve">these </w:t>
      </w:r>
      <w:r w:rsidR="00D57A84" w:rsidRPr="001A48D3">
        <w:t>FCAI</w:t>
      </w:r>
      <w:r w:rsidR="004605B9" w:rsidRPr="001A48D3">
        <w:t xml:space="preserve"> concerns</w:t>
      </w:r>
      <w:r w:rsidR="00D57A84" w:rsidRPr="001A48D3">
        <w:t xml:space="preserve">, </w:t>
      </w:r>
      <w:r w:rsidRPr="001A48D3">
        <w:t>a</w:t>
      </w:r>
      <w:r w:rsidR="00D57A84" w:rsidRPr="001A48D3">
        <w:t xml:space="preserve"> revised timeframe (using Option 2 as the base case) </w:t>
      </w:r>
      <w:r w:rsidRPr="001A48D3">
        <w:t>was</w:t>
      </w:r>
      <w:r w:rsidR="00D57A84" w:rsidRPr="001A48D3">
        <w:t xml:space="preserve"> developed to assess the impact on the BCA outcomes</w:t>
      </w:r>
      <w:r w:rsidR="004605B9" w:rsidRPr="001A48D3">
        <w:t xml:space="preserve">.  </w:t>
      </w:r>
      <w:r w:rsidR="00D57A84" w:rsidRPr="001A48D3">
        <w:t xml:space="preserve">In subsequent discussions, the </w:t>
      </w:r>
      <w:r w:rsidR="002616D1" w:rsidRPr="001A48D3">
        <w:t>FCAI</w:t>
      </w:r>
      <w:r w:rsidR="00D57A84" w:rsidRPr="001A48D3">
        <w:t xml:space="preserve"> also indicated that they would prefer the implementation dates be based on vehicle type rather than fuel type, arguing that the model life for light commercial vehicles (LCVs) was longer than passenger cars </w:t>
      </w:r>
      <w:r w:rsidR="00C2198B" w:rsidRPr="001A48D3">
        <w:t xml:space="preserve">and sports utility vehicles (SUVs) </w:t>
      </w:r>
      <w:r w:rsidR="00D57A84" w:rsidRPr="001A48D3">
        <w:t xml:space="preserve">and thus it was appropriate </w:t>
      </w:r>
      <w:r w:rsidR="002616D1" w:rsidRPr="001A48D3">
        <w:t>to have later</w:t>
      </w:r>
      <w:r w:rsidR="00D57A84" w:rsidRPr="001A48D3">
        <w:t xml:space="preserve"> implementation dates for </w:t>
      </w:r>
      <w:r w:rsidR="002616D1" w:rsidRPr="001A48D3">
        <w:t xml:space="preserve">LCVs.  </w:t>
      </w:r>
    </w:p>
    <w:p w:rsidR="00C0643B" w:rsidRPr="001A48D3" w:rsidRDefault="00B52672" w:rsidP="00C4701A">
      <w:pPr>
        <w:spacing w:after="120"/>
      </w:pPr>
      <w:r w:rsidRPr="001A48D3">
        <w:t xml:space="preserve">The FCAI </w:t>
      </w:r>
      <w:r w:rsidR="00C0643B" w:rsidRPr="001A48D3">
        <w:t xml:space="preserve">also </w:t>
      </w:r>
      <w:r w:rsidRPr="001A48D3">
        <w:t xml:space="preserve">argued that it was too early for a decision on Euro 6, but as explained elsewhere in this RIS, this position is not supported by the evidence.  Thus for the purposes of the </w:t>
      </w:r>
      <w:r w:rsidR="00C0643B" w:rsidRPr="001A48D3">
        <w:t xml:space="preserve">RIS </w:t>
      </w:r>
      <w:r w:rsidRPr="001A48D3">
        <w:t xml:space="preserve">analysis, a timing for Euro 6 has been included in the FCAI scenario, allowing a </w:t>
      </w:r>
      <w:r w:rsidR="00667E1F" w:rsidRPr="001A48D3">
        <w:t>significant</w:t>
      </w:r>
      <w:r w:rsidRPr="001A48D3">
        <w:t xml:space="preserve"> </w:t>
      </w:r>
      <w:r w:rsidR="00C0643B" w:rsidRPr="001A48D3">
        <w:t>4-</w:t>
      </w:r>
      <w:r w:rsidRPr="001A48D3">
        <w:t xml:space="preserve">5 year lag between the start of Euro 5 and the start of Euro 6.  </w:t>
      </w:r>
    </w:p>
    <w:p w:rsidR="00121D6C" w:rsidRPr="001A48D3" w:rsidRDefault="00B52672" w:rsidP="00C4701A">
      <w:pPr>
        <w:spacing w:after="120"/>
      </w:pPr>
      <w:r w:rsidRPr="001A48D3">
        <w:t xml:space="preserve">The “FCAI” scenario </w:t>
      </w:r>
      <w:r w:rsidR="001A7D92" w:rsidRPr="001A48D3">
        <w:t>in Table 1</w:t>
      </w:r>
      <w:r w:rsidR="006F4E2D" w:rsidRPr="001A48D3">
        <w:t>8</w:t>
      </w:r>
      <w:r w:rsidR="001A7D92" w:rsidRPr="001A48D3">
        <w:t xml:space="preserve"> represents the FCAI’s preferred position</w:t>
      </w:r>
      <w:r w:rsidRPr="001A48D3">
        <w:t xml:space="preserve"> on Euro 5 and incorporates </w:t>
      </w:r>
      <w:r w:rsidR="00521EA3" w:rsidRPr="001A48D3">
        <w:t xml:space="preserve">a </w:t>
      </w:r>
      <w:r w:rsidR="00667E1F" w:rsidRPr="001A48D3">
        <w:t xml:space="preserve">much </w:t>
      </w:r>
      <w:r w:rsidR="00521EA3" w:rsidRPr="001A48D3">
        <w:t>late</w:t>
      </w:r>
      <w:r w:rsidR="00667E1F" w:rsidRPr="001A48D3">
        <w:t>r</w:t>
      </w:r>
      <w:r w:rsidR="00521EA3" w:rsidRPr="001A48D3">
        <w:t xml:space="preserve"> start for</w:t>
      </w:r>
      <w:r w:rsidRPr="001A48D3">
        <w:t xml:space="preserve"> Euro 6 timing</w:t>
      </w:r>
      <w:r w:rsidR="001A7D92" w:rsidRPr="001A48D3">
        <w:t>.</w:t>
      </w:r>
    </w:p>
    <w:p w:rsidR="00DE0841" w:rsidRPr="001A48D3" w:rsidRDefault="00121D6C" w:rsidP="00C4701A">
      <w:pPr>
        <w:spacing w:after="120"/>
      </w:pPr>
      <w:r w:rsidRPr="001A48D3">
        <w:t>As noted in Section 3.1 of this RIS, chang</w:t>
      </w:r>
      <w:r w:rsidR="003710C8" w:rsidRPr="001A48D3">
        <w:t xml:space="preserve">es in the final text of ECE </w:t>
      </w:r>
      <w:proofErr w:type="spellStart"/>
      <w:r w:rsidR="003710C8" w:rsidRPr="001A48D3">
        <w:t>Reg</w:t>
      </w:r>
      <w:proofErr w:type="spellEnd"/>
      <w:r w:rsidR="003710C8" w:rsidRPr="001A48D3">
        <w:t> </w:t>
      </w:r>
      <w:r w:rsidRPr="001A48D3">
        <w:t xml:space="preserve">83/06 also mean that the staged approach applying in the European Union </w:t>
      </w:r>
      <w:r w:rsidR="00BC4B3A" w:rsidRPr="001A48D3">
        <w:t>has not ultimately been</w:t>
      </w:r>
      <w:r w:rsidRPr="001A48D3">
        <w:t xml:space="preserve"> not reflected in the UN </w:t>
      </w:r>
      <w:r w:rsidR="00BC4B3A" w:rsidRPr="001A48D3">
        <w:t>regulation</w:t>
      </w:r>
      <w:r w:rsidRPr="001A48D3">
        <w:t xml:space="preserve">.  Nevertheless, it would be undesirable to impose a timeline in Australia that impacted on vehicles legitimately certified to European standards.  For this reason a </w:t>
      </w:r>
      <w:r w:rsidR="00BC4B3A" w:rsidRPr="001A48D3">
        <w:t>modified version of the preferred Option 3 from the draft RIS</w:t>
      </w:r>
      <w:r w:rsidRPr="001A48D3">
        <w:t xml:space="preserve"> </w:t>
      </w:r>
      <w:r w:rsidR="00BC4B3A" w:rsidRPr="001A48D3">
        <w:t>has been prepared</w:t>
      </w:r>
      <w:r w:rsidRPr="001A48D3">
        <w:t xml:space="preserve"> </w:t>
      </w:r>
      <w:r w:rsidR="00DE2ADE" w:rsidRPr="001A48D3">
        <w:t>for the final RIS</w:t>
      </w:r>
      <w:r w:rsidRPr="001A48D3">
        <w:t xml:space="preserve">.  The timing of this option ensures a </w:t>
      </w:r>
      <w:r w:rsidR="00B52672" w:rsidRPr="001A48D3">
        <w:t>minimum 18 </w:t>
      </w:r>
      <w:r w:rsidRPr="001A48D3">
        <w:t>month buffer between the EU timeline and an</w:t>
      </w:r>
      <w:r w:rsidR="00B52672" w:rsidRPr="001A48D3">
        <w:t>y</w:t>
      </w:r>
      <w:r w:rsidRPr="001A48D3">
        <w:t xml:space="preserve"> ADR timeline</w:t>
      </w:r>
      <w:r w:rsidR="00A603B8" w:rsidRPr="001A48D3">
        <w:t xml:space="preserve">, and would allow for a </w:t>
      </w:r>
      <w:r w:rsidR="00DC16A4" w:rsidRPr="001A48D3">
        <w:t>phased</w:t>
      </w:r>
      <w:r w:rsidR="00A603B8" w:rsidRPr="001A48D3">
        <w:t xml:space="preserve"> introduction of the core emissions standards under Euro 5 to new models, with the full Euro 5 requirements taking effect at the </w:t>
      </w:r>
      <w:r w:rsidR="00C2198B" w:rsidRPr="001A48D3">
        <w:t>“</w:t>
      </w:r>
      <w:r w:rsidR="00A603B8" w:rsidRPr="001A48D3">
        <w:t>all model</w:t>
      </w:r>
      <w:r w:rsidR="00C2198B" w:rsidRPr="001A48D3">
        <w:t>”</w:t>
      </w:r>
      <w:r w:rsidR="00A603B8" w:rsidRPr="001A48D3">
        <w:t xml:space="preserve"> date</w:t>
      </w:r>
      <w:r w:rsidRPr="001A48D3">
        <w:t xml:space="preserve">.  </w:t>
      </w:r>
      <w:r w:rsidR="00C2198B" w:rsidRPr="001A48D3">
        <w:t xml:space="preserve">This option is described as </w:t>
      </w:r>
      <w:r w:rsidR="001A7D92" w:rsidRPr="001A48D3">
        <w:t>“Modified Option</w:t>
      </w:r>
      <w:r w:rsidR="00B52672" w:rsidRPr="001A48D3">
        <w:t> </w:t>
      </w:r>
      <w:r w:rsidR="001A7D92" w:rsidRPr="001A48D3">
        <w:t>3”</w:t>
      </w:r>
      <w:r w:rsidR="00B52672" w:rsidRPr="001A48D3">
        <w:t xml:space="preserve"> in Table </w:t>
      </w:r>
      <w:r w:rsidR="00C2198B" w:rsidRPr="001A48D3">
        <w:t>1</w:t>
      </w:r>
      <w:r w:rsidR="006F4E2D" w:rsidRPr="001A48D3">
        <w:t>8</w:t>
      </w:r>
      <w:r w:rsidR="00C2198B" w:rsidRPr="001A48D3">
        <w:t>.</w:t>
      </w:r>
    </w:p>
    <w:p w:rsidR="00361D22" w:rsidRDefault="00361D22">
      <w:r>
        <w:br w:type="page"/>
      </w:r>
    </w:p>
    <w:p w:rsidR="00352421" w:rsidRPr="001A48D3" w:rsidRDefault="00352421" w:rsidP="00B52F7D">
      <w:pPr>
        <w:pStyle w:val="Heading3"/>
      </w:pPr>
      <w:bookmarkStart w:id="94" w:name="_Toc430182552"/>
      <w:r w:rsidRPr="001A48D3">
        <w:lastRenderedPageBreak/>
        <w:t>Table 1</w:t>
      </w:r>
      <w:r w:rsidR="006F4E2D" w:rsidRPr="001A48D3">
        <w:t>8</w:t>
      </w:r>
      <w:r w:rsidRPr="001A48D3">
        <w:tab/>
      </w:r>
      <w:r w:rsidR="00B52672" w:rsidRPr="001A48D3">
        <w:t>Two</w:t>
      </w:r>
      <w:r w:rsidRPr="001A48D3">
        <w:t xml:space="preserve"> Scenarios with Revised Implementation Timelines</w:t>
      </w:r>
      <w:bookmarkEnd w:id="94"/>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1984"/>
        <w:gridCol w:w="1701"/>
        <w:gridCol w:w="1701"/>
      </w:tblGrid>
      <w:tr w:rsidR="00352421" w:rsidRPr="001A48D3" w:rsidTr="00241D7E">
        <w:tc>
          <w:tcPr>
            <w:tcW w:w="1242" w:type="dxa"/>
            <w:vMerge w:val="restart"/>
            <w:shd w:val="clear" w:color="auto" w:fill="FFC000"/>
          </w:tcPr>
          <w:p w:rsidR="00352421" w:rsidRPr="001A48D3" w:rsidRDefault="00352421" w:rsidP="00C4701A">
            <w:pPr>
              <w:spacing w:before="120" w:after="120"/>
              <w:jc w:val="center"/>
              <w:rPr>
                <w:rFonts w:cs="Arial"/>
                <w:b/>
                <w:sz w:val="22"/>
                <w:szCs w:val="22"/>
              </w:rPr>
            </w:pPr>
            <w:r w:rsidRPr="001A48D3">
              <w:rPr>
                <w:rFonts w:cs="Arial"/>
                <w:b/>
                <w:sz w:val="22"/>
                <w:szCs w:val="22"/>
              </w:rPr>
              <w:t>Scenario Name</w:t>
            </w:r>
          </w:p>
        </w:tc>
        <w:tc>
          <w:tcPr>
            <w:tcW w:w="1418" w:type="dxa"/>
            <w:vMerge w:val="restart"/>
            <w:shd w:val="clear" w:color="auto" w:fill="FFC000"/>
          </w:tcPr>
          <w:p w:rsidR="00352421" w:rsidRPr="001A48D3" w:rsidRDefault="00352421" w:rsidP="00C4701A">
            <w:pPr>
              <w:spacing w:before="80" w:after="120"/>
              <w:jc w:val="center"/>
              <w:rPr>
                <w:rFonts w:cs="Arial"/>
                <w:b/>
                <w:sz w:val="22"/>
                <w:szCs w:val="22"/>
              </w:rPr>
            </w:pPr>
            <w:r w:rsidRPr="001A48D3">
              <w:rPr>
                <w:rFonts w:cs="Arial"/>
                <w:b/>
                <w:sz w:val="22"/>
                <w:szCs w:val="22"/>
              </w:rPr>
              <w:t>Emissions Standard</w:t>
            </w:r>
          </w:p>
        </w:tc>
        <w:tc>
          <w:tcPr>
            <w:tcW w:w="1984" w:type="dxa"/>
            <w:vMerge w:val="restart"/>
            <w:shd w:val="clear" w:color="auto" w:fill="FFC000"/>
          </w:tcPr>
          <w:p w:rsidR="00352421" w:rsidRPr="001A48D3" w:rsidRDefault="00352421" w:rsidP="00C4701A">
            <w:pPr>
              <w:spacing w:before="80" w:after="120"/>
              <w:jc w:val="center"/>
              <w:rPr>
                <w:rFonts w:cs="Arial"/>
                <w:b/>
                <w:sz w:val="22"/>
                <w:szCs w:val="22"/>
              </w:rPr>
            </w:pPr>
            <w:r w:rsidRPr="001A48D3">
              <w:rPr>
                <w:rFonts w:cs="Arial"/>
                <w:b/>
                <w:sz w:val="22"/>
                <w:szCs w:val="22"/>
              </w:rPr>
              <w:t>Vehicle Type</w:t>
            </w:r>
          </w:p>
        </w:tc>
        <w:tc>
          <w:tcPr>
            <w:tcW w:w="3402" w:type="dxa"/>
            <w:gridSpan w:val="2"/>
            <w:shd w:val="clear" w:color="auto" w:fill="FFC000"/>
          </w:tcPr>
          <w:p w:rsidR="00352421" w:rsidRPr="001A48D3" w:rsidRDefault="00352421" w:rsidP="00C4701A">
            <w:pPr>
              <w:spacing w:before="80" w:after="120"/>
              <w:jc w:val="center"/>
              <w:rPr>
                <w:rFonts w:cs="Arial"/>
                <w:b/>
                <w:sz w:val="22"/>
                <w:szCs w:val="22"/>
              </w:rPr>
            </w:pPr>
            <w:r w:rsidRPr="001A48D3">
              <w:rPr>
                <w:rFonts w:cs="Arial"/>
                <w:b/>
                <w:sz w:val="22"/>
                <w:szCs w:val="22"/>
              </w:rPr>
              <w:t>Implementation Dates</w:t>
            </w:r>
            <w:r w:rsidR="00C2198B" w:rsidRPr="001A48D3">
              <w:rPr>
                <w:rFonts w:cs="Arial"/>
                <w:b/>
                <w:sz w:val="22"/>
                <w:szCs w:val="22"/>
              </w:rPr>
              <w:t xml:space="preserve"> #</w:t>
            </w:r>
          </w:p>
        </w:tc>
      </w:tr>
      <w:tr w:rsidR="00352421" w:rsidRPr="001A48D3" w:rsidTr="00241D7E">
        <w:tc>
          <w:tcPr>
            <w:tcW w:w="1242" w:type="dxa"/>
            <w:vMerge/>
            <w:shd w:val="clear" w:color="auto" w:fill="FFC000"/>
          </w:tcPr>
          <w:p w:rsidR="00352421" w:rsidRPr="001A48D3" w:rsidRDefault="00352421" w:rsidP="00C4701A">
            <w:pPr>
              <w:spacing w:before="80" w:after="120"/>
              <w:jc w:val="center"/>
              <w:rPr>
                <w:rFonts w:cs="Arial"/>
                <w:b/>
                <w:sz w:val="22"/>
                <w:szCs w:val="22"/>
              </w:rPr>
            </w:pPr>
          </w:p>
        </w:tc>
        <w:tc>
          <w:tcPr>
            <w:tcW w:w="1418" w:type="dxa"/>
            <w:vMerge/>
            <w:shd w:val="clear" w:color="auto" w:fill="FFC000"/>
          </w:tcPr>
          <w:p w:rsidR="00352421" w:rsidRPr="001A48D3" w:rsidRDefault="00352421" w:rsidP="00C4701A">
            <w:pPr>
              <w:spacing w:before="80" w:after="120"/>
              <w:rPr>
                <w:rFonts w:cs="Arial"/>
                <w:b/>
                <w:sz w:val="22"/>
                <w:szCs w:val="22"/>
              </w:rPr>
            </w:pPr>
          </w:p>
        </w:tc>
        <w:tc>
          <w:tcPr>
            <w:tcW w:w="1984" w:type="dxa"/>
            <w:vMerge/>
            <w:shd w:val="clear" w:color="auto" w:fill="FFC000"/>
          </w:tcPr>
          <w:p w:rsidR="00352421" w:rsidRPr="001A48D3" w:rsidRDefault="00352421" w:rsidP="00C4701A">
            <w:pPr>
              <w:spacing w:before="80" w:after="120"/>
              <w:rPr>
                <w:rFonts w:cs="Arial"/>
                <w:b/>
                <w:sz w:val="22"/>
                <w:szCs w:val="22"/>
              </w:rPr>
            </w:pPr>
          </w:p>
        </w:tc>
        <w:tc>
          <w:tcPr>
            <w:tcW w:w="1701" w:type="dxa"/>
            <w:shd w:val="clear" w:color="auto" w:fill="FFC000"/>
          </w:tcPr>
          <w:p w:rsidR="00352421" w:rsidRPr="001A48D3" w:rsidRDefault="00352421" w:rsidP="00C4701A">
            <w:pPr>
              <w:spacing w:before="120" w:after="120"/>
              <w:jc w:val="center"/>
              <w:rPr>
                <w:rFonts w:cs="Arial"/>
                <w:b/>
                <w:sz w:val="22"/>
                <w:szCs w:val="22"/>
              </w:rPr>
            </w:pPr>
            <w:r w:rsidRPr="001A48D3">
              <w:rPr>
                <w:rFonts w:cs="Arial"/>
                <w:b/>
                <w:sz w:val="22"/>
                <w:szCs w:val="22"/>
              </w:rPr>
              <w:t>New Models</w:t>
            </w:r>
          </w:p>
        </w:tc>
        <w:tc>
          <w:tcPr>
            <w:tcW w:w="1701" w:type="dxa"/>
            <w:shd w:val="clear" w:color="auto" w:fill="FFC000"/>
          </w:tcPr>
          <w:p w:rsidR="00352421" w:rsidRPr="001A48D3" w:rsidRDefault="00352421" w:rsidP="00C4701A">
            <w:pPr>
              <w:spacing w:before="120" w:after="120"/>
              <w:jc w:val="center"/>
              <w:rPr>
                <w:rFonts w:cs="Arial"/>
                <w:b/>
                <w:sz w:val="22"/>
                <w:szCs w:val="22"/>
              </w:rPr>
            </w:pPr>
            <w:r w:rsidRPr="001A48D3">
              <w:rPr>
                <w:rFonts w:cs="Arial"/>
                <w:b/>
                <w:sz w:val="22"/>
                <w:szCs w:val="22"/>
              </w:rPr>
              <w:t>All Models</w:t>
            </w:r>
          </w:p>
        </w:tc>
      </w:tr>
      <w:tr w:rsidR="00352421" w:rsidRPr="001A48D3" w:rsidTr="00241D7E">
        <w:tc>
          <w:tcPr>
            <w:tcW w:w="1242" w:type="dxa"/>
            <w:vMerge w:val="restart"/>
            <w:vAlign w:val="center"/>
          </w:tcPr>
          <w:p w:rsidR="00352421" w:rsidRPr="001A48D3" w:rsidRDefault="00B52672" w:rsidP="00C4701A">
            <w:pPr>
              <w:spacing w:before="80" w:after="120"/>
              <w:jc w:val="center"/>
              <w:rPr>
                <w:rFonts w:cs="Arial"/>
                <w:sz w:val="22"/>
                <w:szCs w:val="22"/>
              </w:rPr>
            </w:pPr>
            <w:r w:rsidRPr="001A48D3">
              <w:rPr>
                <w:rFonts w:cs="Arial"/>
                <w:b/>
                <w:sz w:val="22"/>
                <w:szCs w:val="22"/>
              </w:rPr>
              <w:t>Modified Option 3</w:t>
            </w:r>
          </w:p>
        </w:tc>
        <w:tc>
          <w:tcPr>
            <w:tcW w:w="1418" w:type="dxa"/>
            <w:vMerge w:val="restart"/>
            <w:vAlign w:val="center"/>
          </w:tcPr>
          <w:p w:rsidR="00352421" w:rsidRPr="001A48D3" w:rsidRDefault="00352421" w:rsidP="00C4701A">
            <w:pPr>
              <w:spacing w:before="80" w:after="120"/>
              <w:jc w:val="center"/>
              <w:rPr>
                <w:rFonts w:cs="Arial"/>
                <w:sz w:val="22"/>
                <w:szCs w:val="22"/>
              </w:rPr>
            </w:pPr>
            <w:r w:rsidRPr="001A48D3">
              <w:rPr>
                <w:rFonts w:cs="Arial"/>
                <w:sz w:val="22"/>
                <w:szCs w:val="22"/>
              </w:rPr>
              <w:t>Euro 5</w:t>
            </w:r>
          </w:p>
        </w:tc>
        <w:tc>
          <w:tcPr>
            <w:tcW w:w="1984" w:type="dxa"/>
          </w:tcPr>
          <w:p w:rsidR="00352421" w:rsidRPr="001A48D3" w:rsidRDefault="00352421" w:rsidP="00C4701A">
            <w:pPr>
              <w:spacing w:before="80" w:after="120"/>
              <w:rPr>
                <w:rFonts w:cs="Arial"/>
                <w:sz w:val="22"/>
                <w:szCs w:val="22"/>
              </w:rPr>
            </w:pPr>
            <w:r w:rsidRPr="001A48D3">
              <w:rPr>
                <w:rFonts w:cs="Arial"/>
                <w:sz w:val="22"/>
                <w:szCs w:val="22"/>
              </w:rPr>
              <w:t>Cars &amp; SUVs</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April 2013</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April 2015</w:t>
            </w:r>
          </w:p>
        </w:tc>
      </w:tr>
      <w:tr w:rsidR="00352421" w:rsidRPr="001A48D3" w:rsidTr="00241D7E">
        <w:tc>
          <w:tcPr>
            <w:tcW w:w="1242" w:type="dxa"/>
            <w:vMerge/>
            <w:vAlign w:val="center"/>
          </w:tcPr>
          <w:p w:rsidR="00352421" w:rsidRPr="001A48D3" w:rsidRDefault="00352421" w:rsidP="00C4701A">
            <w:pPr>
              <w:spacing w:before="80" w:after="120"/>
              <w:jc w:val="center"/>
              <w:rPr>
                <w:rFonts w:cs="Arial"/>
                <w:sz w:val="22"/>
                <w:szCs w:val="22"/>
              </w:rPr>
            </w:pPr>
          </w:p>
        </w:tc>
        <w:tc>
          <w:tcPr>
            <w:tcW w:w="1418" w:type="dxa"/>
            <w:vMerge/>
            <w:vAlign w:val="center"/>
          </w:tcPr>
          <w:p w:rsidR="00352421" w:rsidRPr="001A48D3" w:rsidRDefault="00352421" w:rsidP="00C4701A">
            <w:pPr>
              <w:spacing w:before="80" w:after="120"/>
              <w:jc w:val="center"/>
              <w:rPr>
                <w:rFonts w:cs="Arial"/>
                <w:sz w:val="22"/>
                <w:szCs w:val="22"/>
              </w:rPr>
            </w:pPr>
          </w:p>
        </w:tc>
        <w:tc>
          <w:tcPr>
            <w:tcW w:w="1984" w:type="dxa"/>
          </w:tcPr>
          <w:p w:rsidR="00352421" w:rsidRPr="001A48D3" w:rsidRDefault="00352421" w:rsidP="00C4701A">
            <w:pPr>
              <w:spacing w:before="80" w:after="120"/>
              <w:rPr>
                <w:rFonts w:cs="Arial"/>
                <w:sz w:val="22"/>
                <w:szCs w:val="22"/>
              </w:rPr>
            </w:pPr>
            <w:r w:rsidRPr="001A48D3">
              <w:rPr>
                <w:rFonts w:cs="Arial"/>
                <w:sz w:val="22"/>
                <w:szCs w:val="22"/>
              </w:rPr>
              <w:t>LCVs &amp; Light Buses</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July 2013</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July 2015</w:t>
            </w:r>
          </w:p>
        </w:tc>
      </w:tr>
      <w:tr w:rsidR="00352421" w:rsidRPr="001A48D3" w:rsidTr="00241D7E">
        <w:tc>
          <w:tcPr>
            <w:tcW w:w="1242" w:type="dxa"/>
            <w:vMerge/>
            <w:vAlign w:val="center"/>
          </w:tcPr>
          <w:p w:rsidR="00352421" w:rsidRPr="001A48D3" w:rsidRDefault="00352421" w:rsidP="00C4701A">
            <w:pPr>
              <w:spacing w:before="80" w:after="120"/>
              <w:jc w:val="center"/>
              <w:rPr>
                <w:rFonts w:cs="Arial"/>
                <w:sz w:val="22"/>
                <w:szCs w:val="22"/>
              </w:rPr>
            </w:pPr>
          </w:p>
        </w:tc>
        <w:tc>
          <w:tcPr>
            <w:tcW w:w="1418" w:type="dxa"/>
            <w:vMerge w:val="restart"/>
            <w:vAlign w:val="center"/>
          </w:tcPr>
          <w:p w:rsidR="00352421" w:rsidRPr="001A48D3" w:rsidRDefault="00352421" w:rsidP="00C4701A">
            <w:pPr>
              <w:spacing w:before="80" w:after="120"/>
              <w:jc w:val="center"/>
              <w:rPr>
                <w:rFonts w:cs="Arial"/>
                <w:sz w:val="22"/>
                <w:szCs w:val="22"/>
              </w:rPr>
            </w:pPr>
            <w:r w:rsidRPr="001A48D3">
              <w:rPr>
                <w:rFonts w:cs="Arial"/>
                <w:sz w:val="22"/>
                <w:szCs w:val="22"/>
              </w:rPr>
              <w:t>Euro 6</w:t>
            </w:r>
          </w:p>
        </w:tc>
        <w:tc>
          <w:tcPr>
            <w:tcW w:w="1984" w:type="dxa"/>
          </w:tcPr>
          <w:p w:rsidR="00352421" w:rsidRPr="001A48D3" w:rsidRDefault="00352421" w:rsidP="00C4701A">
            <w:pPr>
              <w:spacing w:before="80" w:after="120"/>
              <w:rPr>
                <w:rFonts w:cs="Arial"/>
                <w:sz w:val="22"/>
                <w:szCs w:val="22"/>
              </w:rPr>
            </w:pPr>
            <w:r w:rsidRPr="001A48D3">
              <w:rPr>
                <w:rFonts w:cs="Arial"/>
                <w:sz w:val="22"/>
                <w:szCs w:val="22"/>
              </w:rPr>
              <w:t>Cars &amp; SUVs</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April 2017</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April 2018</w:t>
            </w:r>
          </w:p>
        </w:tc>
      </w:tr>
      <w:tr w:rsidR="00352421" w:rsidRPr="001A48D3" w:rsidTr="00241D7E">
        <w:tc>
          <w:tcPr>
            <w:tcW w:w="1242" w:type="dxa"/>
            <w:vMerge/>
            <w:vAlign w:val="center"/>
          </w:tcPr>
          <w:p w:rsidR="00352421" w:rsidRPr="001A48D3" w:rsidRDefault="00352421" w:rsidP="00C4701A">
            <w:pPr>
              <w:spacing w:before="80" w:after="120"/>
              <w:jc w:val="center"/>
              <w:rPr>
                <w:rFonts w:cs="Arial"/>
                <w:sz w:val="22"/>
                <w:szCs w:val="22"/>
              </w:rPr>
            </w:pPr>
          </w:p>
        </w:tc>
        <w:tc>
          <w:tcPr>
            <w:tcW w:w="1418" w:type="dxa"/>
            <w:vMerge/>
            <w:vAlign w:val="center"/>
          </w:tcPr>
          <w:p w:rsidR="00352421" w:rsidRPr="001A48D3" w:rsidRDefault="00352421" w:rsidP="00C4701A">
            <w:pPr>
              <w:spacing w:before="80" w:after="120"/>
              <w:jc w:val="center"/>
              <w:rPr>
                <w:rFonts w:cs="Arial"/>
                <w:sz w:val="22"/>
                <w:szCs w:val="22"/>
              </w:rPr>
            </w:pPr>
          </w:p>
        </w:tc>
        <w:tc>
          <w:tcPr>
            <w:tcW w:w="1984" w:type="dxa"/>
          </w:tcPr>
          <w:p w:rsidR="00352421" w:rsidRPr="001A48D3" w:rsidRDefault="00352421" w:rsidP="00C4701A">
            <w:pPr>
              <w:spacing w:before="80" w:after="120"/>
              <w:rPr>
                <w:rFonts w:cs="Arial"/>
                <w:sz w:val="22"/>
                <w:szCs w:val="22"/>
              </w:rPr>
            </w:pPr>
            <w:r w:rsidRPr="001A48D3">
              <w:rPr>
                <w:rFonts w:cs="Arial"/>
                <w:sz w:val="22"/>
                <w:szCs w:val="22"/>
              </w:rPr>
              <w:t>LCVs &amp; Light Buses</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July 2017</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July 2018</w:t>
            </w:r>
          </w:p>
        </w:tc>
      </w:tr>
      <w:tr w:rsidR="00352421" w:rsidRPr="001A48D3" w:rsidTr="00241D7E">
        <w:tc>
          <w:tcPr>
            <w:tcW w:w="1242" w:type="dxa"/>
            <w:vMerge w:val="restart"/>
            <w:vAlign w:val="center"/>
          </w:tcPr>
          <w:p w:rsidR="00352421" w:rsidRPr="001A48D3" w:rsidRDefault="00B52672" w:rsidP="00C4701A">
            <w:pPr>
              <w:spacing w:before="80" w:after="120"/>
              <w:jc w:val="center"/>
              <w:rPr>
                <w:rFonts w:cs="Arial"/>
                <w:sz w:val="22"/>
                <w:szCs w:val="22"/>
              </w:rPr>
            </w:pPr>
            <w:r w:rsidRPr="001A48D3">
              <w:rPr>
                <w:rFonts w:cs="Arial"/>
                <w:b/>
                <w:sz w:val="22"/>
                <w:szCs w:val="22"/>
              </w:rPr>
              <w:t>FCAI</w:t>
            </w:r>
          </w:p>
        </w:tc>
        <w:tc>
          <w:tcPr>
            <w:tcW w:w="1418" w:type="dxa"/>
            <w:vMerge w:val="restart"/>
            <w:vAlign w:val="center"/>
          </w:tcPr>
          <w:p w:rsidR="00352421" w:rsidRPr="001A48D3" w:rsidRDefault="00352421" w:rsidP="00C4701A">
            <w:pPr>
              <w:spacing w:before="80" w:after="120"/>
              <w:jc w:val="center"/>
              <w:rPr>
                <w:rFonts w:cs="Arial"/>
                <w:sz w:val="22"/>
                <w:szCs w:val="22"/>
              </w:rPr>
            </w:pPr>
            <w:r w:rsidRPr="001A48D3">
              <w:rPr>
                <w:rFonts w:cs="Arial"/>
                <w:sz w:val="22"/>
                <w:szCs w:val="22"/>
              </w:rPr>
              <w:t>Euro 5</w:t>
            </w:r>
          </w:p>
        </w:tc>
        <w:tc>
          <w:tcPr>
            <w:tcW w:w="1984" w:type="dxa"/>
          </w:tcPr>
          <w:p w:rsidR="00352421" w:rsidRPr="001A48D3" w:rsidRDefault="00352421" w:rsidP="00C4701A">
            <w:pPr>
              <w:spacing w:before="80" w:after="120"/>
              <w:rPr>
                <w:rFonts w:cs="Arial"/>
                <w:sz w:val="22"/>
                <w:szCs w:val="22"/>
              </w:rPr>
            </w:pPr>
            <w:r w:rsidRPr="001A48D3">
              <w:rPr>
                <w:rFonts w:cs="Arial"/>
                <w:sz w:val="22"/>
                <w:szCs w:val="22"/>
              </w:rPr>
              <w:t>Cars &amp; SUVs</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Jan 2015</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Jan 2017</w:t>
            </w:r>
          </w:p>
        </w:tc>
      </w:tr>
      <w:tr w:rsidR="00352421" w:rsidRPr="001A48D3" w:rsidTr="00241D7E">
        <w:tc>
          <w:tcPr>
            <w:tcW w:w="1242" w:type="dxa"/>
            <w:vMerge/>
          </w:tcPr>
          <w:p w:rsidR="00352421" w:rsidRPr="001A48D3" w:rsidRDefault="00352421" w:rsidP="00C4701A">
            <w:pPr>
              <w:spacing w:before="80" w:after="120"/>
              <w:jc w:val="center"/>
              <w:rPr>
                <w:rFonts w:cs="Arial"/>
                <w:sz w:val="22"/>
                <w:szCs w:val="22"/>
              </w:rPr>
            </w:pPr>
          </w:p>
        </w:tc>
        <w:tc>
          <w:tcPr>
            <w:tcW w:w="1418" w:type="dxa"/>
            <w:vMerge/>
            <w:vAlign w:val="center"/>
          </w:tcPr>
          <w:p w:rsidR="00352421" w:rsidRPr="001A48D3" w:rsidRDefault="00352421" w:rsidP="00C4701A">
            <w:pPr>
              <w:spacing w:before="80" w:after="120"/>
              <w:jc w:val="center"/>
              <w:rPr>
                <w:rFonts w:cs="Arial"/>
                <w:sz w:val="22"/>
                <w:szCs w:val="22"/>
              </w:rPr>
            </w:pPr>
          </w:p>
        </w:tc>
        <w:tc>
          <w:tcPr>
            <w:tcW w:w="1984" w:type="dxa"/>
          </w:tcPr>
          <w:p w:rsidR="00352421" w:rsidRPr="001A48D3" w:rsidRDefault="00352421" w:rsidP="00C4701A">
            <w:pPr>
              <w:spacing w:before="80" w:after="120"/>
              <w:rPr>
                <w:rFonts w:cs="Arial"/>
                <w:sz w:val="22"/>
                <w:szCs w:val="22"/>
              </w:rPr>
            </w:pPr>
            <w:r w:rsidRPr="001A48D3">
              <w:rPr>
                <w:rFonts w:cs="Arial"/>
                <w:sz w:val="22"/>
                <w:szCs w:val="22"/>
              </w:rPr>
              <w:t>LCVs &amp; Light Buses</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Jan 2016</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Jan 2018</w:t>
            </w:r>
          </w:p>
        </w:tc>
      </w:tr>
      <w:tr w:rsidR="00352421" w:rsidRPr="001A48D3" w:rsidTr="00241D7E">
        <w:tc>
          <w:tcPr>
            <w:tcW w:w="1242" w:type="dxa"/>
            <w:vMerge/>
          </w:tcPr>
          <w:p w:rsidR="00352421" w:rsidRPr="001A48D3" w:rsidRDefault="00352421" w:rsidP="00C4701A">
            <w:pPr>
              <w:spacing w:before="80" w:after="120"/>
              <w:jc w:val="center"/>
              <w:rPr>
                <w:rFonts w:cs="Arial"/>
                <w:sz w:val="22"/>
                <w:szCs w:val="22"/>
              </w:rPr>
            </w:pPr>
          </w:p>
        </w:tc>
        <w:tc>
          <w:tcPr>
            <w:tcW w:w="1418" w:type="dxa"/>
            <w:vMerge w:val="restart"/>
            <w:vAlign w:val="center"/>
          </w:tcPr>
          <w:p w:rsidR="00352421" w:rsidRPr="001A48D3" w:rsidRDefault="00352421" w:rsidP="00C4701A">
            <w:pPr>
              <w:spacing w:before="80" w:after="120"/>
              <w:jc w:val="center"/>
              <w:rPr>
                <w:rFonts w:cs="Arial"/>
                <w:sz w:val="22"/>
                <w:szCs w:val="22"/>
              </w:rPr>
            </w:pPr>
            <w:r w:rsidRPr="001A48D3">
              <w:rPr>
                <w:rFonts w:cs="Arial"/>
                <w:sz w:val="22"/>
                <w:szCs w:val="22"/>
              </w:rPr>
              <w:t>Euro 6</w:t>
            </w:r>
          </w:p>
        </w:tc>
        <w:tc>
          <w:tcPr>
            <w:tcW w:w="1984" w:type="dxa"/>
          </w:tcPr>
          <w:p w:rsidR="00352421" w:rsidRPr="001A48D3" w:rsidRDefault="00352421" w:rsidP="00C4701A">
            <w:pPr>
              <w:spacing w:before="80" w:after="120"/>
              <w:rPr>
                <w:rFonts w:cs="Arial"/>
                <w:sz w:val="22"/>
                <w:szCs w:val="22"/>
              </w:rPr>
            </w:pPr>
            <w:r w:rsidRPr="001A48D3">
              <w:rPr>
                <w:rFonts w:cs="Arial"/>
                <w:sz w:val="22"/>
                <w:szCs w:val="22"/>
              </w:rPr>
              <w:t>Cars &amp; SUVs</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Jan 2020</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Jan 2021</w:t>
            </w:r>
          </w:p>
        </w:tc>
      </w:tr>
      <w:tr w:rsidR="00352421" w:rsidRPr="001A48D3" w:rsidTr="00241D7E">
        <w:tc>
          <w:tcPr>
            <w:tcW w:w="1242" w:type="dxa"/>
            <w:vMerge/>
          </w:tcPr>
          <w:p w:rsidR="00352421" w:rsidRPr="001A48D3" w:rsidRDefault="00352421" w:rsidP="00C4701A">
            <w:pPr>
              <w:spacing w:before="80" w:after="120"/>
              <w:jc w:val="center"/>
              <w:rPr>
                <w:rFonts w:cs="Arial"/>
                <w:sz w:val="22"/>
                <w:szCs w:val="22"/>
              </w:rPr>
            </w:pPr>
          </w:p>
        </w:tc>
        <w:tc>
          <w:tcPr>
            <w:tcW w:w="1418" w:type="dxa"/>
            <w:vMerge/>
          </w:tcPr>
          <w:p w:rsidR="00352421" w:rsidRPr="001A48D3" w:rsidRDefault="00352421" w:rsidP="00C4701A">
            <w:pPr>
              <w:spacing w:before="80" w:after="120"/>
              <w:rPr>
                <w:rFonts w:cs="Arial"/>
                <w:sz w:val="22"/>
                <w:szCs w:val="22"/>
              </w:rPr>
            </w:pPr>
          </w:p>
        </w:tc>
        <w:tc>
          <w:tcPr>
            <w:tcW w:w="1984" w:type="dxa"/>
          </w:tcPr>
          <w:p w:rsidR="00352421" w:rsidRPr="001A48D3" w:rsidRDefault="00352421" w:rsidP="00C4701A">
            <w:pPr>
              <w:spacing w:before="80" w:after="120"/>
              <w:rPr>
                <w:rFonts w:cs="Arial"/>
                <w:sz w:val="22"/>
                <w:szCs w:val="22"/>
              </w:rPr>
            </w:pPr>
            <w:r w:rsidRPr="001A48D3">
              <w:rPr>
                <w:rFonts w:cs="Arial"/>
                <w:sz w:val="22"/>
                <w:szCs w:val="22"/>
              </w:rPr>
              <w:t>LCVs &amp; Light Buses</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Jan 2020</w:t>
            </w:r>
          </w:p>
        </w:tc>
        <w:tc>
          <w:tcPr>
            <w:tcW w:w="1701" w:type="dxa"/>
            <w:vAlign w:val="center"/>
          </w:tcPr>
          <w:p w:rsidR="00352421" w:rsidRPr="001A48D3" w:rsidRDefault="00352421" w:rsidP="00C4701A">
            <w:pPr>
              <w:spacing w:before="80" w:after="120"/>
              <w:jc w:val="center"/>
              <w:rPr>
                <w:rFonts w:cs="Arial"/>
                <w:sz w:val="22"/>
                <w:szCs w:val="22"/>
              </w:rPr>
            </w:pPr>
            <w:r w:rsidRPr="001A48D3">
              <w:rPr>
                <w:rFonts w:cs="Arial"/>
                <w:sz w:val="22"/>
                <w:szCs w:val="22"/>
              </w:rPr>
              <w:t>1 Jan 2021</w:t>
            </w:r>
          </w:p>
        </w:tc>
      </w:tr>
    </w:tbl>
    <w:p w:rsidR="00C2198B" w:rsidRPr="001A48D3" w:rsidRDefault="00C2198B" w:rsidP="00C4701A">
      <w:pPr>
        <w:spacing w:after="120"/>
        <w:rPr>
          <w:rFonts w:cs="Arial"/>
          <w:sz w:val="20"/>
        </w:rPr>
      </w:pPr>
    </w:p>
    <w:p w:rsidR="00C2198B" w:rsidRPr="001A48D3" w:rsidRDefault="00C2198B" w:rsidP="00C4701A">
      <w:pPr>
        <w:spacing w:after="120"/>
        <w:rPr>
          <w:sz w:val="18"/>
          <w:szCs w:val="18"/>
        </w:rPr>
      </w:pPr>
      <w:r w:rsidRPr="001A48D3">
        <w:rPr>
          <w:sz w:val="18"/>
          <w:szCs w:val="18"/>
        </w:rPr>
        <w:t>#</w:t>
      </w:r>
      <w:r w:rsidRPr="001A48D3">
        <w:rPr>
          <w:sz w:val="18"/>
          <w:szCs w:val="18"/>
        </w:rPr>
        <w:tab/>
        <w:t>The implementation dates applicable to “new models” mean that from 1 April 2013 (for example) any new model (type) first produced with a date of manufacture after 1 April 2013 must comply with the new standard.  For “all models” the 1 April 2015 date (for example) means that all new vehicles (regardless of the first production date for that particular model) must comply as of 1 April 2015.</w:t>
      </w:r>
    </w:p>
    <w:p w:rsidR="002616D1" w:rsidRPr="001A48D3" w:rsidRDefault="00352421" w:rsidP="00153F3E">
      <w:pPr>
        <w:spacing w:before="240" w:after="120"/>
      </w:pPr>
      <w:r w:rsidRPr="001A48D3">
        <w:t>As shown in Table 1</w:t>
      </w:r>
      <w:r w:rsidR="006F4E2D" w:rsidRPr="001A48D3">
        <w:t>9</w:t>
      </w:r>
      <w:r w:rsidR="00241D7E" w:rsidRPr="001A48D3">
        <w:t>,</w:t>
      </w:r>
      <w:r w:rsidRPr="001A48D3">
        <w:t xml:space="preserve"> the impact of the delayed timing </w:t>
      </w:r>
      <w:r w:rsidR="00753562" w:rsidRPr="001A48D3">
        <w:t>relative to</w:t>
      </w:r>
      <w:r w:rsidRPr="001A48D3">
        <w:t xml:space="preserve"> Option 2 </w:t>
      </w:r>
      <w:r w:rsidR="008F5356" w:rsidRPr="001A48D3">
        <w:t xml:space="preserve">(base case) </w:t>
      </w:r>
      <w:r w:rsidR="00753562" w:rsidRPr="001A48D3">
        <w:t xml:space="preserve">reduces the net benefit over the analysis period – by some </w:t>
      </w:r>
      <w:r w:rsidR="00B55DA5" w:rsidRPr="001A48D3">
        <w:t>36</w:t>
      </w:r>
      <w:r w:rsidR="00753562" w:rsidRPr="001A48D3">
        <w:t xml:space="preserve">% under the “Modified Option 3” and </w:t>
      </w:r>
      <w:r w:rsidR="00B55DA5" w:rsidRPr="001A48D3">
        <w:t>75</w:t>
      </w:r>
      <w:r w:rsidR="00753562" w:rsidRPr="001A48D3">
        <w:t>% under the “FCAI Option”</w:t>
      </w:r>
      <w:r w:rsidR="008F5356" w:rsidRPr="001A48D3">
        <w:t xml:space="preserve"> and the benefit cost ratio is also reduced under both scenarios.</w:t>
      </w:r>
      <w:r w:rsidR="004628F0" w:rsidRPr="001A48D3">
        <w:t xml:space="preserve">  </w:t>
      </w:r>
      <w:r w:rsidR="004628F0" w:rsidRPr="001A48D3">
        <w:rPr>
          <w:rFonts w:cs="Arial"/>
        </w:rPr>
        <w:t>It is reasonable to conclude that any final timeline which may be negotiated between the Government and the industry would fall between the FCAI option and the Modified Option 3, and such an outcome would logically deliver estimated net benefits between the $</w:t>
      </w:r>
      <w:r w:rsidR="00B55DA5" w:rsidRPr="001A48D3">
        <w:rPr>
          <w:rFonts w:cs="Arial"/>
        </w:rPr>
        <w:t xml:space="preserve">147 </w:t>
      </w:r>
      <w:r w:rsidR="004628F0" w:rsidRPr="001A48D3">
        <w:rPr>
          <w:rFonts w:cs="Arial"/>
        </w:rPr>
        <w:t>million and $</w:t>
      </w:r>
      <w:r w:rsidR="00B55DA5" w:rsidRPr="001A48D3">
        <w:rPr>
          <w:rFonts w:cs="Arial"/>
        </w:rPr>
        <w:t>371</w:t>
      </w:r>
      <w:r w:rsidR="004628F0" w:rsidRPr="001A48D3">
        <w:rPr>
          <w:rFonts w:cs="Arial"/>
        </w:rPr>
        <w:t xml:space="preserve"> </w:t>
      </w:r>
      <w:r w:rsidR="00B55DA5" w:rsidRPr="001A48D3">
        <w:rPr>
          <w:rFonts w:cs="Arial"/>
        </w:rPr>
        <w:t>m</w:t>
      </w:r>
      <w:r w:rsidR="004628F0" w:rsidRPr="001A48D3">
        <w:rPr>
          <w:rFonts w:cs="Arial"/>
        </w:rPr>
        <w:t>illion estimated for these two options.</w:t>
      </w:r>
    </w:p>
    <w:p w:rsidR="00352421" w:rsidRPr="001A48D3" w:rsidRDefault="00352421" w:rsidP="00B52F7D">
      <w:pPr>
        <w:pStyle w:val="Heading3"/>
      </w:pPr>
      <w:bookmarkStart w:id="95" w:name="_Toc430182553"/>
      <w:r w:rsidRPr="001A48D3">
        <w:t>Table 1</w:t>
      </w:r>
      <w:r w:rsidR="006F4E2D" w:rsidRPr="001A48D3">
        <w:t>9</w:t>
      </w:r>
      <w:r w:rsidRPr="001A48D3">
        <w:tab/>
        <w:t>Impact of Changes to Implementation Timing</w:t>
      </w:r>
      <w:bookmarkEnd w:id="95"/>
      <w:r w:rsidR="0003081E" w:rsidRPr="001A48D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410"/>
        <w:gridCol w:w="2268"/>
      </w:tblGrid>
      <w:tr w:rsidR="00352421" w:rsidRPr="001A48D3" w:rsidTr="00352421">
        <w:tc>
          <w:tcPr>
            <w:tcW w:w="2943" w:type="dxa"/>
            <w:shd w:val="clear" w:color="auto" w:fill="FFC000"/>
            <w:vAlign w:val="center"/>
          </w:tcPr>
          <w:p w:rsidR="00352421" w:rsidRPr="001A48D3" w:rsidRDefault="00352421" w:rsidP="00C4701A">
            <w:pPr>
              <w:spacing w:before="120" w:after="120"/>
              <w:jc w:val="center"/>
              <w:rPr>
                <w:b/>
                <w:bCs/>
                <w:sz w:val="22"/>
                <w:szCs w:val="22"/>
              </w:rPr>
            </w:pPr>
            <w:r w:rsidRPr="001A48D3">
              <w:rPr>
                <w:b/>
                <w:bCs/>
                <w:sz w:val="22"/>
                <w:szCs w:val="22"/>
              </w:rPr>
              <w:t>Scenarios</w:t>
            </w:r>
          </w:p>
        </w:tc>
        <w:tc>
          <w:tcPr>
            <w:tcW w:w="2410" w:type="dxa"/>
            <w:shd w:val="clear" w:color="auto" w:fill="FFC000"/>
            <w:vAlign w:val="center"/>
          </w:tcPr>
          <w:p w:rsidR="00352421" w:rsidRPr="001A48D3" w:rsidRDefault="00352421" w:rsidP="00C4701A">
            <w:pPr>
              <w:spacing w:before="120" w:after="120"/>
              <w:jc w:val="center"/>
              <w:rPr>
                <w:b/>
                <w:bCs/>
                <w:sz w:val="22"/>
                <w:szCs w:val="22"/>
              </w:rPr>
            </w:pPr>
            <w:r w:rsidRPr="001A48D3">
              <w:rPr>
                <w:b/>
                <w:bCs/>
                <w:sz w:val="22"/>
                <w:szCs w:val="22"/>
              </w:rPr>
              <w:t>Net Benefit</w:t>
            </w:r>
            <w:r w:rsidRPr="001A48D3">
              <w:rPr>
                <w:b/>
                <w:bCs/>
                <w:sz w:val="22"/>
                <w:szCs w:val="22"/>
              </w:rPr>
              <w:br/>
              <w:t>($m)</w:t>
            </w:r>
          </w:p>
        </w:tc>
        <w:tc>
          <w:tcPr>
            <w:tcW w:w="2268" w:type="dxa"/>
            <w:shd w:val="clear" w:color="auto" w:fill="FFC000"/>
            <w:vAlign w:val="center"/>
          </w:tcPr>
          <w:p w:rsidR="00352421" w:rsidRPr="001A48D3" w:rsidRDefault="00352421" w:rsidP="00C4701A">
            <w:pPr>
              <w:spacing w:before="120" w:after="120"/>
              <w:jc w:val="center"/>
              <w:rPr>
                <w:b/>
                <w:bCs/>
                <w:sz w:val="22"/>
                <w:szCs w:val="22"/>
              </w:rPr>
            </w:pPr>
            <w:r w:rsidRPr="001A48D3">
              <w:rPr>
                <w:b/>
                <w:bCs/>
                <w:sz w:val="22"/>
                <w:szCs w:val="22"/>
              </w:rPr>
              <w:t>Benefit–cost Ratio</w:t>
            </w:r>
          </w:p>
        </w:tc>
      </w:tr>
      <w:tr w:rsidR="00352421" w:rsidRPr="001A48D3" w:rsidTr="00352421">
        <w:tc>
          <w:tcPr>
            <w:tcW w:w="2943" w:type="dxa"/>
            <w:vAlign w:val="center"/>
          </w:tcPr>
          <w:p w:rsidR="00352421" w:rsidRPr="001A48D3" w:rsidRDefault="00352421" w:rsidP="00C4701A">
            <w:pPr>
              <w:spacing w:after="120"/>
              <w:rPr>
                <w:sz w:val="22"/>
                <w:szCs w:val="22"/>
              </w:rPr>
            </w:pPr>
            <w:r w:rsidRPr="001A48D3">
              <w:rPr>
                <w:sz w:val="22"/>
                <w:szCs w:val="22"/>
              </w:rPr>
              <w:t xml:space="preserve">Base </w:t>
            </w:r>
            <w:r w:rsidR="0003081E" w:rsidRPr="001A48D3">
              <w:rPr>
                <w:sz w:val="22"/>
                <w:szCs w:val="22"/>
              </w:rPr>
              <w:t>Option (Option 2)</w:t>
            </w:r>
          </w:p>
        </w:tc>
        <w:tc>
          <w:tcPr>
            <w:tcW w:w="2410" w:type="dxa"/>
            <w:vAlign w:val="center"/>
          </w:tcPr>
          <w:p w:rsidR="00352421" w:rsidRPr="001A48D3" w:rsidRDefault="0003081E" w:rsidP="00C4701A">
            <w:pPr>
              <w:spacing w:after="120"/>
              <w:jc w:val="center"/>
              <w:rPr>
                <w:sz w:val="22"/>
                <w:szCs w:val="22"/>
              </w:rPr>
            </w:pPr>
            <w:r w:rsidRPr="001A48D3">
              <w:rPr>
                <w:sz w:val="22"/>
                <w:szCs w:val="22"/>
              </w:rPr>
              <w:t>579</w:t>
            </w:r>
          </w:p>
        </w:tc>
        <w:tc>
          <w:tcPr>
            <w:tcW w:w="2268" w:type="dxa"/>
            <w:vAlign w:val="center"/>
          </w:tcPr>
          <w:p w:rsidR="00352421" w:rsidRPr="001A48D3" w:rsidRDefault="0003081E" w:rsidP="00C4701A">
            <w:pPr>
              <w:spacing w:after="120"/>
              <w:jc w:val="center"/>
              <w:rPr>
                <w:sz w:val="22"/>
                <w:szCs w:val="22"/>
              </w:rPr>
            </w:pPr>
            <w:r w:rsidRPr="001A48D3">
              <w:rPr>
                <w:sz w:val="22"/>
                <w:szCs w:val="22"/>
              </w:rPr>
              <w:t>1.37</w:t>
            </w:r>
          </w:p>
        </w:tc>
      </w:tr>
      <w:tr w:rsidR="00352421" w:rsidRPr="001A48D3" w:rsidTr="00352421">
        <w:tc>
          <w:tcPr>
            <w:tcW w:w="2943" w:type="dxa"/>
            <w:vAlign w:val="center"/>
          </w:tcPr>
          <w:p w:rsidR="00352421" w:rsidRPr="001A48D3" w:rsidRDefault="00F141AD" w:rsidP="00C4701A">
            <w:pPr>
              <w:spacing w:after="120"/>
              <w:rPr>
                <w:sz w:val="22"/>
                <w:szCs w:val="22"/>
              </w:rPr>
            </w:pPr>
            <w:r w:rsidRPr="001A48D3">
              <w:rPr>
                <w:sz w:val="22"/>
                <w:szCs w:val="22"/>
              </w:rPr>
              <w:t>Modified Option 3</w:t>
            </w:r>
          </w:p>
        </w:tc>
        <w:tc>
          <w:tcPr>
            <w:tcW w:w="2410" w:type="dxa"/>
            <w:vAlign w:val="center"/>
          </w:tcPr>
          <w:p w:rsidR="00352421" w:rsidRPr="001A48D3" w:rsidRDefault="0003081E" w:rsidP="00C4701A">
            <w:pPr>
              <w:spacing w:after="120"/>
              <w:jc w:val="center"/>
              <w:rPr>
                <w:sz w:val="22"/>
                <w:szCs w:val="22"/>
              </w:rPr>
            </w:pPr>
            <w:r w:rsidRPr="001A48D3">
              <w:rPr>
                <w:sz w:val="22"/>
                <w:szCs w:val="22"/>
              </w:rPr>
              <w:t>371</w:t>
            </w:r>
          </w:p>
        </w:tc>
        <w:tc>
          <w:tcPr>
            <w:tcW w:w="2268" w:type="dxa"/>
            <w:vAlign w:val="center"/>
          </w:tcPr>
          <w:p w:rsidR="00352421" w:rsidRPr="001A48D3" w:rsidRDefault="0003081E" w:rsidP="00C4701A">
            <w:pPr>
              <w:spacing w:after="120"/>
              <w:jc w:val="center"/>
              <w:rPr>
                <w:sz w:val="22"/>
                <w:szCs w:val="22"/>
              </w:rPr>
            </w:pPr>
            <w:r w:rsidRPr="001A48D3">
              <w:rPr>
                <w:sz w:val="22"/>
                <w:szCs w:val="22"/>
              </w:rPr>
              <w:t>1.26</w:t>
            </w:r>
          </w:p>
        </w:tc>
      </w:tr>
      <w:tr w:rsidR="00352421" w:rsidRPr="001A48D3" w:rsidTr="00352421">
        <w:tc>
          <w:tcPr>
            <w:tcW w:w="2943" w:type="dxa"/>
            <w:vAlign w:val="center"/>
          </w:tcPr>
          <w:p w:rsidR="00352421" w:rsidRPr="001A48D3" w:rsidRDefault="00F141AD" w:rsidP="00C4701A">
            <w:pPr>
              <w:spacing w:after="120"/>
              <w:rPr>
                <w:sz w:val="22"/>
                <w:szCs w:val="22"/>
              </w:rPr>
            </w:pPr>
            <w:r w:rsidRPr="001A48D3">
              <w:rPr>
                <w:sz w:val="22"/>
                <w:szCs w:val="22"/>
              </w:rPr>
              <w:t>FCAI</w:t>
            </w:r>
          </w:p>
        </w:tc>
        <w:tc>
          <w:tcPr>
            <w:tcW w:w="2410" w:type="dxa"/>
            <w:vAlign w:val="center"/>
          </w:tcPr>
          <w:p w:rsidR="00352421" w:rsidRPr="001A48D3" w:rsidRDefault="0003081E" w:rsidP="00C4701A">
            <w:pPr>
              <w:spacing w:after="120"/>
              <w:jc w:val="center"/>
              <w:rPr>
                <w:sz w:val="22"/>
                <w:szCs w:val="22"/>
              </w:rPr>
            </w:pPr>
            <w:r w:rsidRPr="001A48D3">
              <w:rPr>
                <w:sz w:val="22"/>
                <w:szCs w:val="22"/>
              </w:rPr>
              <w:t>147</w:t>
            </w:r>
          </w:p>
        </w:tc>
        <w:tc>
          <w:tcPr>
            <w:tcW w:w="2268" w:type="dxa"/>
            <w:vAlign w:val="center"/>
          </w:tcPr>
          <w:p w:rsidR="00352421" w:rsidRPr="001A48D3" w:rsidRDefault="0003081E" w:rsidP="00C4701A">
            <w:pPr>
              <w:spacing w:after="120"/>
              <w:jc w:val="center"/>
              <w:rPr>
                <w:sz w:val="22"/>
                <w:szCs w:val="22"/>
              </w:rPr>
            </w:pPr>
            <w:r w:rsidRPr="001A48D3">
              <w:rPr>
                <w:sz w:val="22"/>
                <w:szCs w:val="22"/>
              </w:rPr>
              <w:t>1.12</w:t>
            </w:r>
          </w:p>
        </w:tc>
      </w:tr>
    </w:tbl>
    <w:p w:rsidR="00241D7E" w:rsidRPr="001A48D3" w:rsidRDefault="00241D7E" w:rsidP="00153F3E">
      <w:pPr>
        <w:pStyle w:val="Heading4"/>
        <w:spacing w:before="240" w:after="120"/>
      </w:pPr>
      <w:bookmarkStart w:id="96" w:name="_Toc430182554"/>
      <w:r w:rsidRPr="001A48D3">
        <w:t>Changes to Analysis Period</w:t>
      </w:r>
      <w:bookmarkEnd w:id="96"/>
      <w:r w:rsidR="00DD73BA" w:rsidRPr="001A48D3">
        <w:t xml:space="preserve"> </w:t>
      </w:r>
    </w:p>
    <w:p w:rsidR="00241D7E" w:rsidRPr="001A48D3" w:rsidRDefault="00B55DA5" w:rsidP="00C4701A">
      <w:pPr>
        <w:spacing w:after="120"/>
      </w:pPr>
      <w:r w:rsidRPr="001A48D3">
        <w:t xml:space="preserve">The BCA analysis presented in the draft RIS was conducted over a 30 year timeframe (to 2040).  </w:t>
      </w:r>
      <w:r w:rsidR="00241D7E" w:rsidRPr="001A48D3">
        <w:t>The draft RIS sought stakeholders’ views on the appropriateness of th</w:t>
      </w:r>
      <w:r w:rsidRPr="001A48D3">
        <w:t>is</w:t>
      </w:r>
      <w:r w:rsidR="00241D7E" w:rsidRPr="001A48D3">
        <w:t xml:space="preserve"> 30 year time frame, including the rationale for any alternative timeframe proposed.  No submission questioned the 30 year timeframe.  </w:t>
      </w:r>
    </w:p>
    <w:p w:rsidR="00241D7E" w:rsidRPr="001A48D3" w:rsidRDefault="00241D7E" w:rsidP="00C4701A">
      <w:pPr>
        <w:spacing w:after="120"/>
      </w:pPr>
      <w:r w:rsidRPr="001A48D3">
        <w:lastRenderedPageBreak/>
        <w:t xml:space="preserve">Nevertheless, </w:t>
      </w:r>
      <w:r w:rsidR="00B55DA5" w:rsidRPr="001A48D3">
        <w:t xml:space="preserve">following discussions with the </w:t>
      </w:r>
      <w:r w:rsidR="00B55DA5" w:rsidRPr="001A48D3">
        <w:rPr>
          <w:rFonts w:cs="Arial"/>
        </w:rPr>
        <w:t>Office of Best Practice Regulation</w:t>
      </w:r>
      <w:r w:rsidR="00B55DA5" w:rsidRPr="001A48D3">
        <w:t xml:space="preserve">, it was agreed that due to the uncertainties inherent in analysis over an extended period, the BCA in the final RIS should adopt a shorter </w:t>
      </w:r>
      <w:r w:rsidR="00521EA3" w:rsidRPr="001A48D3">
        <w:t>analysis period</w:t>
      </w:r>
      <w:r w:rsidR="00B55DA5" w:rsidRPr="001A48D3">
        <w:t xml:space="preserve"> based on the  using</w:t>
      </w:r>
      <w:r w:rsidR="00521EA3" w:rsidRPr="001A48D3">
        <w:t xml:space="preserve"> the </w:t>
      </w:r>
      <w:r w:rsidRPr="001A48D3">
        <w:t xml:space="preserve">average vehicle </w:t>
      </w:r>
      <w:r w:rsidR="006132C7" w:rsidRPr="001A48D3">
        <w:t xml:space="preserve">life </w:t>
      </w:r>
      <w:r w:rsidRPr="001A48D3">
        <w:t>(17 years)</w:t>
      </w:r>
      <w:r w:rsidR="00521EA3" w:rsidRPr="001A48D3">
        <w:t xml:space="preserve"> </w:t>
      </w:r>
      <w:r w:rsidR="00B55DA5" w:rsidRPr="001A48D3">
        <w:t xml:space="preserve">to determine </w:t>
      </w:r>
      <w:r w:rsidR="00521EA3" w:rsidRPr="001A48D3">
        <w:t xml:space="preserve">as the end point - </w:t>
      </w:r>
      <w:r w:rsidRPr="001A48D3">
        <w:t>thus making 2029 the last year of the evaluation period</w:t>
      </w:r>
      <w:r w:rsidR="006132C7" w:rsidRPr="001A48D3">
        <w:t xml:space="preserve"> (given the standards first take effect in 2012)</w:t>
      </w:r>
      <w:r w:rsidRPr="001A48D3">
        <w:t xml:space="preserve">.  </w:t>
      </w:r>
      <w:r w:rsidR="00CE2AE2" w:rsidRPr="001A48D3">
        <w:t>As shown in Table</w:t>
      </w:r>
      <w:r w:rsidR="006F4E2D" w:rsidRPr="001A48D3">
        <w:t xml:space="preserve"> 20 </w:t>
      </w:r>
      <w:r w:rsidRPr="001A48D3">
        <w:t xml:space="preserve">the </w:t>
      </w:r>
      <w:r w:rsidR="00AE68B5" w:rsidRPr="001A48D3">
        <w:t>benefit cost ratio (</w:t>
      </w:r>
      <w:r w:rsidRPr="001A48D3">
        <w:t>BCR</w:t>
      </w:r>
      <w:r w:rsidR="00AE68B5" w:rsidRPr="001A48D3">
        <w:t>)</w:t>
      </w:r>
      <w:r w:rsidRPr="001A48D3">
        <w:t xml:space="preserve"> is not </w:t>
      </w:r>
      <w:r w:rsidR="00CE2AE2" w:rsidRPr="001A48D3">
        <w:t xml:space="preserve">particularly </w:t>
      </w:r>
      <w:r w:rsidRPr="001A48D3">
        <w:t>sensitive to the length of the evaluation period chosen</w:t>
      </w:r>
      <w:r w:rsidR="00AE68B5" w:rsidRPr="001A48D3">
        <w:t xml:space="preserve"> - </w:t>
      </w:r>
      <w:r w:rsidR="006132C7" w:rsidRPr="001A48D3">
        <w:t xml:space="preserve">extending </w:t>
      </w:r>
      <w:r w:rsidRPr="001A48D3">
        <w:t>the study period to 20</w:t>
      </w:r>
      <w:r w:rsidR="006132C7" w:rsidRPr="001A48D3">
        <w:t>40</w:t>
      </w:r>
      <w:r w:rsidRPr="001A48D3">
        <w:t xml:space="preserve"> yields a slightly </w:t>
      </w:r>
      <w:r w:rsidR="006132C7" w:rsidRPr="001A48D3">
        <w:t xml:space="preserve">higher </w:t>
      </w:r>
      <w:r w:rsidRPr="001A48D3">
        <w:t>BCR</w:t>
      </w:r>
      <w:r w:rsidR="00AE68B5" w:rsidRPr="001A48D3">
        <w:t xml:space="preserve">.  Not surprisingly, however, </w:t>
      </w:r>
      <w:r w:rsidR="00CE2AE2" w:rsidRPr="001A48D3">
        <w:t xml:space="preserve">the </w:t>
      </w:r>
      <w:r w:rsidR="00AE68B5" w:rsidRPr="001A48D3">
        <w:t xml:space="preserve">dollar </w:t>
      </w:r>
      <w:r w:rsidR="00CE2AE2" w:rsidRPr="001A48D3">
        <w:t xml:space="preserve">magnitude of the net benefit is </w:t>
      </w:r>
      <w:r w:rsidR="006132C7" w:rsidRPr="001A48D3">
        <w:t>significantly higher</w:t>
      </w:r>
      <w:r w:rsidR="00CE2AE2" w:rsidRPr="001A48D3">
        <w:t xml:space="preserve">, given the </w:t>
      </w:r>
      <w:r w:rsidR="006132C7" w:rsidRPr="001A48D3">
        <w:t xml:space="preserve">longer </w:t>
      </w:r>
      <w:r w:rsidR="00CE2AE2" w:rsidRPr="001A48D3">
        <w:t>(</w:t>
      </w:r>
      <w:r w:rsidR="006132C7" w:rsidRPr="001A48D3">
        <w:t>28</w:t>
      </w:r>
      <w:r w:rsidR="00CE2AE2" w:rsidRPr="001A48D3">
        <w:t xml:space="preserve"> year) period to accrue benefits</w:t>
      </w:r>
      <w:r w:rsidR="007F1757" w:rsidRPr="001A48D3">
        <w:t xml:space="preserve"> at reduced long term costs</w:t>
      </w:r>
      <w:r w:rsidR="00CE2AE2" w:rsidRPr="001A48D3">
        <w:t xml:space="preserve">, </w:t>
      </w:r>
      <w:r w:rsidRPr="001A48D3">
        <w:t xml:space="preserve">compared to the </w:t>
      </w:r>
      <w:r w:rsidR="006132C7" w:rsidRPr="001A48D3">
        <w:t xml:space="preserve">17 </w:t>
      </w:r>
      <w:r w:rsidR="00CE2AE2" w:rsidRPr="001A48D3">
        <w:t xml:space="preserve">year </w:t>
      </w:r>
      <w:r w:rsidRPr="001A48D3">
        <w:t xml:space="preserve">base case </w:t>
      </w:r>
      <w:r w:rsidR="00CE2AE2" w:rsidRPr="001A48D3">
        <w:t>period</w:t>
      </w:r>
      <w:r w:rsidRPr="001A48D3">
        <w:t xml:space="preserve">. </w:t>
      </w:r>
    </w:p>
    <w:p w:rsidR="00CE2AE2" w:rsidRPr="001A48D3" w:rsidRDefault="00CE2AE2" w:rsidP="00B52F7D">
      <w:pPr>
        <w:pStyle w:val="Heading3"/>
      </w:pPr>
      <w:bookmarkStart w:id="97" w:name="_Toc430182555"/>
      <w:r w:rsidRPr="001A48D3">
        <w:t>Table</w:t>
      </w:r>
      <w:r w:rsidR="006F4E2D" w:rsidRPr="001A48D3">
        <w:t xml:space="preserve"> 20</w:t>
      </w:r>
      <w:r w:rsidRPr="001A48D3">
        <w:tab/>
        <w:t>Impact of Changes to Analysis Period</w:t>
      </w:r>
      <w:bookmarkEnd w:id="97"/>
      <w:r w:rsidR="00B256F9" w:rsidRPr="001A48D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26"/>
        <w:gridCol w:w="2268"/>
      </w:tblGrid>
      <w:tr w:rsidR="00CE2AE2" w:rsidRPr="001A48D3" w:rsidTr="00153F3E">
        <w:trPr>
          <w:tblHeader/>
        </w:trPr>
        <w:tc>
          <w:tcPr>
            <w:tcW w:w="3227" w:type="dxa"/>
            <w:shd w:val="clear" w:color="auto" w:fill="FFC000"/>
            <w:vAlign w:val="center"/>
          </w:tcPr>
          <w:p w:rsidR="00CE2AE2" w:rsidRPr="001A48D3" w:rsidRDefault="00CE2AE2" w:rsidP="00C4701A">
            <w:pPr>
              <w:spacing w:before="120" w:after="120"/>
              <w:jc w:val="center"/>
              <w:rPr>
                <w:b/>
                <w:bCs/>
                <w:sz w:val="22"/>
                <w:szCs w:val="22"/>
              </w:rPr>
            </w:pPr>
            <w:r w:rsidRPr="001A48D3">
              <w:rPr>
                <w:b/>
                <w:bCs/>
                <w:sz w:val="22"/>
                <w:szCs w:val="22"/>
              </w:rPr>
              <w:t>Scenarios</w:t>
            </w:r>
          </w:p>
        </w:tc>
        <w:tc>
          <w:tcPr>
            <w:tcW w:w="2126" w:type="dxa"/>
            <w:shd w:val="clear" w:color="auto" w:fill="FFC000"/>
            <w:vAlign w:val="center"/>
          </w:tcPr>
          <w:p w:rsidR="00CE2AE2" w:rsidRPr="001A48D3" w:rsidRDefault="00CE2AE2" w:rsidP="00C4701A">
            <w:pPr>
              <w:spacing w:before="120" w:after="120"/>
              <w:jc w:val="center"/>
              <w:rPr>
                <w:b/>
                <w:bCs/>
                <w:sz w:val="22"/>
                <w:szCs w:val="22"/>
              </w:rPr>
            </w:pPr>
            <w:r w:rsidRPr="001A48D3">
              <w:rPr>
                <w:b/>
                <w:bCs/>
                <w:sz w:val="22"/>
                <w:szCs w:val="22"/>
              </w:rPr>
              <w:t>Net Benefit</w:t>
            </w:r>
            <w:r w:rsidRPr="001A48D3">
              <w:rPr>
                <w:b/>
                <w:bCs/>
                <w:sz w:val="22"/>
                <w:szCs w:val="22"/>
              </w:rPr>
              <w:br/>
              <w:t>($m)</w:t>
            </w:r>
          </w:p>
        </w:tc>
        <w:tc>
          <w:tcPr>
            <w:tcW w:w="2268" w:type="dxa"/>
            <w:shd w:val="clear" w:color="auto" w:fill="FFC000"/>
            <w:vAlign w:val="center"/>
          </w:tcPr>
          <w:p w:rsidR="00CE2AE2" w:rsidRPr="001A48D3" w:rsidRDefault="00CE2AE2" w:rsidP="00C4701A">
            <w:pPr>
              <w:spacing w:before="120" w:after="120"/>
              <w:jc w:val="center"/>
              <w:rPr>
                <w:b/>
                <w:bCs/>
                <w:sz w:val="22"/>
                <w:szCs w:val="22"/>
              </w:rPr>
            </w:pPr>
            <w:r w:rsidRPr="001A48D3">
              <w:rPr>
                <w:b/>
                <w:bCs/>
                <w:sz w:val="22"/>
                <w:szCs w:val="22"/>
              </w:rPr>
              <w:t>Benefit–cost Ratio</w:t>
            </w:r>
          </w:p>
        </w:tc>
      </w:tr>
      <w:tr w:rsidR="00B256F9" w:rsidRPr="001A48D3" w:rsidTr="00CE2AE2">
        <w:tc>
          <w:tcPr>
            <w:tcW w:w="3227" w:type="dxa"/>
            <w:vAlign w:val="center"/>
          </w:tcPr>
          <w:p w:rsidR="00B256F9" w:rsidRPr="001A48D3" w:rsidRDefault="00DF2049" w:rsidP="00C4701A">
            <w:pPr>
              <w:spacing w:after="120"/>
              <w:rPr>
                <w:sz w:val="22"/>
                <w:szCs w:val="22"/>
              </w:rPr>
            </w:pPr>
            <w:r w:rsidRPr="001A48D3">
              <w:rPr>
                <w:sz w:val="22"/>
                <w:szCs w:val="22"/>
              </w:rPr>
              <w:t>Base Case (end 2029)</w:t>
            </w:r>
          </w:p>
        </w:tc>
        <w:tc>
          <w:tcPr>
            <w:tcW w:w="2126" w:type="dxa"/>
            <w:vAlign w:val="center"/>
          </w:tcPr>
          <w:p w:rsidR="00B256F9" w:rsidRPr="001A48D3" w:rsidRDefault="00B256F9" w:rsidP="00C4701A">
            <w:pPr>
              <w:spacing w:after="120"/>
              <w:jc w:val="center"/>
              <w:rPr>
                <w:sz w:val="22"/>
                <w:szCs w:val="22"/>
              </w:rPr>
            </w:pPr>
            <w:r w:rsidRPr="001A48D3">
              <w:rPr>
                <w:sz w:val="22"/>
                <w:szCs w:val="22"/>
              </w:rPr>
              <w:t>579</w:t>
            </w:r>
          </w:p>
        </w:tc>
        <w:tc>
          <w:tcPr>
            <w:tcW w:w="2268" w:type="dxa"/>
            <w:vAlign w:val="center"/>
          </w:tcPr>
          <w:p w:rsidR="00B256F9" w:rsidRPr="001A48D3" w:rsidRDefault="00B256F9" w:rsidP="00C4701A">
            <w:pPr>
              <w:spacing w:after="120"/>
              <w:jc w:val="center"/>
              <w:rPr>
                <w:sz w:val="22"/>
                <w:szCs w:val="22"/>
              </w:rPr>
            </w:pPr>
            <w:r w:rsidRPr="001A48D3">
              <w:rPr>
                <w:sz w:val="22"/>
                <w:szCs w:val="22"/>
              </w:rPr>
              <w:t>1.37</w:t>
            </w:r>
          </w:p>
        </w:tc>
      </w:tr>
      <w:tr w:rsidR="00B256F9" w:rsidRPr="001A48D3" w:rsidTr="00CE2AE2">
        <w:tc>
          <w:tcPr>
            <w:tcW w:w="3227" w:type="dxa"/>
            <w:vAlign w:val="center"/>
          </w:tcPr>
          <w:p w:rsidR="00B256F9" w:rsidRPr="001A48D3" w:rsidRDefault="00B256F9" w:rsidP="00C4701A">
            <w:pPr>
              <w:spacing w:after="120"/>
              <w:rPr>
                <w:sz w:val="22"/>
                <w:szCs w:val="22"/>
              </w:rPr>
            </w:pPr>
            <w:r w:rsidRPr="001A48D3">
              <w:rPr>
                <w:sz w:val="22"/>
                <w:szCs w:val="22"/>
              </w:rPr>
              <w:t>Longer Analysis Period (end 2040)</w:t>
            </w:r>
          </w:p>
        </w:tc>
        <w:tc>
          <w:tcPr>
            <w:tcW w:w="2126" w:type="dxa"/>
            <w:vAlign w:val="center"/>
          </w:tcPr>
          <w:p w:rsidR="00B256F9" w:rsidRPr="001A48D3" w:rsidRDefault="00B256F9" w:rsidP="00C4701A">
            <w:pPr>
              <w:spacing w:after="120"/>
              <w:jc w:val="center"/>
              <w:rPr>
                <w:sz w:val="22"/>
                <w:szCs w:val="22"/>
              </w:rPr>
            </w:pPr>
            <w:r w:rsidRPr="001A48D3">
              <w:rPr>
                <w:sz w:val="22"/>
                <w:szCs w:val="22"/>
              </w:rPr>
              <w:t>1,250</w:t>
            </w:r>
          </w:p>
        </w:tc>
        <w:tc>
          <w:tcPr>
            <w:tcW w:w="2268" w:type="dxa"/>
            <w:vAlign w:val="center"/>
          </w:tcPr>
          <w:p w:rsidR="00B256F9" w:rsidRPr="001A48D3" w:rsidRDefault="00B256F9" w:rsidP="00C4701A">
            <w:pPr>
              <w:spacing w:after="120"/>
              <w:jc w:val="center"/>
              <w:rPr>
                <w:sz w:val="22"/>
                <w:szCs w:val="22"/>
              </w:rPr>
            </w:pPr>
            <w:r w:rsidRPr="001A48D3">
              <w:rPr>
                <w:sz w:val="22"/>
                <w:szCs w:val="22"/>
              </w:rPr>
              <w:t>1.51</w:t>
            </w:r>
          </w:p>
        </w:tc>
      </w:tr>
    </w:tbl>
    <w:p w:rsidR="00CE2AE2" w:rsidRPr="001A48D3" w:rsidRDefault="00CE2AE2" w:rsidP="00C4701A">
      <w:pPr>
        <w:spacing w:after="120"/>
        <w:rPr>
          <w:szCs w:val="24"/>
        </w:rPr>
      </w:pPr>
    </w:p>
    <w:p w:rsidR="00E05EF4" w:rsidRPr="001A48D3" w:rsidRDefault="00E05EF4" w:rsidP="00C4701A">
      <w:pPr>
        <w:spacing w:after="120"/>
        <w:sectPr w:rsidR="00E05EF4" w:rsidRPr="001A48D3" w:rsidSect="00376B94">
          <w:pgSz w:w="11906" w:h="16838" w:code="9"/>
          <w:pgMar w:top="1440" w:right="1800" w:bottom="1440" w:left="1800" w:header="720" w:footer="720" w:gutter="0"/>
          <w:cols w:space="720"/>
          <w:docGrid w:linePitch="326"/>
        </w:sectPr>
      </w:pPr>
    </w:p>
    <w:p w:rsidR="00244E1E" w:rsidRPr="001A48D3" w:rsidRDefault="00DF4665" w:rsidP="00153F3E">
      <w:pPr>
        <w:pStyle w:val="Heading2"/>
      </w:pPr>
      <w:bookmarkStart w:id="98" w:name="_Toc430182556"/>
      <w:r>
        <w:lastRenderedPageBreak/>
        <w:t>4.6</w:t>
      </w:r>
      <w:r>
        <w:tab/>
      </w:r>
      <w:r w:rsidR="00244E1E" w:rsidRPr="001A48D3">
        <w:t xml:space="preserve">Summary of Net Benefit – </w:t>
      </w:r>
      <w:r w:rsidR="00BD04F0" w:rsidRPr="001A48D3">
        <w:t>Options 2, 3, 4</w:t>
      </w:r>
      <w:r w:rsidR="00244E1E" w:rsidRPr="001A48D3">
        <w:t xml:space="preserve"> &amp; Sensitivity Analyses</w:t>
      </w:r>
      <w:bookmarkEnd w:id="98"/>
    </w:p>
    <w:p w:rsidR="00AE68B5" w:rsidRPr="001A48D3" w:rsidRDefault="00244E1E" w:rsidP="00C4701A">
      <w:pPr>
        <w:spacing w:after="120"/>
      </w:pPr>
      <w:r w:rsidRPr="001A48D3">
        <w:t>Table</w:t>
      </w:r>
      <w:r w:rsidR="006F4E2D" w:rsidRPr="001A48D3">
        <w:t xml:space="preserve"> 21</w:t>
      </w:r>
      <w:r w:rsidRPr="001A48D3">
        <w:t xml:space="preserve"> </w:t>
      </w:r>
      <w:r w:rsidR="00BD04F0" w:rsidRPr="001A48D3">
        <w:t xml:space="preserve">summarises </w:t>
      </w:r>
      <w:r w:rsidRPr="001A48D3">
        <w:t xml:space="preserve">presents the net benefit calculations </w:t>
      </w:r>
      <w:r w:rsidR="00BD04F0" w:rsidRPr="001A48D3">
        <w:t xml:space="preserve">from Sections 4.4 and 4.5 </w:t>
      </w:r>
      <w:r w:rsidRPr="001A48D3">
        <w:t>under</w:t>
      </w:r>
      <w:r w:rsidR="00AE68B5" w:rsidRPr="001A48D3">
        <w:t>:</w:t>
      </w:r>
    </w:p>
    <w:p w:rsidR="00AE68B5" w:rsidRPr="001A48D3" w:rsidRDefault="00244E1E" w:rsidP="00C4701A">
      <w:pPr>
        <w:numPr>
          <w:ilvl w:val="0"/>
          <w:numId w:val="30"/>
        </w:numPr>
        <w:spacing w:after="120"/>
      </w:pPr>
      <w:r w:rsidRPr="001A48D3">
        <w:t>the base case (Option 2)</w:t>
      </w:r>
      <w:r w:rsidR="00AE68B5" w:rsidRPr="001A48D3">
        <w:t>;</w:t>
      </w:r>
    </w:p>
    <w:p w:rsidR="00AE68B5" w:rsidRPr="001A48D3" w:rsidRDefault="00244E1E" w:rsidP="00C4701A">
      <w:pPr>
        <w:numPr>
          <w:ilvl w:val="0"/>
          <w:numId w:val="30"/>
        </w:numPr>
        <w:spacing w:after="120"/>
      </w:pPr>
      <w:r w:rsidRPr="001A48D3">
        <w:t>the</w:t>
      </w:r>
      <w:r w:rsidRPr="001A48D3">
        <w:rPr>
          <w:b/>
        </w:rPr>
        <w:t xml:space="preserve"> </w:t>
      </w:r>
      <w:r w:rsidRPr="001A48D3">
        <w:t>various sensitivity analyses</w:t>
      </w:r>
      <w:r w:rsidR="00071CDE" w:rsidRPr="001A48D3">
        <w:t xml:space="preserve"> </w:t>
      </w:r>
      <w:r w:rsidR="00DD2271" w:rsidRPr="001A48D3">
        <w:t>conducted on Option 2</w:t>
      </w:r>
      <w:r w:rsidR="00AE68B5" w:rsidRPr="001A48D3">
        <w:t>; and</w:t>
      </w:r>
    </w:p>
    <w:p w:rsidR="00AE68B5" w:rsidRPr="001A48D3" w:rsidRDefault="00AE68B5" w:rsidP="00C4701A">
      <w:pPr>
        <w:numPr>
          <w:ilvl w:val="0"/>
          <w:numId w:val="30"/>
        </w:numPr>
        <w:spacing w:after="120"/>
      </w:pPr>
      <w:r w:rsidRPr="001A48D3">
        <w:t xml:space="preserve">Options 3 and 4 (which, as explained in Section 4.5, were not subject to sensitivity analyses).  </w:t>
      </w:r>
    </w:p>
    <w:p w:rsidR="00BD04F0" w:rsidRPr="001A48D3" w:rsidRDefault="00BD04F0" w:rsidP="00B52F7D">
      <w:pPr>
        <w:pStyle w:val="Heading3"/>
      </w:pPr>
      <w:bookmarkStart w:id="99" w:name="_Toc430182557"/>
      <w:r w:rsidRPr="001A48D3">
        <w:t>Table</w:t>
      </w:r>
      <w:r w:rsidR="006F4E2D" w:rsidRPr="001A48D3">
        <w:t xml:space="preserve"> 21</w:t>
      </w:r>
      <w:r w:rsidRPr="001A48D3">
        <w:tab/>
        <w:t>Summary of Net Benefit under Options 2, 3, 4 &amp; Sensitivity Analyses</w:t>
      </w:r>
      <w:bookmarkEnd w:id="99"/>
      <w:r w:rsidRPr="001A48D3">
        <w:t xml:space="preserve">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1609"/>
        <w:gridCol w:w="708"/>
        <w:gridCol w:w="709"/>
        <w:gridCol w:w="709"/>
        <w:gridCol w:w="945"/>
        <w:gridCol w:w="708"/>
        <w:gridCol w:w="709"/>
        <w:gridCol w:w="946"/>
        <w:gridCol w:w="850"/>
        <w:gridCol w:w="803"/>
        <w:gridCol w:w="1323"/>
        <w:gridCol w:w="1418"/>
        <w:gridCol w:w="1276"/>
        <w:gridCol w:w="1275"/>
      </w:tblGrid>
      <w:tr w:rsidR="00AC219E" w:rsidRPr="001A48D3" w:rsidTr="00B52F7D">
        <w:trPr>
          <w:tblHeader/>
        </w:trPr>
        <w:tc>
          <w:tcPr>
            <w:tcW w:w="862" w:type="dxa"/>
            <w:tcBorders>
              <w:bottom w:val="nil"/>
            </w:tcBorders>
            <w:shd w:val="clear" w:color="auto" w:fill="FFC000"/>
          </w:tcPr>
          <w:p w:rsidR="00AC219E" w:rsidRPr="001A48D3" w:rsidRDefault="00AC219E" w:rsidP="00C4701A">
            <w:pPr>
              <w:spacing w:before="60" w:after="120"/>
              <w:jc w:val="center"/>
              <w:rPr>
                <w:b/>
                <w:sz w:val="22"/>
                <w:szCs w:val="22"/>
              </w:rPr>
            </w:pPr>
            <w:r w:rsidRPr="001A48D3">
              <w:rPr>
                <w:b/>
                <w:sz w:val="22"/>
                <w:szCs w:val="22"/>
              </w:rPr>
              <w:t>Option</w:t>
            </w:r>
          </w:p>
        </w:tc>
        <w:tc>
          <w:tcPr>
            <w:tcW w:w="13988" w:type="dxa"/>
            <w:gridSpan w:val="14"/>
            <w:shd w:val="clear" w:color="auto" w:fill="FFC000"/>
          </w:tcPr>
          <w:p w:rsidR="00AC219E" w:rsidRPr="001A48D3" w:rsidRDefault="00AC219E" w:rsidP="00C4701A">
            <w:pPr>
              <w:spacing w:before="60" w:after="120"/>
              <w:jc w:val="center"/>
              <w:rPr>
                <w:b/>
                <w:sz w:val="22"/>
                <w:szCs w:val="22"/>
              </w:rPr>
            </w:pPr>
            <w:r w:rsidRPr="001A48D3">
              <w:rPr>
                <w:b/>
                <w:sz w:val="22"/>
                <w:szCs w:val="22"/>
              </w:rPr>
              <w:t>Net Benefit ($</w:t>
            </w:r>
            <w:r w:rsidR="00BD04F0" w:rsidRPr="001A48D3">
              <w:rPr>
                <w:b/>
                <w:sz w:val="22"/>
                <w:szCs w:val="22"/>
              </w:rPr>
              <w:t>m</w:t>
            </w:r>
            <w:r w:rsidRPr="001A48D3">
              <w:rPr>
                <w:b/>
                <w:sz w:val="22"/>
                <w:szCs w:val="22"/>
              </w:rPr>
              <w:t>)</w:t>
            </w:r>
          </w:p>
        </w:tc>
      </w:tr>
      <w:tr w:rsidR="00AC219E" w:rsidRPr="001A48D3" w:rsidTr="00B52F7D">
        <w:trPr>
          <w:tblHeader/>
        </w:trPr>
        <w:tc>
          <w:tcPr>
            <w:tcW w:w="862" w:type="dxa"/>
            <w:tcBorders>
              <w:top w:val="nil"/>
              <w:bottom w:val="nil"/>
            </w:tcBorders>
            <w:shd w:val="clear" w:color="auto" w:fill="FFC000"/>
          </w:tcPr>
          <w:p w:rsidR="00AC219E" w:rsidRPr="001A48D3" w:rsidRDefault="00AC219E" w:rsidP="00C4701A">
            <w:pPr>
              <w:spacing w:before="60" w:after="120"/>
              <w:jc w:val="center"/>
              <w:rPr>
                <w:b/>
                <w:sz w:val="22"/>
                <w:szCs w:val="22"/>
              </w:rPr>
            </w:pPr>
          </w:p>
        </w:tc>
        <w:tc>
          <w:tcPr>
            <w:tcW w:w="1609" w:type="dxa"/>
            <w:tcBorders>
              <w:bottom w:val="nil"/>
            </w:tcBorders>
            <w:shd w:val="clear" w:color="auto" w:fill="FFC000"/>
          </w:tcPr>
          <w:p w:rsidR="00AC219E" w:rsidRPr="001A48D3" w:rsidRDefault="00477EB3" w:rsidP="00C4701A">
            <w:pPr>
              <w:spacing w:before="60" w:after="120"/>
              <w:jc w:val="center"/>
              <w:rPr>
                <w:b/>
                <w:sz w:val="22"/>
                <w:szCs w:val="22"/>
              </w:rPr>
            </w:pPr>
            <w:r w:rsidRPr="001A48D3">
              <w:rPr>
                <w:b/>
                <w:sz w:val="22"/>
                <w:szCs w:val="22"/>
              </w:rPr>
              <w:t xml:space="preserve">Core </w:t>
            </w:r>
            <w:r w:rsidR="00AC219E" w:rsidRPr="001A48D3">
              <w:rPr>
                <w:b/>
                <w:sz w:val="22"/>
                <w:szCs w:val="22"/>
              </w:rPr>
              <w:t>Assumptions</w:t>
            </w:r>
          </w:p>
        </w:tc>
        <w:tc>
          <w:tcPr>
            <w:tcW w:w="12379" w:type="dxa"/>
            <w:gridSpan w:val="13"/>
            <w:shd w:val="clear" w:color="auto" w:fill="FFC000"/>
          </w:tcPr>
          <w:p w:rsidR="00AC219E" w:rsidRPr="001A48D3" w:rsidRDefault="00AC219E" w:rsidP="00C4701A">
            <w:pPr>
              <w:spacing w:before="60" w:after="120"/>
              <w:jc w:val="center"/>
              <w:rPr>
                <w:b/>
                <w:sz w:val="22"/>
                <w:szCs w:val="22"/>
              </w:rPr>
            </w:pPr>
            <w:r w:rsidRPr="001A48D3">
              <w:rPr>
                <w:b/>
                <w:sz w:val="22"/>
                <w:szCs w:val="22"/>
              </w:rPr>
              <w:t>Sensitivity Analyses</w:t>
            </w:r>
            <w:r w:rsidR="00BD04F0" w:rsidRPr="001A48D3">
              <w:rPr>
                <w:b/>
                <w:sz w:val="22"/>
                <w:szCs w:val="22"/>
              </w:rPr>
              <w:t xml:space="preserve"> (with Option 2 as Base Case)</w:t>
            </w:r>
          </w:p>
        </w:tc>
      </w:tr>
      <w:tr w:rsidR="00DD2271" w:rsidRPr="001A48D3" w:rsidTr="00B52F7D">
        <w:trPr>
          <w:tblHeader/>
        </w:trPr>
        <w:tc>
          <w:tcPr>
            <w:tcW w:w="862" w:type="dxa"/>
            <w:tcBorders>
              <w:top w:val="nil"/>
              <w:bottom w:val="nil"/>
            </w:tcBorders>
            <w:shd w:val="clear" w:color="auto" w:fill="FFC000"/>
          </w:tcPr>
          <w:p w:rsidR="00AC219E" w:rsidRPr="001A48D3" w:rsidRDefault="00AC219E" w:rsidP="00C4701A">
            <w:pPr>
              <w:spacing w:before="60" w:after="120"/>
              <w:jc w:val="center"/>
              <w:rPr>
                <w:b/>
                <w:sz w:val="22"/>
                <w:szCs w:val="22"/>
              </w:rPr>
            </w:pPr>
          </w:p>
        </w:tc>
        <w:tc>
          <w:tcPr>
            <w:tcW w:w="1609" w:type="dxa"/>
            <w:tcBorders>
              <w:top w:val="nil"/>
              <w:bottom w:val="nil"/>
            </w:tcBorders>
            <w:shd w:val="clear" w:color="auto" w:fill="FFC000"/>
          </w:tcPr>
          <w:p w:rsidR="00AC219E" w:rsidRPr="001A48D3" w:rsidRDefault="00AC219E" w:rsidP="00C4701A">
            <w:pPr>
              <w:spacing w:before="60" w:after="120"/>
              <w:jc w:val="center"/>
              <w:rPr>
                <w:b/>
                <w:sz w:val="22"/>
                <w:szCs w:val="22"/>
              </w:rPr>
            </w:pPr>
          </w:p>
        </w:tc>
        <w:tc>
          <w:tcPr>
            <w:tcW w:w="1417" w:type="dxa"/>
            <w:gridSpan w:val="2"/>
            <w:shd w:val="clear" w:color="auto" w:fill="FFC000"/>
          </w:tcPr>
          <w:p w:rsidR="00AC219E" w:rsidRPr="001A48D3" w:rsidRDefault="00AC219E" w:rsidP="00C4701A">
            <w:pPr>
              <w:spacing w:before="60" w:after="120"/>
              <w:jc w:val="center"/>
              <w:rPr>
                <w:b/>
                <w:sz w:val="22"/>
                <w:szCs w:val="22"/>
              </w:rPr>
            </w:pPr>
            <w:r w:rsidRPr="001A48D3">
              <w:rPr>
                <w:b/>
                <w:sz w:val="22"/>
                <w:szCs w:val="22"/>
              </w:rPr>
              <w:t>Diesel Penetration Rate</w:t>
            </w:r>
          </w:p>
        </w:tc>
        <w:tc>
          <w:tcPr>
            <w:tcW w:w="1654" w:type="dxa"/>
            <w:gridSpan w:val="2"/>
            <w:shd w:val="clear" w:color="auto" w:fill="FFC000"/>
          </w:tcPr>
          <w:p w:rsidR="00AC219E" w:rsidRPr="001A48D3" w:rsidRDefault="00AC219E" w:rsidP="00C4701A">
            <w:pPr>
              <w:spacing w:before="60" w:after="120"/>
              <w:jc w:val="center"/>
              <w:rPr>
                <w:b/>
                <w:sz w:val="22"/>
                <w:szCs w:val="22"/>
              </w:rPr>
            </w:pPr>
            <w:r w:rsidRPr="001A48D3">
              <w:rPr>
                <w:b/>
                <w:sz w:val="22"/>
                <w:szCs w:val="22"/>
              </w:rPr>
              <w:t>Deterioration Rate</w:t>
            </w:r>
          </w:p>
        </w:tc>
        <w:tc>
          <w:tcPr>
            <w:tcW w:w="1417" w:type="dxa"/>
            <w:gridSpan w:val="2"/>
            <w:shd w:val="clear" w:color="auto" w:fill="FFC000"/>
          </w:tcPr>
          <w:p w:rsidR="00AC219E" w:rsidRPr="001A48D3" w:rsidRDefault="00AC219E" w:rsidP="00C4701A">
            <w:pPr>
              <w:spacing w:before="60" w:after="120"/>
              <w:jc w:val="center"/>
              <w:rPr>
                <w:b/>
                <w:sz w:val="22"/>
                <w:szCs w:val="22"/>
              </w:rPr>
            </w:pPr>
            <w:r w:rsidRPr="001A48D3">
              <w:rPr>
                <w:b/>
                <w:sz w:val="22"/>
                <w:szCs w:val="22"/>
              </w:rPr>
              <w:t>Avoided Health Costs</w:t>
            </w:r>
          </w:p>
        </w:tc>
        <w:tc>
          <w:tcPr>
            <w:tcW w:w="946" w:type="dxa"/>
            <w:shd w:val="clear" w:color="auto" w:fill="FFC000"/>
          </w:tcPr>
          <w:p w:rsidR="00AC219E" w:rsidRPr="001A48D3" w:rsidRDefault="00AC219E" w:rsidP="00C4701A">
            <w:pPr>
              <w:spacing w:before="60" w:after="120"/>
              <w:jc w:val="center"/>
              <w:rPr>
                <w:b/>
                <w:sz w:val="22"/>
                <w:szCs w:val="22"/>
              </w:rPr>
            </w:pPr>
            <w:r w:rsidRPr="001A48D3">
              <w:rPr>
                <w:b/>
                <w:sz w:val="22"/>
                <w:szCs w:val="22"/>
              </w:rPr>
              <w:t xml:space="preserve">High </w:t>
            </w:r>
            <w:r w:rsidR="00DD2271" w:rsidRPr="001A48D3">
              <w:rPr>
                <w:b/>
                <w:sz w:val="22"/>
                <w:szCs w:val="22"/>
              </w:rPr>
              <w:t xml:space="preserve">Vehicle </w:t>
            </w:r>
            <w:r w:rsidRPr="001A48D3">
              <w:rPr>
                <w:b/>
                <w:sz w:val="22"/>
                <w:szCs w:val="22"/>
              </w:rPr>
              <w:t>Costs</w:t>
            </w:r>
          </w:p>
        </w:tc>
        <w:tc>
          <w:tcPr>
            <w:tcW w:w="1653" w:type="dxa"/>
            <w:gridSpan w:val="2"/>
            <w:shd w:val="clear" w:color="auto" w:fill="FFC000"/>
          </w:tcPr>
          <w:p w:rsidR="00AC219E" w:rsidRPr="001A48D3" w:rsidRDefault="00AC219E" w:rsidP="00C4701A">
            <w:pPr>
              <w:spacing w:before="60" w:after="120"/>
              <w:jc w:val="center"/>
              <w:rPr>
                <w:b/>
                <w:sz w:val="22"/>
                <w:szCs w:val="22"/>
              </w:rPr>
            </w:pPr>
            <w:r w:rsidRPr="001A48D3">
              <w:rPr>
                <w:b/>
                <w:sz w:val="22"/>
                <w:szCs w:val="22"/>
              </w:rPr>
              <w:t>Discount Rate</w:t>
            </w:r>
          </w:p>
        </w:tc>
        <w:tc>
          <w:tcPr>
            <w:tcW w:w="1323" w:type="dxa"/>
            <w:shd w:val="clear" w:color="auto" w:fill="FFC000"/>
          </w:tcPr>
          <w:p w:rsidR="00AC219E" w:rsidRPr="001A48D3" w:rsidRDefault="00AC219E" w:rsidP="00C4701A">
            <w:pPr>
              <w:spacing w:before="60" w:after="120"/>
              <w:jc w:val="center"/>
              <w:rPr>
                <w:b/>
                <w:sz w:val="22"/>
                <w:szCs w:val="22"/>
              </w:rPr>
            </w:pPr>
            <w:r w:rsidRPr="001A48D3">
              <w:rPr>
                <w:b/>
                <w:sz w:val="22"/>
                <w:szCs w:val="22"/>
              </w:rPr>
              <w:t>Low</w:t>
            </w:r>
            <w:r w:rsidR="007E65CD" w:rsidRPr="001A48D3">
              <w:rPr>
                <w:b/>
                <w:sz w:val="22"/>
                <w:szCs w:val="22"/>
              </w:rPr>
              <w:t>er</w:t>
            </w:r>
            <w:r w:rsidRPr="001A48D3">
              <w:rPr>
                <w:b/>
                <w:sz w:val="22"/>
                <w:szCs w:val="22"/>
              </w:rPr>
              <w:t xml:space="preserve"> Value of Statistical Life</w:t>
            </w:r>
          </w:p>
        </w:tc>
        <w:tc>
          <w:tcPr>
            <w:tcW w:w="2694" w:type="dxa"/>
            <w:gridSpan w:val="2"/>
            <w:shd w:val="clear" w:color="auto" w:fill="FFC000"/>
          </w:tcPr>
          <w:p w:rsidR="00AC219E" w:rsidRPr="001A48D3" w:rsidRDefault="00AC219E" w:rsidP="00C4701A">
            <w:pPr>
              <w:spacing w:before="60" w:after="120"/>
              <w:jc w:val="center"/>
              <w:rPr>
                <w:b/>
                <w:sz w:val="22"/>
                <w:szCs w:val="22"/>
              </w:rPr>
            </w:pPr>
            <w:r w:rsidRPr="001A48D3">
              <w:rPr>
                <w:b/>
                <w:sz w:val="22"/>
                <w:szCs w:val="22"/>
              </w:rPr>
              <w:t>Implementation Timing</w:t>
            </w:r>
          </w:p>
        </w:tc>
        <w:tc>
          <w:tcPr>
            <w:tcW w:w="1275" w:type="dxa"/>
            <w:shd w:val="clear" w:color="auto" w:fill="FFC000"/>
          </w:tcPr>
          <w:p w:rsidR="00AC219E" w:rsidRPr="001A48D3" w:rsidRDefault="00852CA6" w:rsidP="00C4701A">
            <w:pPr>
              <w:spacing w:before="60" w:after="120"/>
              <w:jc w:val="center"/>
              <w:rPr>
                <w:b/>
                <w:sz w:val="22"/>
                <w:szCs w:val="22"/>
              </w:rPr>
            </w:pPr>
            <w:r w:rsidRPr="001A48D3">
              <w:rPr>
                <w:b/>
                <w:sz w:val="22"/>
                <w:szCs w:val="22"/>
              </w:rPr>
              <w:t xml:space="preserve">Longer </w:t>
            </w:r>
            <w:r w:rsidR="00AC219E" w:rsidRPr="001A48D3">
              <w:rPr>
                <w:b/>
                <w:sz w:val="22"/>
                <w:szCs w:val="22"/>
              </w:rPr>
              <w:t>Analysis Period</w:t>
            </w:r>
          </w:p>
        </w:tc>
      </w:tr>
      <w:tr w:rsidR="00DF4665" w:rsidRPr="001A48D3" w:rsidTr="00B52F7D">
        <w:trPr>
          <w:trHeight w:val="828"/>
          <w:tblHeader/>
        </w:trPr>
        <w:tc>
          <w:tcPr>
            <w:tcW w:w="862" w:type="dxa"/>
            <w:tcBorders>
              <w:top w:val="nil"/>
              <w:bottom w:val="single" w:sz="4" w:space="0" w:color="auto"/>
            </w:tcBorders>
            <w:shd w:val="clear" w:color="auto" w:fill="FFC000"/>
          </w:tcPr>
          <w:p w:rsidR="00E05EF4" w:rsidRPr="001A48D3" w:rsidRDefault="00E05EF4" w:rsidP="00C4701A">
            <w:pPr>
              <w:spacing w:before="60" w:after="120"/>
              <w:jc w:val="center"/>
              <w:rPr>
                <w:b/>
                <w:sz w:val="22"/>
                <w:szCs w:val="22"/>
              </w:rPr>
            </w:pPr>
          </w:p>
        </w:tc>
        <w:tc>
          <w:tcPr>
            <w:tcW w:w="1609" w:type="dxa"/>
            <w:tcBorders>
              <w:top w:val="nil"/>
            </w:tcBorders>
            <w:shd w:val="clear" w:color="auto" w:fill="FFC000"/>
          </w:tcPr>
          <w:p w:rsidR="00E05EF4" w:rsidRPr="001A48D3" w:rsidRDefault="00E05EF4" w:rsidP="00C4701A">
            <w:pPr>
              <w:spacing w:before="60" w:after="120"/>
              <w:jc w:val="center"/>
              <w:rPr>
                <w:b/>
                <w:sz w:val="22"/>
                <w:szCs w:val="22"/>
              </w:rPr>
            </w:pPr>
          </w:p>
        </w:tc>
        <w:tc>
          <w:tcPr>
            <w:tcW w:w="708" w:type="dxa"/>
            <w:shd w:val="clear" w:color="auto" w:fill="FFC000"/>
          </w:tcPr>
          <w:p w:rsidR="00E05EF4" w:rsidRPr="001A48D3" w:rsidRDefault="00E05EF4" w:rsidP="00C4701A">
            <w:pPr>
              <w:spacing w:before="60" w:after="120"/>
              <w:jc w:val="center"/>
              <w:rPr>
                <w:b/>
                <w:sz w:val="22"/>
                <w:szCs w:val="22"/>
              </w:rPr>
            </w:pPr>
            <w:r w:rsidRPr="001A48D3">
              <w:rPr>
                <w:b/>
                <w:sz w:val="22"/>
                <w:szCs w:val="22"/>
              </w:rPr>
              <w:t>Low</w:t>
            </w:r>
          </w:p>
        </w:tc>
        <w:tc>
          <w:tcPr>
            <w:tcW w:w="709" w:type="dxa"/>
            <w:shd w:val="clear" w:color="auto" w:fill="FFC000"/>
          </w:tcPr>
          <w:p w:rsidR="00E05EF4" w:rsidRPr="001A48D3" w:rsidRDefault="00E05EF4" w:rsidP="00C4701A">
            <w:pPr>
              <w:spacing w:before="60" w:after="120"/>
              <w:jc w:val="center"/>
              <w:rPr>
                <w:b/>
                <w:sz w:val="22"/>
                <w:szCs w:val="22"/>
              </w:rPr>
            </w:pPr>
            <w:r w:rsidRPr="001A48D3">
              <w:rPr>
                <w:b/>
                <w:sz w:val="22"/>
                <w:szCs w:val="22"/>
              </w:rPr>
              <w:t>High</w:t>
            </w:r>
          </w:p>
        </w:tc>
        <w:tc>
          <w:tcPr>
            <w:tcW w:w="709" w:type="dxa"/>
            <w:shd w:val="clear" w:color="auto" w:fill="FFC000"/>
          </w:tcPr>
          <w:p w:rsidR="00E05EF4" w:rsidRPr="001A48D3" w:rsidRDefault="00E05EF4" w:rsidP="00C4701A">
            <w:pPr>
              <w:spacing w:before="60" w:after="120"/>
              <w:jc w:val="center"/>
              <w:rPr>
                <w:b/>
                <w:sz w:val="22"/>
                <w:szCs w:val="22"/>
              </w:rPr>
            </w:pPr>
            <w:r w:rsidRPr="001A48D3">
              <w:rPr>
                <w:b/>
                <w:sz w:val="22"/>
                <w:szCs w:val="22"/>
              </w:rPr>
              <w:t>Low</w:t>
            </w:r>
          </w:p>
        </w:tc>
        <w:tc>
          <w:tcPr>
            <w:tcW w:w="945" w:type="dxa"/>
            <w:shd w:val="clear" w:color="auto" w:fill="FFC000"/>
          </w:tcPr>
          <w:p w:rsidR="00E05EF4" w:rsidRPr="001A48D3" w:rsidRDefault="00E05EF4" w:rsidP="00C4701A">
            <w:pPr>
              <w:spacing w:before="60" w:after="120"/>
              <w:jc w:val="center"/>
              <w:rPr>
                <w:b/>
                <w:sz w:val="22"/>
                <w:szCs w:val="22"/>
              </w:rPr>
            </w:pPr>
            <w:r w:rsidRPr="001A48D3">
              <w:rPr>
                <w:b/>
                <w:sz w:val="22"/>
                <w:szCs w:val="22"/>
              </w:rPr>
              <w:t>High</w:t>
            </w:r>
          </w:p>
        </w:tc>
        <w:tc>
          <w:tcPr>
            <w:tcW w:w="708" w:type="dxa"/>
            <w:shd w:val="clear" w:color="auto" w:fill="FFC000"/>
          </w:tcPr>
          <w:p w:rsidR="00E05EF4" w:rsidRPr="001A48D3" w:rsidRDefault="00E05EF4" w:rsidP="00C4701A">
            <w:pPr>
              <w:spacing w:before="60" w:after="120"/>
              <w:jc w:val="center"/>
              <w:rPr>
                <w:b/>
                <w:sz w:val="22"/>
                <w:szCs w:val="22"/>
              </w:rPr>
            </w:pPr>
            <w:r w:rsidRPr="001A48D3">
              <w:rPr>
                <w:b/>
                <w:sz w:val="22"/>
                <w:szCs w:val="22"/>
              </w:rPr>
              <w:t>Low</w:t>
            </w:r>
          </w:p>
        </w:tc>
        <w:tc>
          <w:tcPr>
            <w:tcW w:w="709" w:type="dxa"/>
            <w:shd w:val="clear" w:color="auto" w:fill="FFC000"/>
          </w:tcPr>
          <w:p w:rsidR="00E05EF4" w:rsidRPr="001A48D3" w:rsidRDefault="00E05EF4" w:rsidP="00C4701A">
            <w:pPr>
              <w:spacing w:before="60" w:after="120"/>
              <w:jc w:val="center"/>
              <w:rPr>
                <w:b/>
                <w:sz w:val="22"/>
                <w:szCs w:val="22"/>
              </w:rPr>
            </w:pPr>
            <w:r w:rsidRPr="001A48D3">
              <w:rPr>
                <w:b/>
                <w:sz w:val="22"/>
                <w:szCs w:val="22"/>
              </w:rPr>
              <w:t>High</w:t>
            </w:r>
          </w:p>
        </w:tc>
        <w:tc>
          <w:tcPr>
            <w:tcW w:w="946" w:type="dxa"/>
            <w:shd w:val="clear" w:color="auto" w:fill="FFC000"/>
          </w:tcPr>
          <w:p w:rsidR="00E05EF4" w:rsidRPr="001A48D3" w:rsidRDefault="00E05EF4" w:rsidP="00C4701A">
            <w:pPr>
              <w:spacing w:before="60" w:after="120"/>
              <w:jc w:val="center"/>
              <w:rPr>
                <w:b/>
                <w:sz w:val="22"/>
                <w:szCs w:val="22"/>
              </w:rPr>
            </w:pPr>
          </w:p>
        </w:tc>
        <w:tc>
          <w:tcPr>
            <w:tcW w:w="850" w:type="dxa"/>
            <w:shd w:val="clear" w:color="auto" w:fill="FFC000"/>
          </w:tcPr>
          <w:p w:rsidR="00E05EF4" w:rsidRPr="001A48D3" w:rsidRDefault="00E05EF4" w:rsidP="00C4701A">
            <w:pPr>
              <w:spacing w:before="60" w:after="120"/>
              <w:jc w:val="center"/>
              <w:rPr>
                <w:b/>
                <w:sz w:val="22"/>
                <w:szCs w:val="22"/>
              </w:rPr>
            </w:pPr>
            <w:r w:rsidRPr="001A48D3">
              <w:rPr>
                <w:b/>
                <w:sz w:val="22"/>
                <w:szCs w:val="22"/>
              </w:rPr>
              <w:t>Low (3%)</w:t>
            </w:r>
          </w:p>
        </w:tc>
        <w:tc>
          <w:tcPr>
            <w:tcW w:w="803" w:type="dxa"/>
            <w:shd w:val="clear" w:color="auto" w:fill="FFC000"/>
          </w:tcPr>
          <w:p w:rsidR="00E05EF4" w:rsidRPr="001A48D3" w:rsidRDefault="00E05EF4" w:rsidP="00C4701A">
            <w:pPr>
              <w:spacing w:before="60" w:after="120"/>
              <w:jc w:val="center"/>
              <w:rPr>
                <w:b/>
                <w:sz w:val="22"/>
                <w:szCs w:val="22"/>
              </w:rPr>
            </w:pPr>
            <w:r w:rsidRPr="001A48D3">
              <w:rPr>
                <w:b/>
                <w:sz w:val="22"/>
                <w:szCs w:val="22"/>
              </w:rPr>
              <w:t>High (11%)</w:t>
            </w:r>
          </w:p>
        </w:tc>
        <w:tc>
          <w:tcPr>
            <w:tcW w:w="1323" w:type="dxa"/>
            <w:shd w:val="clear" w:color="auto" w:fill="FFC000"/>
          </w:tcPr>
          <w:p w:rsidR="00E05EF4" w:rsidRPr="001A48D3" w:rsidRDefault="00E05EF4" w:rsidP="00C4701A">
            <w:pPr>
              <w:spacing w:before="60" w:after="120"/>
              <w:jc w:val="center"/>
              <w:rPr>
                <w:b/>
                <w:sz w:val="22"/>
                <w:szCs w:val="22"/>
              </w:rPr>
            </w:pPr>
          </w:p>
        </w:tc>
        <w:tc>
          <w:tcPr>
            <w:tcW w:w="1418" w:type="dxa"/>
            <w:shd w:val="clear" w:color="auto" w:fill="FFC000"/>
          </w:tcPr>
          <w:p w:rsidR="00E05EF4" w:rsidRPr="001A48D3" w:rsidRDefault="00E05EF4" w:rsidP="00C4701A">
            <w:pPr>
              <w:spacing w:before="60" w:after="120"/>
              <w:jc w:val="center"/>
              <w:rPr>
                <w:b/>
                <w:sz w:val="22"/>
                <w:szCs w:val="22"/>
              </w:rPr>
            </w:pPr>
            <w:r w:rsidRPr="001A48D3">
              <w:rPr>
                <w:b/>
                <w:sz w:val="22"/>
                <w:szCs w:val="22"/>
              </w:rPr>
              <w:t xml:space="preserve">Moderate </w:t>
            </w:r>
            <w:r w:rsidR="00AC219E" w:rsidRPr="001A48D3">
              <w:rPr>
                <w:b/>
                <w:sz w:val="22"/>
                <w:szCs w:val="22"/>
              </w:rPr>
              <w:t xml:space="preserve">(1-2 </w:t>
            </w:r>
            <w:proofErr w:type="spellStart"/>
            <w:r w:rsidR="00AC219E" w:rsidRPr="001A48D3">
              <w:rPr>
                <w:b/>
                <w:sz w:val="22"/>
                <w:szCs w:val="22"/>
              </w:rPr>
              <w:t>yr</w:t>
            </w:r>
            <w:proofErr w:type="spellEnd"/>
            <w:r w:rsidR="00AC219E" w:rsidRPr="001A48D3">
              <w:rPr>
                <w:b/>
                <w:sz w:val="22"/>
                <w:szCs w:val="22"/>
              </w:rPr>
              <w:t xml:space="preserve">) </w:t>
            </w:r>
            <w:r w:rsidRPr="001A48D3">
              <w:rPr>
                <w:b/>
                <w:sz w:val="22"/>
                <w:szCs w:val="22"/>
              </w:rPr>
              <w:t>Delay</w:t>
            </w:r>
          </w:p>
        </w:tc>
        <w:tc>
          <w:tcPr>
            <w:tcW w:w="1276" w:type="dxa"/>
            <w:shd w:val="clear" w:color="auto" w:fill="FFC000"/>
          </w:tcPr>
          <w:p w:rsidR="00E05EF4" w:rsidRPr="001A48D3" w:rsidRDefault="00AC219E" w:rsidP="00C4701A">
            <w:pPr>
              <w:spacing w:before="60" w:after="120"/>
              <w:jc w:val="center"/>
              <w:rPr>
                <w:b/>
                <w:sz w:val="22"/>
                <w:szCs w:val="22"/>
              </w:rPr>
            </w:pPr>
            <w:r w:rsidRPr="001A48D3">
              <w:rPr>
                <w:b/>
                <w:sz w:val="22"/>
                <w:szCs w:val="22"/>
              </w:rPr>
              <w:t xml:space="preserve">Extended (3-4 </w:t>
            </w:r>
            <w:proofErr w:type="spellStart"/>
            <w:r w:rsidRPr="001A48D3">
              <w:rPr>
                <w:b/>
                <w:sz w:val="22"/>
                <w:szCs w:val="22"/>
              </w:rPr>
              <w:t>yr</w:t>
            </w:r>
            <w:proofErr w:type="spellEnd"/>
            <w:r w:rsidRPr="001A48D3">
              <w:rPr>
                <w:b/>
                <w:sz w:val="22"/>
                <w:szCs w:val="22"/>
              </w:rPr>
              <w:t>) Delay</w:t>
            </w:r>
          </w:p>
        </w:tc>
        <w:tc>
          <w:tcPr>
            <w:tcW w:w="1275" w:type="dxa"/>
            <w:shd w:val="clear" w:color="auto" w:fill="FFC000"/>
          </w:tcPr>
          <w:p w:rsidR="00E05EF4" w:rsidRPr="001A48D3" w:rsidRDefault="00E05EF4" w:rsidP="00C4701A">
            <w:pPr>
              <w:spacing w:before="60" w:after="120"/>
              <w:jc w:val="center"/>
              <w:rPr>
                <w:b/>
                <w:sz w:val="22"/>
                <w:szCs w:val="22"/>
              </w:rPr>
            </w:pPr>
          </w:p>
        </w:tc>
      </w:tr>
      <w:tr w:rsidR="00DF4665" w:rsidRPr="001A48D3" w:rsidTr="00B52F7D">
        <w:tc>
          <w:tcPr>
            <w:tcW w:w="862" w:type="dxa"/>
            <w:tcBorders>
              <w:top w:val="single" w:sz="4" w:space="0" w:color="auto"/>
            </w:tcBorders>
            <w:vAlign w:val="center"/>
          </w:tcPr>
          <w:p w:rsidR="00E05EF4" w:rsidRPr="001A48D3" w:rsidRDefault="00AC219E" w:rsidP="00C4701A">
            <w:pPr>
              <w:spacing w:after="120"/>
              <w:jc w:val="center"/>
              <w:rPr>
                <w:b/>
                <w:sz w:val="22"/>
                <w:szCs w:val="22"/>
              </w:rPr>
            </w:pPr>
            <w:r w:rsidRPr="001A48D3">
              <w:rPr>
                <w:b/>
                <w:sz w:val="22"/>
                <w:szCs w:val="22"/>
              </w:rPr>
              <w:t>2</w:t>
            </w:r>
          </w:p>
        </w:tc>
        <w:tc>
          <w:tcPr>
            <w:tcW w:w="1609" w:type="dxa"/>
            <w:vAlign w:val="center"/>
          </w:tcPr>
          <w:p w:rsidR="00E05EF4" w:rsidRPr="001A48D3" w:rsidRDefault="00852CA6" w:rsidP="00C4701A">
            <w:pPr>
              <w:spacing w:after="120"/>
              <w:jc w:val="center"/>
              <w:rPr>
                <w:sz w:val="22"/>
                <w:szCs w:val="22"/>
              </w:rPr>
            </w:pPr>
            <w:r w:rsidRPr="001A48D3">
              <w:rPr>
                <w:sz w:val="22"/>
                <w:szCs w:val="22"/>
              </w:rPr>
              <w:t>579</w:t>
            </w:r>
          </w:p>
        </w:tc>
        <w:tc>
          <w:tcPr>
            <w:tcW w:w="708"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444</w:t>
            </w:r>
          </w:p>
        </w:tc>
        <w:tc>
          <w:tcPr>
            <w:tcW w:w="709"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58</w:t>
            </w:r>
            <w:r w:rsidR="0083497F" w:rsidRPr="001A48D3">
              <w:rPr>
                <w:sz w:val="22"/>
                <w:szCs w:val="22"/>
              </w:rPr>
              <w:t>1</w:t>
            </w:r>
          </w:p>
        </w:tc>
        <w:tc>
          <w:tcPr>
            <w:tcW w:w="709"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248</w:t>
            </w:r>
          </w:p>
        </w:tc>
        <w:tc>
          <w:tcPr>
            <w:tcW w:w="945"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922</w:t>
            </w:r>
          </w:p>
        </w:tc>
        <w:tc>
          <w:tcPr>
            <w:tcW w:w="708"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-485</w:t>
            </w:r>
          </w:p>
        </w:tc>
        <w:tc>
          <w:tcPr>
            <w:tcW w:w="709"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1,643</w:t>
            </w:r>
          </w:p>
        </w:tc>
        <w:tc>
          <w:tcPr>
            <w:tcW w:w="946"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489</w:t>
            </w:r>
          </w:p>
        </w:tc>
        <w:tc>
          <w:tcPr>
            <w:tcW w:w="850"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1,576</w:t>
            </w:r>
          </w:p>
        </w:tc>
        <w:tc>
          <w:tcPr>
            <w:tcW w:w="803"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132</w:t>
            </w:r>
          </w:p>
        </w:tc>
        <w:tc>
          <w:tcPr>
            <w:tcW w:w="1323"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20</w:t>
            </w:r>
          </w:p>
        </w:tc>
        <w:tc>
          <w:tcPr>
            <w:tcW w:w="1418"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371</w:t>
            </w:r>
          </w:p>
        </w:tc>
        <w:tc>
          <w:tcPr>
            <w:tcW w:w="1276"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147</w:t>
            </w:r>
          </w:p>
        </w:tc>
        <w:tc>
          <w:tcPr>
            <w:tcW w:w="1275" w:type="dxa"/>
            <w:tcBorders>
              <w:bottom w:val="single" w:sz="4" w:space="0" w:color="auto"/>
            </w:tcBorders>
            <w:vAlign w:val="center"/>
          </w:tcPr>
          <w:p w:rsidR="00E05EF4" w:rsidRPr="001A48D3" w:rsidRDefault="00852CA6" w:rsidP="00C4701A">
            <w:pPr>
              <w:spacing w:after="120"/>
              <w:jc w:val="center"/>
              <w:rPr>
                <w:sz w:val="22"/>
                <w:szCs w:val="22"/>
              </w:rPr>
            </w:pPr>
            <w:r w:rsidRPr="001A48D3">
              <w:rPr>
                <w:sz w:val="22"/>
                <w:szCs w:val="22"/>
              </w:rPr>
              <w:t>1,250</w:t>
            </w:r>
          </w:p>
        </w:tc>
      </w:tr>
      <w:tr w:rsidR="00DF4665" w:rsidRPr="001A48D3" w:rsidTr="00B52F7D">
        <w:tc>
          <w:tcPr>
            <w:tcW w:w="862" w:type="dxa"/>
            <w:vAlign w:val="center"/>
          </w:tcPr>
          <w:p w:rsidR="00E05EF4" w:rsidRPr="001A48D3" w:rsidRDefault="00AC219E" w:rsidP="00C4701A">
            <w:pPr>
              <w:spacing w:after="120"/>
              <w:jc w:val="center"/>
              <w:rPr>
                <w:b/>
                <w:sz w:val="22"/>
                <w:szCs w:val="22"/>
              </w:rPr>
            </w:pPr>
            <w:r w:rsidRPr="001A48D3">
              <w:rPr>
                <w:b/>
                <w:sz w:val="22"/>
                <w:szCs w:val="22"/>
              </w:rPr>
              <w:t>3</w:t>
            </w:r>
          </w:p>
        </w:tc>
        <w:tc>
          <w:tcPr>
            <w:tcW w:w="1609" w:type="dxa"/>
            <w:tcBorders>
              <w:right w:val="single" w:sz="4" w:space="0" w:color="auto"/>
            </w:tcBorders>
            <w:vAlign w:val="center"/>
          </w:tcPr>
          <w:p w:rsidR="00E05EF4" w:rsidRPr="001A48D3" w:rsidRDefault="00852CA6" w:rsidP="00C4701A">
            <w:pPr>
              <w:spacing w:after="120"/>
              <w:jc w:val="center"/>
              <w:rPr>
                <w:sz w:val="22"/>
                <w:szCs w:val="22"/>
              </w:rPr>
            </w:pPr>
            <w:r w:rsidRPr="001A48D3">
              <w:rPr>
                <w:sz w:val="22"/>
                <w:szCs w:val="22"/>
              </w:rPr>
              <w:t>604</w:t>
            </w:r>
          </w:p>
        </w:tc>
        <w:tc>
          <w:tcPr>
            <w:tcW w:w="708" w:type="dxa"/>
            <w:tcBorders>
              <w:top w:val="single" w:sz="4" w:space="0" w:color="auto"/>
              <w:left w:val="single" w:sz="4" w:space="0" w:color="auto"/>
              <w:bottom w:val="nil"/>
              <w:right w:val="nil"/>
            </w:tcBorders>
            <w:vAlign w:val="center"/>
          </w:tcPr>
          <w:p w:rsidR="00E05EF4" w:rsidRPr="001A48D3" w:rsidRDefault="00E05EF4" w:rsidP="00C4701A">
            <w:pPr>
              <w:spacing w:after="120"/>
              <w:jc w:val="center"/>
              <w:rPr>
                <w:sz w:val="22"/>
                <w:szCs w:val="22"/>
              </w:rPr>
            </w:pPr>
          </w:p>
        </w:tc>
        <w:tc>
          <w:tcPr>
            <w:tcW w:w="709" w:type="dxa"/>
            <w:tcBorders>
              <w:top w:val="single" w:sz="4" w:space="0" w:color="auto"/>
              <w:left w:val="nil"/>
              <w:bottom w:val="nil"/>
              <w:right w:val="nil"/>
            </w:tcBorders>
            <w:vAlign w:val="center"/>
          </w:tcPr>
          <w:p w:rsidR="00E05EF4" w:rsidRPr="001A48D3" w:rsidRDefault="00E05EF4" w:rsidP="00C4701A">
            <w:pPr>
              <w:spacing w:after="120"/>
              <w:jc w:val="center"/>
              <w:rPr>
                <w:sz w:val="22"/>
                <w:szCs w:val="22"/>
              </w:rPr>
            </w:pPr>
          </w:p>
        </w:tc>
        <w:tc>
          <w:tcPr>
            <w:tcW w:w="709" w:type="dxa"/>
            <w:tcBorders>
              <w:top w:val="single" w:sz="4" w:space="0" w:color="auto"/>
              <w:left w:val="nil"/>
              <w:bottom w:val="nil"/>
              <w:right w:val="nil"/>
            </w:tcBorders>
            <w:vAlign w:val="center"/>
          </w:tcPr>
          <w:p w:rsidR="00E05EF4" w:rsidRPr="001A48D3" w:rsidRDefault="00E05EF4" w:rsidP="00C4701A">
            <w:pPr>
              <w:spacing w:after="120"/>
              <w:jc w:val="center"/>
              <w:rPr>
                <w:sz w:val="22"/>
                <w:szCs w:val="22"/>
              </w:rPr>
            </w:pPr>
          </w:p>
        </w:tc>
        <w:tc>
          <w:tcPr>
            <w:tcW w:w="945" w:type="dxa"/>
            <w:tcBorders>
              <w:top w:val="single" w:sz="4" w:space="0" w:color="auto"/>
              <w:left w:val="nil"/>
              <w:bottom w:val="nil"/>
              <w:right w:val="nil"/>
            </w:tcBorders>
            <w:vAlign w:val="center"/>
          </w:tcPr>
          <w:p w:rsidR="00E05EF4" w:rsidRPr="001A48D3" w:rsidRDefault="00E05EF4" w:rsidP="00C4701A">
            <w:pPr>
              <w:spacing w:after="120"/>
              <w:jc w:val="center"/>
              <w:rPr>
                <w:sz w:val="22"/>
                <w:szCs w:val="22"/>
              </w:rPr>
            </w:pPr>
          </w:p>
        </w:tc>
        <w:tc>
          <w:tcPr>
            <w:tcW w:w="708" w:type="dxa"/>
            <w:tcBorders>
              <w:top w:val="single" w:sz="4" w:space="0" w:color="auto"/>
              <w:left w:val="nil"/>
              <w:bottom w:val="nil"/>
              <w:right w:val="nil"/>
            </w:tcBorders>
            <w:vAlign w:val="center"/>
          </w:tcPr>
          <w:p w:rsidR="00E05EF4" w:rsidRPr="001A48D3" w:rsidRDefault="00E05EF4" w:rsidP="00C4701A">
            <w:pPr>
              <w:spacing w:after="120"/>
              <w:jc w:val="center"/>
              <w:rPr>
                <w:sz w:val="22"/>
                <w:szCs w:val="22"/>
              </w:rPr>
            </w:pPr>
          </w:p>
        </w:tc>
        <w:tc>
          <w:tcPr>
            <w:tcW w:w="709" w:type="dxa"/>
            <w:tcBorders>
              <w:top w:val="single" w:sz="4" w:space="0" w:color="auto"/>
              <w:left w:val="nil"/>
              <w:bottom w:val="nil"/>
              <w:right w:val="nil"/>
            </w:tcBorders>
            <w:vAlign w:val="center"/>
          </w:tcPr>
          <w:p w:rsidR="00E05EF4" w:rsidRPr="001A48D3" w:rsidRDefault="00E05EF4" w:rsidP="00C4701A">
            <w:pPr>
              <w:spacing w:after="120"/>
              <w:jc w:val="center"/>
              <w:rPr>
                <w:sz w:val="22"/>
                <w:szCs w:val="22"/>
              </w:rPr>
            </w:pPr>
          </w:p>
        </w:tc>
        <w:tc>
          <w:tcPr>
            <w:tcW w:w="946" w:type="dxa"/>
            <w:tcBorders>
              <w:top w:val="single" w:sz="4" w:space="0" w:color="auto"/>
              <w:left w:val="nil"/>
              <w:bottom w:val="nil"/>
              <w:right w:val="nil"/>
            </w:tcBorders>
            <w:vAlign w:val="center"/>
          </w:tcPr>
          <w:p w:rsidR="00E05EF4" w:rsidRPr="001A48D3" w:rsidRDefault="00E05EF4" w:rsidP="00C4701A">
            <w:pPr>
              <w:spacing w:after="120"/>
              <w:jc w:val="center"/>
              <w:rPr>
                <w:sz w:val="22"/>
                <w:szCs w:val="22"/>
              </w:rPr>
            </w:pPr>
          </w:p>
        </w:tc>
        <w:tc>
          <w:tcPr>
            <w:tcW w:w="850" w:type="dxa"/>
            <w:tcBorders>
              <w:top w:val="single" w:sz="4" w:space="0" w:color="auto"/>
              <w:left w:val="nil"/>
              <w:bottom w:val="nil"/>
              <w:right w:val="nil"/>
            </w:tcBorders>
            <w:vAlign w:val="center"/>
          </w:tcPr>
          <w:p w:rsidR="00E05EF4" w:rsidRPr="001A48D3" w:rsidRDefault="00E05EF4" w:rsidP="00C4701A">
            <w:pPr>
              <w:spacing w:after="120"/>
              <w:jc w:val="center"/>
              <w:rPr>
                <w:sz w:val="22"/>
                <w:szCs w:val="22"/>
              </w:rPr>
            </w:pPr>
          </w:p>
        </w:tc>
        <w:tc>
          <w:tcPr>
            <w:tcW w:w="803" w:type="dxa"/>
            <w:tcBorders>
              <w:top w:val="single" w:sz="4" w:space="0" w:color="auto"/>
              <w:left w:val="nil"/>
              <w:bottom w:val="nil"/>
              <w:right w:val="nil"/>
            </w:tcBorders>
            <w:vAlign w:val="center"/>
          </w:tcPr>
          <w:p w:rsidR="00E05EF4" w:rsidRPr="001A48D3" w:rsidRDefault="00E05EF4" w:rsidP="00C4701A">
            <w:pPr>
              <w:spacing w:after="120"/>
              <w:jc w:val="center"/>
              <w:rPr>
                <w:sz w:val="22"/>
                <w:szCs w:val="22"/>
              </w:rPr>
            </w:pPr>
          </w:p>
        </w:tc>
        <w:tc>
          <w:tcPr>
            <w:tcW w:w="1323" w:type="dxa"/>
            <w:tcBorders>
              <w:top w:val="single" w:sz="4" w:space="0" w:color="auto"/>
              <w:left w:val="nil"/>
              <w:bottom w:val="nil"/>
              <w:right w:val="nil"/>
            </w:tcBorders>
            <w:vAlign w:val="center"/>
          </w:tcPr>
          <w:p w:rsidR="00E05EF4" w:rsidRPr="001A48D3" w:rsidRDefault="00E05EF4" w:rsidP="00C4701A">
            <w:pPr>
              <w:spacing w:after="120"/>
              <w:jc w:val="center"/>
              <w:rPr>
                <w:sz w:val="22"/>
                <w:szCs w:val="22"/>
              </w:rPr>
            </w:pPr>
          </w:p>
        </w:tc>
        <w:tc>
          <w:tcPr>
            <w:tcW w:w="1418" w:type="dxa"/>
            <w:tcBorders>
              <w:top w:val="single" w:sz="4" w:space="0" w:color="auto"/>
              <w:left w:val="nil"/>
              <w:bottom w:val="nil"/>
              <w:right w:val="nil"/>
            </w:tcBorders>
            <w:vAlign w:val="center"/>
          </w:tcPr>
          <w:p w:rsidR="00E05EF4" w:rsidRPr="001A48D3" w:rsidRDefault="00E05EF4" w:rsidP="00C4701A">
            <w:pPr>
              <w:spacing w:after="120"/>
              <w:jc w:val="center"/>
              <w:rPr>
                <w:sz w:val="22"/>
                <w:szCs w:val="22"/>
              </w:rPr>
            </w:pPr>
          </w:p>
        </w:tc>
        <w:tc>
          <w:tcPr>
            <w:tcW w:w="1276" w:type="dxa"/>
            <w:tcBorders>
              <w:top w:val="single" w:sz="4" w:space="0" w:color="auto"/>
              <w:left w:val="nil"/>
              <w:bottom w:val="nil"/>
              <w:right w:val="nil"/>
            </w:tcBorders>
            <w:vAlign w:val="center"/>
          </w:tcPr>
          <w:p w:rsidR="00E05EF4" w:rsidRPr="001A48D3" w:rsidRDefault="00E05EF4" w:rsidP="00C4701A">
            <w:pPr>
              <w:spacing w:after="120"/>
              <w:jc w:val="center"/>
              <w:rPr>
                <w:sz w:val="22"/>
                <w:szCs w:val="22"/>
              </w:rPr>
            </w:pPr>
          </w:p>
        </w:tc>
        <w:tc>
          <w:tcPr>
            <w:tcW w:w="1275" w:type="dxa"/>
            <w:tcBorders>
              <w:top w:val="single" w:sz="4" w:space="0" w:color="auto"/>
              <w:left w:val="nil"/>
              <w:bottom w:val="nil"/>
              <w:right w:val="nil"/>
            </w:tcBorders>
            <w:vAlign w:val="center"/>
          </w:tcPr>
          <w:p w:rsidR="00E05EF4" w:rsidRPr="001A48D3" w:rsidRDefault="00E05EF4" w:rsidP="00C4701A">
            <w:pPr>
              <w:spacing w:after="120"/>
              <w:jc w:val="center"/>
              <w:rPr>
                <w:sz w:val="22"/>
                <w:szCs w:val="22"/>
              </w:rPr>
            </w:pPr>
          </w:p>
        </w:tc>
      </w:tr>
      <w:tr w:rsidR="00DF4665" w:rsidRPr="001A48D3" w:rsidTr="00B52F7D">
        <w:tc>
          <w:tcPr>
            <w:tcW w:w="862" w:type="dxa"/>
            <w:vAlign w:val="center"/>
          </w:tcPr>
          <w:p w:rsidR="00AC219E" w:rsidRPr="001A48D3" w:rsidRDefault="00AC219E" w:rsidP="00C4701A">
            <w:pPr>
              <w:spacing w:after="120"/>
              <w:jc w:val="center"/>
              <w:rPr>
                <w:b/>
                <w:sz w:val="22"/>
                <w:szCs w:val="22"/>
              </w:rPr>
            </w:pPr>
            <w:r w:rsidRPr="001A48D3">
              <w:rPr>
                <w:b/>
                <w:sz w:val="22"/>
                <w:szCs w:val="22"/>
              </w:rPr>
              <w:t>4</w:t>
            </w:r>
          </w:p>
        </w:tc>
        <w:tc>
          <w:tcPr>
            <w:tcW w:w="1609" w:type="dxa"/>
            <w:tcBorders>
              <w:right w:val="single" w:sz="4" w:space="0" w:color="auto"/>
            </w:tcBorders>
            <w:vAlign w:val="center"/>
          </w:tcPr>
          <w:p w:rsidR="00AC219E" w:rsidRPr="001A48D3" w:rsidRDefault="00852CA6" w:rsidP="00C4701A">
            <w:pPr>
              <w:spacing w:after="120"/>
              <w:jc w:val="center"/>
              <w:rPr>
                <w:sz w:val="22"/>
                <w:szCs w:val="22"/>
              </w:rPr>
            </w:pPr>
            <w:r w:rsidRPr="001A48D3">
              <w:rPr>
                <w:sz w:val="22"/>
                <w:szCs w:val="22"/>
              </w:rPr>
              <w:t>807</w:t>
            </w:r>
          </w:p>
        </w:tc>
        <w:tc>
          <w:tcPr>
            <w:tcW w:w="708" w:type="dxa"/>
            <w:tcBorders>
              <w:top w:val="nil"/>
              <w:left w:val="single" w:sz="4" w:space="0" w:color="auto"/>
              <w:bottom w:val="nil"/>
              <w:right w:val="nil"/>
            </w:tcBorders>
            <w:vAlign w:val="center"/>
          </w:tcPr>
          <w:p w:rsidR="00AC219E" w:rsidRPr="001A48D3" w:rsidRDefault="00AC219E" w:rsidP="00C4701A">
            <w:pPr>
              <w:spacing w:after="120"/>
              <w:jc w:val="center"/>
              <w:rPr>
                <w:sz w:val="22"/>
                <w:szCs w:val="22"/>
              </w:rPr>
            </w:pPr>
          </w:p>
        </w:tc>
        <w:tc>
          <w:tcPr>
            <w:tcW w:w="709" w:type="dxa"/>
            <w:tcBorders>
              <w:top w:val="nil"/>
              <w:left w:val="nil"/>
              <w:bottom w:val="nil"/>
              <w:right w:val="nil"/>
            </w:tcBorders>
            <w:vAlign w:val="center"/>
          </w:tcPr>
          <w:p w:rsidR="00AC219E" w:rsidRPr="001A48D3" w:rsidRDefault="00AC219E" w:rsidP="00C4701A">
            <w:pPr>
              <w:spacing w:after="120"/>
              <w:jc w:val="center"/>
              <w:rPr>
                <w:sz w:val="22"/>
                <w:szCs w:val="22"/>
              </w:rPr>
            </w:pPr>
          </w:p>
        </w:tc>
        <w:tc>
          <w:tcPr>
            <w:tcW w:w="709" w:type="dxa"/>
            <w:tcBorders>
              <w:top w:val="nil"/>
              <w:left w:val="nil"/>
              <w:bottom w:val="nil"/>
              <w:right w:val="nil"/>
            </w:tcBorders>
            <w:vAlign w:val="center"/>
          </w:tcPr>
          <w:p w:rsidR="00AC219E" w:rsidRPr="001A48D3" w:rsidRDefault="00AC219E" w:rsidP="00C4701A">
            <w:pPr>
              <w:spacing w:after="120"/>
              <w:jc w:val="center"/>
              <w:rPr>
                <w:sz w:val="22"/>
                <w:szCs w:val="22"/>
              </w:rPr>
            </w:pPr>
          </w:p>
        </w:tc>
        <w:tc>
          <w:tcPr>
            <w:tcW w:w="945" w:type="dxa"/>
            <w:tcBorders>
              <w:top w:val="nil"/>
              <w:left w:val="nil"/>
              <w:bottom w:val="nil"/>
              <w:right w:val="nil"/>
            </w:tcBorders>
            <w:vAlign w:val="center"/>
          </w:tcPr>
          <w:p w:rsidR="00AC219E" w:rsidRPr="001A48D3" w:rsidRDefault="00AC219E" w:rsidP="00C4701A">
            <w:pPr>
              <w:spacing w:after="120"/>
              <w:jc w:val="center"/>
              <w:rPr>
                <w:sz w:val="22"/>
                <w:szCs w:val="22"/>
              </w:rPr>
            </w:pPr>
          </w:p>
        </w:tc>
        <w:tc>
          <w:tcPr>
            <w:tcW w:w="708" w:type="dxa"/>
            <w:tcBorders>
              <w:top w:val="nil"/>
              <w:left w:val="nil"/>
              <w:bottom w:val="nil"/>
              <w:right w:val="nil"/>
            </w:tcBorders>
            <w:vAlign w:val="center"/>
          </w:tcPr>
          <w:p w:rsidR="00AC219E" w:rsidRPr="001A48D3" w:rsidRDefault="00AC219E" w:rsidP="00C4701A">
            <w:pPr>
              <w:spacing w:after="120"/>
              <w:jc w:val="center"/>
              <w:rPr>
                <w:sz w:val="22"/>
                <w:szCs w:val="22"/>
              </w:rPr>
            </w:pPr>
          </w:p>
        </w:tc>
        <w:tc>
          <w:tcPr>
            <w:tcW w:w="709" w:type="dxa"/>
            <w:tcBorders>
              <w:top w:val="nil"/>
              <w:left w:val="nil"/>
              <w:bottom w:val="nil"/>
              <w:right w:val="nil"/>
            </w:tcBorders>
            <w:vAlign w:val="center"/>
          </w:tcPr>
          <w:p w:rsidR="00AC219E" w:rsidRPr="001A48D3" w:rsidRDefault="00AC219E" w:rsidP="00C4701A">
            <w:pPr>
              <w:spacing w:after="120"/>
              <w:jc w:val="center"/>
              <w:rPr>
                <w:sz w:val="22"/>
                <w:szCs w:val="22"/>
              </w:rPr>
            </w:pPr>
          </w:p>
        </w:tc>
        <w:tc>
          <w:tcPr>
            <w:tcW w:w="946" w:type="dxa"/>
            <w:tcBorders>
              <w:top w:val="nil"/>
              <w:left w:val="nil"/>
              <w:bottom w:val="nil"/>
              <w:right w:val="nil"/>
            </w:tcBorders>
            <w:vAlign w:val="center"/>
          </w:tcPr>
          <w:p w:rsidR="00AC219E" w:rsidRPr="001A48D3" w:rsidRDefault="00AC219E" w:rsidP="00C4701A">
            <w:pPr>
              <w:spacing w:after="120"/>
              <w:jc w:val="center"/>
              <w:rPr>
                <w:sz w:val="22"/>
                <w:szCs w:val="22"/>
              </w:rPr>
            </w:pPr>
          </w:p>
        </w:tc>
        <w:tc>
          <w:tcPr>
            <w:tcW w:w="850" w:type="dxa"/>
            <w:tcBorders>
              <w:top w:val="nil"/>
              <w:left w:val="nil"/>
              <w:bottom w:val="nil"/>
              <w:right w:val="nil"/>
            </w:tcBorders>
            <w:vAlign w:val="center"/>
          </w:tcPr>
          <w:p w:rsidR="00AC219E" w:rsidRPr="001A48D3" w:rsidRDefault="00AC219E" w:rsidP="00C4701A">
            <w:pPr>
              <w:spacing w:after="120"/>
              <w:jc w:val="center"/>
              <w:rPr>
                <w:sz w:val="22"/>
                <w:szCs w:val="22"/>
              </w:rPr>
            </w:pPr>
          </w:p>
        </w:tc>
        <w:tc>
          <w:tcPr>
            <w:tcW w:w="803" w:type="dxa"/>
            <w:tcBorders>
              <w:top w:val="nil"/>
              <w:left w:val="nil"/>
              <w:bottom w:val="nil"/>
              <w:right w:val="nil"/>
            </w:tcBorders>
            <w:vAlign w:val="center"/>
          </w:tcPr>
          <w:p w:rsidR="00AC219E" w:rsidRPr="001A48D3" w:rsidRDefault="00AC219E" w:rsidP="00C4701A">
            <w:pPr>
              <w:spacing w:after="120"/>
              <w:jc w:val="center"/>
              <w:rPr>
                <w:sz w:val="22"/>
                <w:szCs w:val="22"/>
              </w:rPr>
            </w:pPr>
          </w:p>
        </w:tc>
        <w:tc>
          <w:tcPr>
            <w:tcW w:w="1323" w:type="dxa"/>
            <w:tcBorders>
              <w:top w:val="nil"/>
              <w:left w:val="nil"/>
              <w:bottom w:val="nil"/>
              <w:right w:val="nil"/>
            </w:tcBorders>
            <w:vAlign w:val="center"/>
          </w:tcPr>
          <w:p w:rsidR="00AC219E" w:rsidRPr="001A48D3" w:rsidRDefault="00AC219E" w:rsidP="00C4701A">
            <w:pPr>
              <w:spacing w:after="120"/>
              <w:jc w:val="center"/>
              <w:rPr>
                <w:sz w:val="22"/>
                <w:szCs w:val="22"/>
              </w:rPr>
            </w:pPr>
          </w:p>
        </w:tc>
        <w:tc>
          <w:tcPr>
            <w:tcW w:w="1418" w:type="dxa"/>
            <w:tcBorders>
              <w:top w:val="nil"/>
              <w:left w:val="nil"/>
              <w:bottom w:val="nil"/>
              <w:right w:val="nil"/>
            </w:tcBorders>
            <w:vAlign w:val="center"/>
          </w:tcPr>
          <w:p w:rsidR="00AC219E" w:rsidRPr="001A48D3" w:rsidRDefault="00AC219E" w:rsidP="00C4701A">
            <w:pPr>
              <w:spacing w:after="120"/>
              <w:jc w:val="center"/>
              <w:rPr>
                <w:sz w:val="22"/>
                <w:szCs w:val="22"/>
              </w:rPr>
            </w:pPr>
          </w:p>
        </w:tc>
        <w:tc>
          <w:tcPr>
            <w:tcW w:w="1276" w:type="dxa"/>
            <w:tcBorders>
              <w:top w:val="nil"/>
              <w:left w:val="nil"/>
              <w:bottom w:val="nil"/>
              <w:right w:val="nil"/>
            </w:tcBorders>
            <w:vAlign w:val="center"/>
          </w:tcPr>
          <w:p w:rsidR="00AC219E" w:rsidRPr="001A48D3" w:rsidRDefault="00AC219E" w:rsidP="00C4701A">
            <w:pPr>
              <w:spacing w:after="120"/>
              <w:jc w:val="center"/>
              <w:rPr>
                <w:sz w:val="22"/>
                <w:szCs w:val="22"/>
              </w:rPr>
            </w:pPr>
          </w:p>
        </w:tc>
        <w:tc>
          <w:tcPr>
            <w:tcW w:w="1275" w:type="dxa"/>
            <w:tcBorders>
              <w:top w:val="nil"/>
              <w:left w:val="nil"/>
              <w:bottom w:val="nil"/>
              <w:right w:val="nil"/>
            </w:tcBorders>
            <w:vAlign w:val="center"/>
          </w:tcPr>
          <w:p w:rsidR="00AC219E" w:rsidRPr="001A48D3" w:rsidRDefault="00AC219E" w:rsidP="00C4701A">
            <w:pPr>
              <w:spacing w:after="120"/>
              <w:jc w:val="center"/>
              <w:rPr>
                <w:sz w:val="22"/>
                <w:szCs w:val="22"/>
              </w:rPr>
            </w:pPr>
          </w:p>
        </w:tc>
      </w:tr>
    </w:tbl>
    <w:p w:rsidR="00E05EF4" w:rsidRPr="001A48D3" w:rsidRDefault="00E05EF4" w:rsidP="00C4701A">
      <w:pPr>
        <w:spacing w:after="120"/>
        <w:sectPr w:rsidR="00E05EF4" w:rsidRPr="001A48D3" w:rsidSect="00005ADA">
          <w:pgSz w:w="16838" w:h="11906" w:orient="landscape" w:code="9"/>
          <w:pgMar w:top="1134" w:right="1134" w:bottom="1134" w:left="1134" w:header="720" w:footer="720" w:gutter="0"/>
          <w:cols w:space="720"/>
          <w:docGrid w:linePitch="326"/>
        </w:sectPr>
      </w:pPr>
    </w:p>
    <w:p w:rsidR="00896A37" w:rsidRPr="001A48D3" w:rsidRDefault="00DF4665" w:rsidP="00C4701A">
      <w:pPr>
        <w:pStyle w:val="Heading1"/>
      </w:pPr>
      <w:bookmarkStart w:id="100" w:name="_Toc430182558"/>
      <w:r>
        <w:lastRenderedPageBreak/>
        <w:t>5</w:t>
      </w:r>
      <w:r>
        <w:tab/>
      </w:r>
      <w:r w:rsidR="007F1C5C" w:rsidRPr="001A48D3">
        <w:t>consultation</w:t>
      </w:r>
      <w:bookmarkEnd w:id="100"/>
    </w:p>
    <w:p w:rsidR="00C3445C" w:rsidRPr="001A48D3" w:rsidRDefault="00DF4665" w:rsidP="00153F3E">
      <w:pPr>
        <w:pStyle w:val="Heading2"/>
      </w:pPr>
      <w:bookmarkStart w:id="101" w:name="_Toc430182559"/>
      <w:r>
        <w:t>5.1</w:t>
      </w:r>
      <w:r>
        <w:tab/>
      </w:r>
      <w:r w:rsidR="00C3445C" w:rsidRPr="001A48D3">
        <w:t>Draft RIS Process</w:t>
      </w:r>
      <w:bookmarkEnd w:id="101"/>
    </w:p>
    <w:p w:rsidR="00D4490D" w:rsidRPr="001A48D3" w:rsidRDefault="00DE2ADE" w:rsidP="00C4701A">
      <w:pPr>
        <w:spacing w:after="120"/>
      </w:pPr>
      <w:r w:rsidRPr="001A48D3">
        <w:t>This final RIS has been prepared following consideration of the public comment on the draft RIS which was released on 8 January 2010.</w:t>
      </w:r>
      <w:r w:rsidR="00427437" w:rsidRPr="001A48D3">
        <w:t xml:space="preserve">  </w:t>
      </w:r>
      <w:r w:rsidR="00D4490D" w:rsidRPr="001A48D3">
        <w:t xml:space="preserve">The </w:t>
      </w:r>
      <w:r w:rsidR="00306CCF" w:rsidRPr="001A48D3">
        <w:t xml:space="preserve">draft RIS included </w:t>
      </w:r>
      <w:r w:rsidR="00D4490D" w:rsidRPr="001A48D3">
        <w:t xml:space="preserve"> a benefit</w:t>
      </w:r>
      <w:r w:rsidR="00673D2D" w:rsidRPr="001A48D3">
        <w:t xml:space="preserve">-cost </w:t>
      </w:r>
      <w:r w:rsidR="00D4490D" w:rsidRPr="001A48D3">
        <w:t xml:space="preserve">analysis </w:t>
      </w:r>
      <w:r w:rsidR="00673D2D" w:rsidRPr="001A48D3">
        <w:t xml:space="preserve">(BCA) </w:t>
      </w:r>
      <w:r w:rsidR="00306CCF" w:rsidRPr="001A48D3">
        <w:t xml:space="preserve">to </w:t>
      </w:r>
      <w:r w:rsidR="00D4490D" w:rsidRPr="001A48D3">
        <w:t>enable stakeholders to evaluate the assumptions and estimates of costs and benefits used to derive the net benefit calculation, and ultimately the recommended option</w:t>
      </w:r>
      <w:r w:rsidR="00C3445C" w:rsidRPr="001A48D3">
        <w:t xml:space="preserve"> in the draft</w:t>
      </w:r>
      <w:r w:rsidR="00D4490D" w:rsidRPr="001A48D3">
        <w:t xml:space="preserve">.  </w:t>
      </w:r>
      <w:r w:rsidR="00447172" w:rsidRPr="001A48D3">
        <w:t xml:space="preserve">The </w:t>
      </w:r>
      <w:r w:rsidR="00C3445C" w:rsidRPr="001A48D3">
        <w:t>draft RIS specifically sought</w:t>
      </w:r>
      <w:r w:rsidR="00D4490D" w:rsidRPr="001A48D3">
        <w:t xml:space="preserve"> comments on these assumptions and estimates</w:t>
      </w:r>
      <w:r w:rsidR="00EC459A" w:rsidRPr="001A48D3">
        <w:t xml:space="preserve">, and the provision of </w:t>
      </w:r>
      <w:r w:rsidR="00B65B32" w:rsidRPr="001A48D3">
        <w:t xml:space="preserve">any </w:t>
      </w:r>
      <w:r w:rsidR="00EC459A" w:rsidRPr="001A48D3">
        <w:t>alternative data</w:t>
      </w:r>
      <w:r w:rsidR="00D4490D" w:rsidRPr="001A48D3">
        <w:t>.</w:t>
      </w:r>
      <w:r w:rsidR="005969E9" w:rsidRPr="001A48D3">
        <w:t xml:space="preserve">  </w:t>
      </w:r>
    </w:p>
    <w:p w:rsidR="00673D2D" w:rsidRPr="001A48D3" w:rsidRDefault="00DE2ADE" w:rsidP="00C4701A">
      <w:pPr>
        <w:spacing w:after="120"/>
      </w:pPr>
      <w:r w:rsidRPr="001A48D3">
        <w:t xml:space="preserve">While the impact of changes to fuel quality (particularly </w:t>
      </w:r>
      <w:proofErr w:type="spellStart"/>
      <w:r w:rsidRPr="001A48D3">
        <w:t>sulfur</w:t>
      </w:r>
      <w:proofErr w:type="spellEnd"/>
      <w:r w:rsidRPr="001A48D3">
        <w:t xml:space="preserve"> levels in petrol)</w:t>
      </w:r>
      <w:r w:rsidR="00667E1F" w:rsidRPr="001A48D3">
        <w:t xml:space="preserve"> </w:t>
      </w:r>
      <w:r w:rsidRPr="001A48D3">
        <w:t xml:space="preserve">was not assessed in the BCA, the Government also sought the provision of any data which might improve the understanding of this issue and assist any further analysis that may be conducted under the auspices of the </w:t>
      </w:r>
      <w:r w:rsidRPr="001A48D3">
        <w:rPr>
          <w:i/>
        </w:rPr>
        <w:t xml:space="preserve">Fuel Quality Standards Act 2000.  </w:t>
      </w:r>
      <w:r w:rsidR="00522F08" w:rsidRPr="001A48D3">
        <w:t>Th</w:t>
      </w:r>
      <w:r w:rsidR="00D022D2" w:rsidRPr="001A48D3">
        <w:t>e</w:t>
      </w:r>
      <w:r w:rsidR="00522F08" w:rsidRPr="001A48D3">
        <w:t xml:space="preserve"> draft RIS </w:t>
      </w:r>
      <w:r w:rsidR="00C3445C" w:rsidRPr="001A48D3">
        <w:t xml:space="preserve">noted that advice on fuel quality issues </w:t>
      </w:r>
      <w:r w:rsidR="00522F08" w:rsidRPr="001A48D3">
        <w:t xml:space="preserve">will be provided to the Fuel Standards Consultative Committee which has been established under the </w:t>
      </w:r>
      <w:r w:rsidR="00DC0439" w:rsidRPr="001A48D3">
        <w:t xml:space="preserve">FQS </w:t>
      </w:r>
      <w:r w:rsidR="00522F08" w:rsidRPr="001A48D3">
        <w:t>Act to provide advice to the Minister for the Environment, Heritage and the Arts.</w:t>
      </w:r>
      <w:r w:rsidR="00531DD1" w:rsidRPr="001A48D3">
        <w:t xml:space="preserve">  The responses to this issue are discussed in </w:t>
      </w:r>
      <w:r w:rsidR="00CE0A88" w:rsidRPr="001A48D3">
        <w:t>Section</w:t>
      </w:r>
      <w:r w:rsidR="00531DD1" w:rsidRPr="001A48D3">
        <w:t xml:space="preserve"> 5.2 below and in </w:t>
      </w:r>
      <w:r w:rsidR="00CE0A88" w:rsidRPr="001A48D3">
        <w:t>Section</w:t>
      </w:r>
      <w:r w:rsidR="00531DD1" w:rsidRPr="001A48D3">
        <w:t xml:space="preserve"> 1.5.4.</w:t>
      </w:r>
    </w:p>
    <w:p w:rsidR="00D4490D" w:rsidRPr="001A48D3" w:rsidRDefault="00CF3448" w:rsidP="00C4701A">
      <w:pPr>
        <w:spacing w:after="120"/>
      </w:pPr>
      <w:r w:rsidRPr="001A48D3">
        <w:t xml:space="preserve">Notification </w:t>
      </w:r>
      <w:r w:rsidR="00522F08" w:rsidRPr="001A48D3">
        <w:t xml:space="preserve">of this draft proposal </w:t>
      </w:r>
      <w:r w:rsidR="00C3445C" w:rsidRPr="001A48D3">
        <w:t xml:space="preserve">was </w:t>
      </w:r>
      <w:r w:rsidRPr="001A48D3">
        <w:t xml:space="preserve">also sent </w:t>
      </w:r>
      <w:r w:rsidR="00447172" w:rsidRPr="001A48D3">
        <w:t xml:space="preserve">to the World Trade Organisation, </w:t>
      </w:r>
      <w:r w:rsidR="00522F08" w:rsidRPr="001A48D3">
        <w:t xml:space="preserve">consistent </w:t>
      </w:r>
      <w:r w:rsidR="00447172" w:rsidRPr="001A48D3">
        <w:t xml:space="preserve">with </w:t>
      </w:r>
      <w:r w:rsidRPr="001A48D3">
        <w:t>Australia’s obligations under the Technical Barriers to Trade agreement.</w:t>
      </w:r>
    </w:p>
    <w:p w:rsidR="008C7C40" w:rsidRPr="001A48D3" w:rsidRDefault="00DF4665" w:rsidP="00153F3E">
      <w:pPr>
        <w:pStyle w:val="Heading2"/>
      </w:pPr>
      <w:bookmarkStart w:id="102" w:name="_Toc430182560"/>
      <w:r>
        <w:t>5.2</w:t>
      </w:r>
      <w:r>
        <w:tab/>
      </w:r>
      <w:r w:rsidR="008C7C40" w:rsidRPr="001A48D3">
        <w:t>Public Comment</w:t>
      </w:r>
      <w:bookmarkEnd w:id="102"/>
    </w:p>
    <w:p w:rsidR="003A6B8E" w:rsidRPr="001A48D3" w:rsidRDefault="00DF4665" w:rsidP="00153F3E">
      <w:pPr>
        <w:pStyle w:val="Heading2"/>
      </w:pPr>
      <w:bookmarkStart w:id="103" w:name="_Toc430182561"/>
      <w:r>
        <w:t>5.2.1</w:t>
      </w:r>
      <w:r>
        <w:tab/>
      </w:r>
      <w:r w:rsidR="003A6B8E" w:rsidRPr="001A48D3">
        <w:t>Summary</w:t>
      </w:r>
      <w:bookmarkEnd w:id="103"/>
    </w:p>
    <w:p w:rsidR="006926D6" w:rsidRPr="001A48D3" w:rsidRDefault="006926D6" w:rsidP="00C4701A">
      <w:pPr>
        <w:spacing w:after="120"/>
      </w:pPr>
      <w:r w:rsidRPr="001A48D3">
        <w:t>There were 2</w:t>
      </w:r>
      <w:r w:rsidR="00A76039" w:rsidRPr="001A48D3">
        <w:t>7</w:t>
      </w:r>
      <w:r w:rsidR="00A544B6" w:rsidRPr="001A48D3">
        <w:t xml:space="preserve"> </w:t>
      </w:r>
      <w:r w:rsidRPr="001A48D3">
        <w:t xml:space="preserve">submissions received on the draft RIS.  Three </w:t>
      </w:r>
      <w:r w:rsidR="00A76039" w:rsidRPr="001A48D3">
        <w:t>companies</w:t>
      </w:r>
      <w:r w:rsidRPr="001A48D3">
        <w:t xml:space="preserve"> (Ford, Holden and Toyota) marked their submissions as confidential</w:t>
      </w:r>
      <w:r w:rsidR="00A76039" w:rsidRPr="001A48D3">
        <w:t>, and two submissions (Nissan, Skoda) took the form of letters to the Minister for Infrastructure, Transport, Regional Development and Local Government (also not made public)</w:t>
      </w:r>
      <w:r w:rsidRPr="001A48D3">
        <w:t>.</w:t>
      </w:r>
    </w:p>
    <w:p w:rsidR="006926D6" w:rsidRPr="001A48D3" w:rsidRDefault="006926D6" w:rsidP="00C4701A">
      <w:pPr>
        <w:spacing w:after="120"/>
      </w:pPr>
      <w:r w:rsidRPr="001A48D3">
        <w:t>The submissions can be categorised into the following broad groupings:</w:t>
      </w:r>
    </w:p>
    <w:p w:rsidR="006926D6" w:rsidRPr="001A48D3" w:rsidRDefault="006926D6" w:rsidP="00C4701A">
      <w:pPr>
        <w:numPr>
          <w:ilvl w:val="0"/>
          <w:numId w:val="31"/>
        </w:numPr>
        <w:spacing w:after="120"/>
      </w:pPr>
      <w:r w:rsidRPr="001A48D3">
        <w:t>Vehicle/component  manufacturers (FCAI, Ford, Holden, Toyota, VW, Skoda, Nissan, Ferrari, Bosch)</w:t>
      </w:r>
    </w:p>
    <w:p w:rsidR="006926D6" w:rsidRPr="001A48D3" w:rsidRDefault="006926D6" w:rsidP="00C4701A">
      <w:pPr>
        <w:numPr>
          <w:ilvl w:val="0"/>
          <w:numId w:val="31"/>
        </w:numPr>
        <w:spacing w:after="120"/>
      </w:pPr>
      <w:r w:rsidRPr="001A48D3">
        <w:t>Industry groups with vehicle or vehicle component focus (</w:t>
      </w:r>
      <w:r w:rsidR="00A544B6" w:rsidRPr="001A48D3">
        <w:t>Australian</w:t>
      </w:r>
      <w:r w:rsidRPr="001A48D3">
        <w:t xml:space="preserve"> </w:t>
      </w:r>
      <w:r w:rsidR="00A544B6" w:rsidRPr="001A48D3">
        <w:t>Automotive</w:t>
      </w:r>
      <w:r w:rsidRPr="001A48D3">
        <w:t xml:space="preserve"> Aftermarket Association [AAAA], Motor Trades </w:t>
      </w:r>
      <w:r w:rsidR="00A544B6" w:rsidRPr="001A48D3">
        <w:t>Association</w:t>
      </w:r>
      <w:r w:rsidRPr="001A48D3">
        <w:t xml:space="preserve"> of Australia [MTAA])</w:t>
      </w:r>
    </w:p>
    <w:p w:rsidR="006926D6" w:rsidRPr="001A48D3" w:rsidRDefault="006926D6" w:rsidP="00C4701A">
      <w:pPr>
        <w:numPr>
          <w:ilvl w:val="0"/>
          <w:numId w:val="31"/>
        </w:numPr>
        <w:spacing w:after="120"/>
      </w:pPr>
      <w:r w:rsidRPr="001A48D3">
        <w:t>Fleet managers (Australasia</w:t>
      </w:r>
      <w:r w:rsidR="009E596E" w:rsidRPr="001A48D3">
        <w:t>n Fleet Managers Association [AF</w:t>
      </w:r>
      <w:r w:rsidRPr="001A48D3">
        <w:t>MA])</w:t>
      </w:r>
    </w:p>
    <w:p w:rsidR="006926D6" w:rsidRPr="001A48D3" w:rsidRDefault="006926D6" w:rsidP="00C4701A">
      <w:pPr>
        <w:numPr>
          <w:ilvl w:val="0"/>
          <w:numId w:val="31"/>
        </w:numPr>
        <w:spacing w:after="120"/>
      </w:pPr>
      <w:r w:rsidRPr="001A48D3">
        <w:t>Fuel producer/supplier groups (AIP, LPG Australia)</w:t>
      </w:r>
    </w:p>
    <w:p w:rsidR="006926D6" w:rsidRPr="001A48D3" w:rsidRDefault="006926D6" w:rsidP="00C4701A">
      <w:pPr>
        <w:numPr>
          <w:ilvl w:val="0"/>
          <w:numId w:val="31"/>
        </w:numPr>
        <w:spacing w:after="120"/>
      </w:pPr>
      <w:r w:rsidRPr="001A48D3">
        <w:t>Motoring Associations (Australian Automobile Association (AAA), NRMA)</w:t>
      </w:r>
    </w:p>
    <w:p w:rsidR="006926D6" w:rsidRPr="001A48D3" w:rsidRDefault="006926D6" w:rsidP="00C4701A">
      <w:pPr>
        <w:numPr>
          <w:ilvl w:val="0"/>
          <w:numId w:val="31"/>
        </w:numPr>
        <w:spacing w:after="120"/>
      </w:pPr>
      <w:r w:rsidRPr="001A48D3">
        <w:t>State Governments (</w:t>
      </w:r>
      <w:r w:rsidR="00BE23E2" w:rsidRPr="001A48D3">
        <w:t xml:space="preserve">Transport agencies in NSW, Qld &amp; WA; Environment agencies in </w:t>
      </w:r>
      <w:r w:rsidRPr="001A48D3">
        <w:t>NSW</w:t>
      </w:r>
      <w:r w:rsidR="00BE23E2" w:rsidRPr="001A48D3">
        <w:t>,</w:t>
      </w:r>
      <w:r w:rsidRPr="001A48D3">
        <w:t xml:space="preserve"> </w:t>
      </w:r>
      <w:r w:rsidR="00A544B6" w:rsidRPr="001A48D3">
        <w:t xml:space="preserve">Vic, </w:t>
      </w:r>
      <w:r w:rsidRPr="001A48D3">
        <w:t>SA</w:t>
      </w:r>
      <w:r w:rsidR="00BE23E2" w:rsidRPr="001A48D3">
        <w:t>,</w:t>
      </w:r>
      <w:r w:rsidRPr="001A48D3">
        <w:t xml:space="preserve"> WA</w:t>
      </w:r>
      <w:r w:rsidR="00BE23E2" w:rsidRPr="001A48D3">
        <w:t xml:space="preserve"> and </w:t>
      </w:r>
      <w:proofErr w:type="spellStart"/>
      <w:r w:rsidRPr="001A48D3">
        <w:t>Tas</w:t>
      </w:r>
      <w:proofErr w:type="spellEnd"/>
      <w:r w:rsidRPr="001A48D3">
        <w:t>)</w:t>
      </w:r>
    </w:p>
    <w:p w:rsidR="006926D6" w:rsidRPr="001A48D3" w:rsidRDefault="006926D6" w:rsidP="00C4701A">
      <w:pPr>
        <w:numPr>
          <w:ilvl w:val="0"/>
          <w:numId w:val="31"/>
        </w:numPr>
        <w:spacing w:after="120"/>
      </w:pPr>
      <w:r w:rsidRPr="001A48D3">
        <w:lastRenderedPageBreak/>
        <w:t xml:space="preserve">NGOs (Environment Victoria, Allergy </w:t>
      </w:r>
      <w:r w:rsidR="00BE23E2" w:rsidRPr="001A48D3">
        <w:t xml:space="preserve">and Environmental Sensitivity Support and Research </w:t>
      </w:r>
      <w:r w:rsidRPr="001A48D3">
        <w:t>Association)</w:t>
      </w:r>
    </w:p>
    <w:p w:rsidR="006926D6" w:rsidRPr="001A48D3" w:rsidRDefault="006926D6" w:rsidP="00C4701A">
      <w:pPr>
        <w:numPr>
          <w:ilvl w:val="0"/>
          <w:numId w:val="31"/>
        </w:numPr>
        <w:spacing w:after="120"/>
      </w:pPr>
      <w:r w:rsidRPr="001A48D3">
        <w:t>Consulting firm (PAE Holmes)</w:t>
      </w:r>
    </w:p>
    <w:p w:rsidR="006926D6" w:rsidRPr="001A48D3" w:rsidRDefault="006926D6" w:rsidP="00C4701A">
      <w:pPr>
        <w:numPr>
          <w:ilvl w:val="0"/>
          <w:numId w:val="31"/>
        </w:numPr>
        <w:spacing w:after="120"/>
      </w:pPr>
      <w:r w:rsidRPr="001A48D3">
        <w:t xml:space="preserve">Individuals (2) </w:t>
      </w:r>
    </w:p>
    <w:p w:rsidR="006926D6" w:rsidRPr="001A48D3" w:rsidRDefault="006926D6" w:rsidP="00C4701A">
      <w:pPr>
        <w:spacing w:after="120"/>
      </w:pPr>
      <w:r w:rsidRPr="001A48D3">
        <w:t>The responses to the recommendations in the draft RIS were mixed.</w:t>
      </w:r>
    </w:p>
    <w:p w:rsidR="006926D6" w:rsidRPr="001A48D3" w:rsidRDefault="006926D6" w:rsidP="00C4701A">
      <w:pPr>
        <w:spacing w:after="120"/>
      </w:pPr>
      <w:r w:rsidRPr="001A48D3">
        <w:t xml:space="preserve">All the state governments that responded supported the recommendations in the RIS.  The NSW </w:t>
      </w:r>
      <w:r w:rsidR="003A6B8E" w:rsidRPr="001A48D3">
        <w:t xml:space="preserve">government </w:t>
      </w:r>
      <w:r w:rsidRPr="001A48D3">
        <w:t xml:space="preserve">submission </w:t>
      </w:r>
      <w:r w:rsidR="003A6B8E" w:rsidRPr="001A48D3">
        <w:t xml:space="preserve">(a joint environment and transport agency submission) </w:t>
      </w:r>
      <w:r w:rsidR="00521EA3" w:rsidRPr="001A48D3">
        <w:t>provided</w:t>
      </w:r>
      <w:r w:rsidRPr="001A48D3">
        <w:t xml:space="preserve"> detailed</w:t>
      </w:r>
      <w:r w:rsidR="00521EA3" w:rsidRPr="001A48D3">
        <w:t xml:space="preserve"> comments and some analysis</w:t>
      </w:r>
      <w:r w:rsidRPr="001A48D3">
        <w:t xml:space="preserve">, </w:t>
      </w:r>
      <w:r w:rsidR="00521EA3" w:rsidRPr="001A48D3">
        <w:t xml:space="preserve">while </w:t>
      </w:r>
      <w:r w:rsidRPr="001A48D3">
        <w:t>the others were relatively short statements of support.</w:t>
      </w:r>
    </w:p>
    <w:p w:rsidR="006926D6" w:rsidRPr="001A48D3" w:rsidRDefault="006926D6" w:rsidP="00C4701A">
      <w:pPr>
        <w:spacing w:after="120"/>
      </w:pPr>
      <w:r w:rsidRPr="001A48D3">
        <w:t xml:space="preserve">The NRMA, LPG Australia, AFMA, Ferrari, Skoda, Bosch, the NGOs and the individuals supported the recommendations in the RIS – some </w:t>
      </w:r>
      <w:r w:rsidR="003A6B8E" w:rsidRPr="001A48D3">
        <w:t>proposing</w:t>
      </w:r>
      <w:r w:rsidRPr="001A48D3">
        <w:t xml:space="preserve"> a</w:t>
      </w:r>
      <w:r w:rsidR="00667E1F" w:rsidRPr="001A48D3">
        <w:t>n</w:t>
      </w:r>
      <w:r w:rsidRPr="001A48D3">
        <w:t xml:space="preserve"> </w:t>
      </w:r>
      <w:r w:rsidR="00C54A75" w:rsidRPr="001A48D3">
        <w:t>earlier</w:t>
      </w:r>
      <w:r w:rsidRPr="001A48D3">
        <w:t xml:space="preserve"> timeline</w:t>
      </w:r>
      <w:r w:rsidR="00C54A75" w:rsidRPr="001A48D3">
        <w:t xml:space="preserve"> than that </w:t>
      </w:r>
      <w:r w:rsidR="00521EA3" w:rsidRPr="001A48D3">
        <w:t xml:space="preserve">proposed </w:t>
      </w:r>
      <w:r w:rsidR="00C54A75" w:rsidRPr="001A48D3">
        <w:t>in the recommended option</w:t>
      </w:r>
      <w:r w:rsidRPr="001A48D3">
        <w:t xml:space="preserve">.  Some of these submissions </w:t>
      </w:r>
      <w:r w:rsidR="00C54A75" w:rsidRPr="001A48D3">
        <w:t>also</w:t>
      </w:r>
      <w:r w:rsidRPr="001A48D3">
        <w:t xml:space="preserve"> suggest</w:t>
      </w:r>
      <w:r w:rsidR="00C54A75" w:rsidRPr="001A48D3">
        <w:t>ed</w:t>
      </w:r>
      <w:r w:rsidRPr="001A48D3">
        <w:t xml:space="preserve"> the issue of fuel quality needs further consideration</w:t>
      </w:r>
      <w:r w:rsidR="00C54A75" w:rsidRPr="001A48D3">
        <w:t>.</w:t>
      </w:r>
    </w:p>
    <w:p w:rsidR="00C54A75" w:rsidRPr="001A48D3" w:rsidRDefault="00C54A75" w:rsidP="00C4701A">
      <w:pPr>
        <w:spacing w:after="120"/>
      </w:pPr>
      <w:r w:rsidRPr="001A48D3">
        <w:t xml:space="preserve">VW Australia was broadly supportive of the move to adopt the later standards, but raised concerns about fuel </w:t>
      </w:r>
      <w:proofErr w:type="spellStart"/>
      <w:r w:rsidRPr="001A48D3">
        <w:t>sulfur</w:t>
      </w:r>
      <w:proofErr w:type="spellEnd"/>
      <w:r w:rsidRPr="001A48D3">
        <w:t xml:space="preserve"> levels and some issues of detail.</w:t>
      </w:r>
    </w:p>
    <w:p w:rsidR="00BE23E2" w:rsidRPr="001A48D3" w:rsidRDefault="006926D6" w:rsidP="00C4701A">
      <w:pPr>
        <w:spacing w:after="120"/>
      </w:pPr>
      <w:r w:rsidRPr="001A48D3">
        <w:t xml:space="preserve">The remaining </w:t>
      </w:r>
      <w:r w:rsidR="00F11818" w:rsidRPr="001A48D3">
        <w:t xml:space="preserve">four </w:t>
      </w:r>
      <w:r w:rsidRPr="001A48D3">
        <w:t xml:space="preserve">vehicle manufacturers </w:t>
      </w:r>
      <w:r w:rsidR="00F11818" w:rsidRPr="001A48D3">
        <w:t xml:space="preserve">who </w:t>
      </w:r>
      <w:r w:rsidRPr="001A48D3">
        <w:t>ma</w:t>
      </w:r>
      <w:r w:rsidR="00F11818" w:rsidRPr="001A48D3">
        <w:t>de</w:t>
      </w:r>
      <w:r w:rsidRPr="001A48D3">
        <w:t xml:space="preserve"> individual submissions </w:t>
      </w:r>
      <w:r w:rsidR="00C54A75" w:rsidRPr="001A48D3">
        <w:t xml:space="preserve">(Ford, Holden, Toyota, Nissan) </w:t>
      </w:r>
      <w:r w:rsidRPr="001A48D3">
        <w:t>expressed a range of concerns</w:t>
      </w:r>
      <w:r w:rsidR="00BE23E2" w:rsidRPr="001A48D3">
        <w:t>, principally:</w:t>
      </w:r>
    </w:p>
    <w:p w:rsidR="00BE23E2" w:rsidRPr="001A48D3" w:rsidRDefault="00A76039" w:rsidP="00C4701A">
      <w:pPr>
        <w:numPr>
          <w:ilvl w:val="0"/>
          <w:numId w:val="32"/>
        </w:numPr>
        <w:spacing w:after="120"/>
      </w:pPr>
      <w:r w:rsidRPr="001A48D3">
        <w:t xml:space="preserve">the </w:t>
      </w:r>
      <w:r w:rsidR="00C54A75" w:rsidRPr="001A48D3">
        <w:t>t</w:t>
      </w:r>
      <w:r w:rsidR="00BE23E2" w:rsidRPr="001A48D3">
        <w:t xml:space="preserve">imeframe for compliance </w:t>
      </w:r>
      <w:r w:rsidR="00F51D25" w:rsidRPr="001A48D3">
        <w:t>is</w:t>
      </w:r>
      <w:r w:rsidR="00BE23E2" w:rsidRPr="001A48D3">
        <w:t xml:space="preserve"> too early</w:t>
      </w:r>
      <w:r w:rsidR="00F11818" w:rsidRPr="001A48D3">
        <w:t>,</w:t>
      </w:r>
      <w:r w:rsidR="00BE23E2" w:rsidRPr="001A48D3">
        <w:t xml:space="preserve"> </w:t>
      </w:r>
      <w:r w:rsidR="00F11818" w:rsidRPr="001A48D3">
        <w:t xml:space="preserve">and </w:t>
      </w:r>
      <w:r w:rsidR="00BE23E2" w:rsidRPr="001A48D3">
        <w:t>underestim</w:t>
      </w:r>
      <w:r w:rsidR="00F11818" w:rsidRPr="001A48D3">
        <w:t xml:space="preserve">ates </w:t>
      </w:r>
      <w:r w:rsidR="00BE23E2" w:rsidRPr="001A48D3">
        <w:t>the design and engineering implications for compliance with Euro 5</w:t>
      </w:r>
      <w:r w:rsidR="0051746D" w:rsidRPr="001A48D3">
        <w:t>/6</w:t>
      </w:r>
      <w:r w:rsidR="00BE23E2" w:rsidRPr="001A48D3">
        <w:t xml:space="preserve"> - particularly for the domestic manufacturing industry and for importers from the Asian region;</w:t>
      </w:r>
    </w:p>
    <w:p w:rsidR="00F11818" w:rsidRPr="001A48D3" w:rsidRDefault="00A76039" w:rsidP="00C4701A">
      <w:pPr>
        <w:numPr>
          <w:ilvl w:val="0"/>
          <w:numId w:val="32"/>
        </w:numPr>
        <w:spacing w:after="120"/>
        <w:rPr>
          <w:rFonts w:cs="Arial"/>
          <w:szCs w:val="24"/>
        </w:rPr>
      </w:pPr>
      <w:r w:rsidRPr="001A48D3">
        <w:t xml:space="preserve">the </w:t>
      </w:r>
      <w:r w:rsidR="00F11818" w:rsidRPr="001A48D3">
        <w:t xml:space="preserve">EC costs estimates </w:t>
      </w:r>
      <w:r w:rsidR="00F51D25" w:rsidRPr="001A48D3">
        <w:t xml:space="preserve">are </w:t>
      </w:r>
      <w:r w:rsidR="00CD7F5E" w:rsidRPr="001A48D3">
        <w:t>not relevant in</w:t>
      </w:r>
      <w:r w:rsidR="00F11818" w:rsidRPr="001A48D3">
        <w:t xml:space="preserve"> the Australian context;</w:t>
      </w:r>
    </w:p>
    <w:p w:rsidR="00CD7F5E" w:rsidRPr="001A48D3" w:rsidRDefault="00A76039" w:rsidP="00C4701A">
      <w:pPr>
        <w:numPr>
          <w:ilvl w:val="0"/>
          <w:numId w:val="32"/>
        </w:numPr>
        <w:spacing w:after="120"/>
      </w:pPr>
      <w:r w:rsidRPr="001A48D3">
        <w:t xml:space="preserve">the </w:t>
      </w:r>
      <w:r w:rsidR="00C54A75" w:rsidRPr="001A48D3">
        <w:t>f</w:t>
      </w:r>
      <w:r w:rsidR="00F51D25" w:rsidRPr="001A48D3">
        <w:t>uel</w:t>
      </w:r>
      <w:r w:rsidR="00CD7F5E" w:rsidRPr="001A48D3">
        <w:t xml:space="preserve"> </w:t>
      </w:r>
      <w:r w:rsidRPr="001A48D3">
        <w:t xml:space="preserve">(petrol) </w:t>
      </w:r>
      <w:r w:rsidR="00CD7F5E" w:rsidRPr="001A48D3">
        <w:t xml:space="preserve">quality </w:t>
      </w:r>
      <w:r w:rsidR="00F51D25" w:rsidRPr="001A48D3">
        <w:t xml:space="preserve">in Australia </w:t>
      </w:r>
      <w:r w:rsidR="00CD7F5E" w:rsidRPr="001A48D3">
        <w:t>is inadequate</w:t>
      </w:r>
      <w:r w:rsidR="00C54A75" w:rsidRPr="001A48D3">
        <w:t>;</w:t>
      </w:r>
    </w:p>
    <w:p w:rsidR="00BE23E2" w:rsidRPr="001A48D3" w:rsidRDefault="00A76039" w:rsidP="00C4701A">
      <w:pPr>
        <w:numPr>
          <w:ilvl w:val="0"/>
          <w:numId w:val="32"/>
        </w:numPr>
        <w:spacing w:after="120"/>
      </w:pPr>
      <w:r w:rsidRPr="001A48D3">
        <w:t xml:space="preserve">the </w:t>
      </w:r>
      <w:r w:rsidR="00F51D25" w:rsidRPr="001A48D3">
        <w:t xml:space="preserve">Euro 5/6 RIS should be linked </w:t>
      </w:r>
      <w:r w:rsidR="00BE23E2" w:rsidRPr="001A48D3">
        <w:t>to CO</w:t>
      </w:r>
      <w:r w:rsidR="00BE23E2" w:rsidRPr="001A48D3">
        <w:rPr>
          <w:vertAlign w:val="subscript"/>
        </w:rPr>
        <w:t>2</w:t>
      </w:r>
      <w:r w:rsidR="00BE23E2" w:rsidRPr="001A48D3">
        <w:t xml:space="preserve"> emissions RIS process;</w:t>
      </w:r>
      <w:r w:rsidR="00F51D25" w:rsidRPr="001A48D3">
        <w:t xml:space="preserve"> and</w:t>
      </w:r>
    </w:p>
    <w:p w:rsidR="00F11818" w:rsidRPr="001A48D3" w:rsidRDefault="00A76039" w:rsidP="00C4701A">
      <w:pPr>
        <w:numPr>
          <w:ilvl w:val="0"/>
          <w:numId w:val="32"/>
        </w:numPr>
        <w:spacing w:after="120"/>
      </w:pPr>
      <w:r w:rsidRPr="001A48D3">
        <w:t xml:space="preserve">some </w:t>
      </w:r>
      <w:r w:rsidR="00C54A75" w:rsidRPr="001A48D3">
        <w:t>u</w:t>
      </w:r>
      <w:r w:rsidR="00F11818" w:rsidRPr="001A48D3">
        <w:t>nderlying assumptions in the emissions projections</w:t>
      </w:r>
      <w:r w:rsidR="00F51D25" w:rsidRPr="001A48D3">
        <w:t xml:space="preserve"> are questionable</w:t>
      </w:r>
      <w:r w:rsidR="00F11818" w:rsidRPr="001A48D3">
        <w:t>.</w:t>
      </w:r>
    </w:p>
    <w:p w:rsidR="006926D6" w:rsidRPr="001A48D3" w:rsidRDefault="006926D6" w:rsidP="00C4701A">
      <w:pPr>
        <w:spacing w:after="120"/>
      </w:pPr>
      <w:r w:rsidRPr="001A48D3">
        <w:t>The FCAI submission mirror</w:t>
      </w:r>
      <w:r w:rsidR="00F11818" w:rsidRPr="001A48D3">
        <w:t>ed</w:t>
      </w:r>
      <w:r w:rsidRPr="001A48D3">
        <w:t xml:space="preserve"> many of the criticisms of the local manufacturers</w:t>
      </w:r>
      <w:r w:rsidR="00F11818" w:rsidRPr="001A48D3">
        <w:t xml:space="preserve">, </w:t>
      </w:r>
      <w:r w:rsidR="00521EA3" w:rsidRPr="001A48D3">
        <w:t>and</w:t>
      </w:r>
      <w:r w:rsidR="00F11818" w:rsidRPr="001A48D3">
        <w:t xml:space="preserve"> also argued that price impact of possible changes to fuel </w:t>
      </w:r>
      <w:r w:rsidR="008A4304" w:rsidRPr="001A48D3">
        <w:t xml:space="preserve">quality </w:t>
      </w:r>
      <w:r w:rsidR="00F11818" w:rsidRPr="001A48D3">
        <w:t>standards</w:t>
      </w:r>
      <w:r w:rsidR="008A4304" w:rsidRPr="001A48D3">
        <w:t xml:space="preserve"> should also be factored into the BCA for this RIS</w:t>
      </w:r>
      <w:r w:rsidR="007F09AF" w:rsidRPr="001A48D3">
        <w:t>.</w:t>
      </w:r>
    </w:p>
    <w:p w:rsidR="006926D6" w:rsidRPr="001A48D3" w:rsidRDefault="006926D6" w:rsidP="00C4701A">
      <w:pPr>
        <w:spacing w:after="120"/>
      </w:pPr>
      <w:r w:rsidRPr="001A48D3">
        <w:t>The MTAA considered the lead times were too short for local manufacturers and the local servicing industry, and also raised questions about fuel quality issues.</w:t>
      </w:r>
    </w:p>
    <w:p w:rsidR="006926D6" w:rsidRPr="001A48D3" w:rsidRDefault="006926D6" w:rsidP="00C4701A">
      <w:pPr>
        <w:spacing w:after="120"/>
      </w:pPr>
      <w:r w:rsidRPr="001A48D3">
        <w:t xml:space="preserve">The AAA gave qualified support for the recommendations, but wanted further assessment of costs for motorists and consideration of petrol </w:t>
      </w:r>
      <w:proofErr w:type="spellStart"/>
      <w:r w:rsidRPr="001A48D3">
        <w:t>sulfur</w:t>
      </w:r>
      <w:proofErr w:type="spellEnd"/>
      <w:r w:rsidRPr="001A48D3">
        <w:t xml:space="preserve"> levels and integration with the CO</w:t>
      </w:r>
      <w:r w:rsidRPr="001A48D3">
        <w:rPr>
          <w:vertAlign w:val="subscript"/>
        </w:rPr>
        <w:t>2</w:t>
      </w:r>
      <w:r w:rsidRPr="001A48D3">
        <w:t xml:space="preserve"> RIS process.</w:t>
      </w:r>
    </w:p>
    <w:p w:rsidR="003A6B8E" w:rsidRPr="001A48D3" w:rsidRDefault="006926D6" w:rsidP="00C4701A">
      <w:pPr>
        <w:spacing w:after="120"/>
      </w:pPr>
      <w:r w:rsidRPr="001A48D3">
        <w:t>The AIP focuss</w:t>
      </w:r>
      <w:r w:rsidR="008A4304" w:rsidRPr="001A48D3">
        <w:t xml:space="preserve">ed on </w:t>
      </w:r>
      <w:r w:rsidRPr="001A48D3">
        <w:t xml:space="preserve">the fuel quality issues, specifically the question of </w:t>
      </w:r>
      <w:proofErr w:type="spellStart"/>
      <w:r w:rsidRPr="001A48D3">
        <w:t>sulfur</w:t>
      </w:r>
      <w:proofErr w:type="spellEnd"/>
      <w:r w:rsidRPr="001A48D3">
        <w:t xml:space="preserve"> levels in petrol.  The submission argued that no changes to current fuel standards were warranted to support compliance with Euro 5/6, and that a full benefit-cost analysis would be required if changes to fuel standards were to be contemplated.</w:t>
      </w:r>
    </w:p>
    <w:p w:rsidR="00644A6C" w:rsidRPr="001A48D3" w:rsidRDefault="00644A6C" w:rsidP="00C4701A">
      <w:pPr>
        <w:spacing w:after="120"/>
      </w:pPr>
      <w:r w:rsidRPr="001A48D3">
        <w:t>The AAAA focussed on issues around access for 3</w:t>
      </w:r>
      <w:r w:rsidRPr="001A48D3">
        <w:rPr>
          <w:vertAlign w:val="superscript"/>
        </w:rPr>
        <w:t>rd</w:t>
      </w:r>
      <w:r w:rsidRPr="001A48D3">
        <w:t xml:space="preserve"> party servicing to elect</w:t>
      </w:r>
      <w:r w:rsidR="007F09AF" w:rsidRPr="001A48D3">
        <w:t>ronic emission control systems and</w:t>
      </w:r>
      <w:r w:rsidRPr="001A48D3">
        <w:t xml:space="preserve"> diagnostics, raising concerns that the adoption of the Euro 5 standards would limit access.  </w:t>
      </w:r>
    </w:p>
    <w:p w:rsidR="003A6B8E" w:rsidRPr="001A48D3" w:rsidRDefault="00DF4665" w:rsidP="00153F3E">
      <w:pPr>
        <w:pStyle w:val="Heading2"/>
      </w:pPr>
      <w:bookmarkStart w:id="104" w:name="_Toc430182562"/>
      <w:r>
        <w:lastRenderedPageBreak/>
        <w:t>5.2.2</w:t>
      </w:r>
      <w:r>
        <w:tab/>
      </w:r>
      <w:r w:rsidR="003A6B8E" w:rsidRPr="001A48D3">
        <w:t>Discussion</w:t>
      </w:r>
      <w:bookmarkEnd w:id="104"/>
    </w:p>
    <w:p w:rsidR="003A6B8E" w:rsidRPr="001A48D3" w:rsidRDefault="003A6B8E" w:rsidP="00C4701A">
      <w:pPr>
        <w:spacing w:after="120"/>
      </w:pPr>
      <w:r w:rsidRPr="001A48D3">
        <w:t>The key comments from the public submissions have been incorporated in the relevant parts of this RIS, to enable those comments to be read in context.  In addition, a response to the key concerns/</w:t>
      </w:r>
      <w:r w:rsidR="00644A6C" w:rsidRPr="001A48D3">
        <w:t>criticism</w:t>
      </w:r>
      <w:r w:rsidRPr="001A48D3">
        <w:t xml:space="preserve"> raised in the public comment are set out </w:t>
      </w:r>
      <w:r w:rsidR="00644A6C" w:rsidRPr="001A48D3">
        <w:t xml:space="preserve">under the headings </w:t>
      </w:r>
      <w:r w:rsidRPr="001A48D3">
        <w:t>below</w:t>
      </w:r>
      <w:r w:rsidR="00644A6C" w:rsidRPr="001A48D3">
        <w:t>.</w:t>
      </w:r>
    </w:p>
    <w:p w:rsidR="00644A6C" w:rsidRPr="001A48D3" w:rsidRDefault="00644A6C" w:rsidP="00C4701A">
      <w:pPr>
        <w:spacing w:after="120"/>
      </w:pPr>
      <w:r w:rsidRPr="001A48D3">
        <w:t>The 3</w:t>
      </w:r>
      <w:r w:rsidRPr="001A48D3">
        <w:rPr>
          <w:vertAlign w:val="superscript"/>
        </w:rPr>
        <w:t>rd</w:t>
      </w:r>
      <w:r w:rsidRPr="001A48D3">
        <w:t xml:space="preserve"> party access issues raised by the AAAA (and to a lesser extent by the MTAA), is an aftermarket issue which is out of scope for this RIS </w:t>
      </w:r>
      <w:r w:rsidR="007F09AF" w:rsidRPr="001A48D3">
        <w:t xml:space="preserve">- </w:t>
      </w:r>
      <w:r w:rsidRPr="001A48D3">
        <w:t xml:space="preserve">which is focussed on standards for new vehicles.  </w:t>
      </w:r>
      <w:r w:rsidR="006F7116" w:rsidRPr="001A48D3">
        <w:t>DIT</w:t>
      </w:r>
      <w:r w:rsidRPr="001A48D3">
        <w:t xml:space="preserve"> is not aware that the introduction of Euro 5/6 materially changes the nature of this issue relative to current standards, which also rely on sophisticated diagnostics systems.  </w:t>
      </w:r>
      <w:r w:rsidR="007F09AF" w:rsidRPr="001A48D3">
        <w:t xml:space="preserve">In this context, the Euro 5 standards contain the same provisions as the current Euro 4 standards which require manufacturers to make repair and maintenance technical information available to the vehicle service, repair, inspection and testing industries, and </w:t>
      </w:r>
      <w:r w:rsidR="00521EA3" w:rsidRPr="001A48D3">
        <w:t xml:space="preserve">to </w:t>
      </w:r>
      <w:r w:rsidR="007F09AF" w:rsidRPr="001A48D3">
        <w:t xml:space="preserve">suppliers of components to these industries.  </w:t>
      </w:r>
    </w:p>
    <w:p w:rsidR="003A6B8E" w:rsidRPr="001A48D3" w:rsidRDefault="00C22AD2" w:rsidP="00153F3E">
      <w:pPr>
        <w:pStyle w:val="Heading4"/>
        <w:spacing w:before="240" w:after="120"/>
      </w:pPr>
      <w:bookmarkStart w:id="105" w:name="_Toc430182563"/>
      <w:r w:rsidRPr="001A48D3">
        <w:t>Time</w:t>
      </w:r>
      <w:r w:rsidR="00F51D25" w:rsidRPr="001A48D3">
        <w:t>frame</w:t>
      </w:r>
      <w:r w:rsidRPr="001A48D3">
        <w:t xml:space="preserve"> for c</w:t>
      </w:r>
      <w:r w:rsidR="003A6B8E" w:rsidRPr="001A48D3">
        <w:t>ompliance</w:t>
      </w:r>
      <w:r w:rsidRPr="001A48D3">
        <w:t xml:space="preserve"> too early</w:t>
      </w:r>
      <w:bookmarkEnd w:id="105"/>
    </w:p>
    <w:p w:rsidR="006926D6" w:rsidRPr="001A48D3" w:rsidRDefault="006926D6" w:rsidP="00C4701A">
      <w:pPr>
        <w:spacing w:after="120"/>
      </w:pPr>
      <w:r w:rsidRPr="001A48D3">
        <w:t xml:space="preserve">All timelines </w:t>
      </w:r>
      <w:r w:rsidR="0051746D" w:rsidRPr="001A48D3">
        <w:t xml:space="preserve">proposed </w:t>
      </w:r>
      <w:r w:rsidRPr="001A48D3">
        <w:t>in the RIS are at least one year later than the UN ECE timeline</w:t>
      </w:r>
      <w:r w:rsidR="0051746D" w:rsidRPr="001A48D3">
        <w:t xml:space="preserve"> and manufacturers have been aware of the Government’s intention to consider the case for aligning with Euro 5/6 standards since at least the middle of 2009</w:t>
      </w:r>
      <w:r w:rsidRPr="001A48D3">
        <w:t xml:space="preserve">.  </w:t>
      </w:r>
    </w:p>
    <w:p w:rsidR="0051746D" w:rsidRPr="001A48D3" w:rsidRDefault="006926D6" w:rsidP="00C4701A">
      <w:pPr>
        <w:spacing w:after="120"/>
      </w:pPr>
      <w:r w:rsidRPr="001A48D3">
        <w:t>The draft RIS provide</w:t>
      </w:r>
      <w:r w:rsidR="0051746D" w:rsidRPr="001A48D3">
        <w:t>d</w:t>
      </w:r>
      <w:r w:rsidRPr="001A48D3">
        <w:t xml:space="preserve"> </w:t>
      </w:r>
      <w:r w:rsidR="0051746D" w:rsidRPr="001A48D3">
        <w:t>an</w:t>
      </w:r>
      <w:r w:rsidRPr="001A48D3">
        <w:t xml:space="preserve"> opportunity for the industry to propose an alternative timetable if they believe the current one is not practical or cost effective.  </w:t>
      </w:r>
      <w:r w:rsidR="0051746D" w:rsidRPr="001A48D3">
        <w:t>One manufacturer</w:t>
      </w:r>
      <w:r w:rsidRPr="001A48D3">
        <w:t xml:space="preserve"> proposed a </w:t>
      </w:r>
      <w:r w:rsidR="0051746D" w:rsidRPr="001A48D3">
        <w:t xml:space="preserve">2014-2016 </w:t>
      </w:r>
      <w:r w:rsidRPr="001A48D3">
        <w:t xml:space="preserve">timetable </w:t>
      </w:r>
      <w:r w:rsidR="0051746D" w:rsidRPr="001A48D3">
        <w:t>for Euro 5 (1</w:t>
      </w:r>
      <w:r w:rsidR="0051746D" w:rsidRPr="001A48D3">
        <w:noBreakHyphen/>
      </w:r>
      <w:r w:rsidRPr="001A48D3">
        <w:t xml:space="preserve">2 years later than </w:t>
      </w:r>
      <w:r w:rsidR="0051746D" w:rsidRPr="001A48D3">
        <w:t xml:space="preserve">that </w:t>
      </w:r>
      <w:r w:rsidRPr="001A48D3">
        <w:t>proposed</w:t>
      </w:r>
      <w:r w:rsidR="0051746D" w:rsidRPr="001A48D3">
        <w:t xml:space="preserve"> in the recommended option), while another indicated </w:t>
      </w:r>
      <w:r w:rsidRPr="001A48D3">
        <w:t xml:space="preserve">that they would need 3½ years to deliver a Euro 5 (E5) compliant diesel </w:t>
      </w:r>
      <w:r w:rsidR="0051746D" w:rsidRPr="001A48D3">
        <w:t>version of their current petrol model to the Australian market.  This was for a vehicle</w:t>
      </w:r>
      <w:r w:rsidRPr="001A48D3">
        <w:t xml:space="preserve"> which would be built in Australia with an imported diesel engine.  All other diesel vehicles are fully imported.  </w:t>
      </w:r>
      <w:r w:rsidR="0051746D" w:rsidRPr="001A48D3">
        <w:t>The draft RIS acknowledge</w:t>
      </w:r>
      <w:r w:rsidR="00213654" w:rsidRPr="001A48D3">
        <w:t>d</w:t>
      </w:r>
      <w:r w:rsidR="0051746D" w:rsidRPr="001A48D3">
        <w:t xml:space="preserve"> that achieving Euro 5 compliance is a significant investment</w:t>
      </w:r>
      <w:r w:rsidR="00521EA3" w:rsidRPr="001A48D3">
        <w:t xml:space="preserve"> for diesel </w:t>
      </w:r>
      <w:proofErr w:type="spellStart"/>
      <w:r w:rsidR="00521EA3" w:rsidRPr="001A48D3">
        <w:t>engined</w:t>
      </w:r>
      <w:proofErr w:type="spellEnd"/>
      <w:r w:rsidR="00521EA3" w:rsidRPr="001A48D3">
        <w:t xml:space="preserve"> vehicles</w:t>
      </w:r>
      <w:r w:rsidR="0051746D" w:rsidRPr="001A48D3">
        <w:t xml:space="preserve">. </w:t>
      </w:r>
    </w:p>
    <w:p w:rsidR="006926D6" w:rsidRPr="001A48D3" w:rsidRDefault="006926D6" w:rsidP="00C4701A">
      <w:pPr>
        <w:spacing w:after="120"/>
      </w:pPr>
      <w:r w:rsidRPr="001A48D3">
        <w:t>For petrol vehicles, the E</w:t>
      </w:r>
      <w:r w:rsidR="0051746D" w:rsidRPr="001A48D3">
        <w:t xml:space="preserve">uro </w:t>
      </w:r>
      <w:r w:rsidRPr="001A48D3">
        <w:t xml:space="preserve">5 standards are much less demanding (in terms of change from </w:t>
      </w:r>
      <w:r w:rsidR="00D45A95" w:rsidRPr="001A48D3">
        <w:t xml:space="preserve">the current </w:t>
      </w:r>
      <w:r w:rsidRPr="001A48D3">
        <w:t>E</w:t>
      </w:r>
      <w:r w:rsidR="0051746D" w:rsidRPr="001A48D3">
        <w:t xml:space="preserve">uro </w:t>
      </w:r>
      <w:r w:rsidRPr="001A48D3">
        <w:t xml:space="preserve">4), and currently </w:t>
      </w:r>
      <w:r w:rsidR="00D45A95" w:rsidRPr="001A48D3">
        <w:t xml:space="preserve">many vehicles already on the Australian market have emission limits below those imposed by Euro 5 – including </w:t>
      </w:r>
      <w:r w:rsidRPr="001A48D3">
        <w:t>the locally produced Toyota Camry/</w:t>
      </w:r>
      <w:proofErr w:type="spellStart"/>
      <w:r w:rsidRPr="001A48D3">
        <w:t>Aurion</w:t>
      </w:r>
      <w:proofErr w:type="spellEnd"/>
      <w:r w:rsidRPr="001A48D3">
        <w:t xml:space="preserve"> and Holden Commodore (except the LPG and V8 models).  </w:t>
      </w:r>
      <w:r w:rsidR="00D45A95" w:rsidRPr="001A48D3">
        <w:t>It is acknowledged that some</w:t>
      </w:r>
      <w:r w:rsidRPr="001A48D3">
        <w:t xml:space="preserve"> changes may be required to upgrade these models to improve their on board diagnostics (OBD) systems and establish compliance with the longer durability standards in E</w:t>
      </w:r>
      <w:r w:rsidR="00D45A95" w:rsidRPr="001A48D3">
        <w:t xml:space="preserve">uro </w:t>
      </w:r>
      <w:r w:rsidRPr="001A48D3">
        <w:t>5</w:t>
      </w:r>
      <w:r w:rsidR="00D45A95" w:rsidRPr="001A48D3">
        <w:t xml:space="preserve">, but </w:t>
      </w:r>
      <w:r w:rsidR="00251CE3" w:rsidRPr="001A48D3">
        <w:t xml:space="preserve">there is no evidence to suggest </w:t>
      </w:r>
      <w:r w:rsidR="00D45A95" w:rsidRPr="001A48D3">
        <w:t xml:space="preserve">they require the </w:t>
      </w:r>
      <w:r w:rsidR="00251CE3" w:rsidRPr="001A48D3">
        <w:t>level of</w:t>
      </w:r>
      <w:r w:rsidR="00D45A95" w:rsidRPr="001A48D3">
        <w:t xml:space="preserve"> </w:t>
      </w:r>
      <w:r w:rsidR="00623C0C" w:rsidRPr="001A48D3">
        <w:t>investment</w:t>
      </w:r>
      <w:r w:rsidR="00D45A95" w:rsidRPr="001A48D3">
        <w:t xml:space="preserve"> </w:t>
      </w:r>
      <w:r w:rsidR="00251CE3" w:rsidRPr="001A48D3">
        <w:t xml:space="preserve">which will be required </w:t>
      </w:r>
      <w:r w:rsidR="00D45A95" w:rsidRPr="001A48D3">
        <w:t>to achieve compliance with the diesel standards</w:t>
      </w:r>
      <w:r w:rsidRPr="001A48D3">
        <w:t xml:space="preserve">.  </w:t>
      </w:r>
    </w:p>
    <w:p w:rsidR="00101556" w:rsidRPr="001A48D3" w:rsidRDefault="00F51D25" w:rsidP="00C4701A">
      <w:pPr>
        <w:spacing w:after="120"/>
      </w:pPr>
      <w:r w:rsidRPr="001A48D3">
        <w:t>The FCAI also highlighted that for some of the</w:t>
      </w:r>
      <w:r w:rsidR="00CA1DB5" w:rsidRPr="001A48D3">
        <w:t xml:space="preserve"> OBD elements applying to Euro 5 vehicles, the timing proposed in the option recommended in the draft RIS (Option 3) would impose a timeline ahead of compliance in Europe.  This was not the intention in the draft RIS, and </w:t>
      </w:r>
      <w:r w:rsidR="006F7116" w:rsidRPr="001A48D3">
        <w:t>DIT</w:t>
      </w:r>
      <w:r w:rsidR="00CA1DB5" w:rsidRPr="001A48D3">
        <w:t xml:space="preserve"> </w:t>
      </w:r>
      <w:r w:rsidR="00582B19" w:rsidRPr="001A48D3">
        <w:t>agrees</w:t>
      </w:r>
      <w:r w:rsidR="00CA1DB5" w:rsidRPr="001A48D3">
        <w:t xml:space="preserve"> that the option recommended in th</w:t>
      </w:r>
      <w:r w:rsidR="00251CE3" w:rsidRPr="001A48D3">
        <w:t>e final R</w:t>
      </w:r>
      <w:r w:rsidR="00CA1DB5" w:rsidRPr="001A48D3">
        <w:t xml:space="preserve">IS should ensure that all elements of the agreed standards in Australia should take effect no earlier </w:t>
      </w:r>
      <w:proofErr w:type="spellStart"/>
      <w:r w:rsidR="00CA1DB5" w:rsidRPr="001A48D3">
        <w:t>that</w:t>
      </w:r>
      <w:proofErr w:type="spellEnd"/>
      <w:r w:rsidR="00CA1DB5" w:rsidRPr="001A48D3">
        <w:t xml:space="preserve"> the timeline applying in Europe.</w:t>
      </w:r>
      <w:r w:rsidR="00F141AD" w:rsidRPr="001A48D3">
        <w:t xml:space="preserve">  As noted in Section 3.1, this European timeline is no longer reflected in </w:t>
      </w:r>
      <w:r w:rsidR="00101556" w:rsidRPr="001A48D3">
        <w:t>UN ECE Regulation 83/06</w:t>
      </w:r>
      <w:r w:rsidR="00F141AD" w:rsidRPr="001A48D3">
        <w:t xml:space="preserve">, and a modified version of </w:t>
      </w:r>
      <w:r w:rsidR="00F141AD" w:rsidRPr="001A48D3">
        <w:lastRenderedPageBreak/>
        <w:t xml:space="preserve">Option 3 </w:t>
      </w:r>
      <w:r w:rsidR="00285302" w:rsidRPr="001A48D3">
        <w:t>(see Table 18</w:t>
      </w:r>
      <w:r w:rsidR="00251CE3" w:rsidRPr="001A48D3">
        <w:t xml:space="preserve">) </w:t>
      </w:r>
      <w:r w:rsidR="00F141AD" w:rsidRPr="001A48D3">
        <w:t xml:space="preserve">has been prepared to take account of the changes to </w:t>
      </w:r>
      <w:proofErr w:type="spellStart"/>
      <w:r w:rsidR="00F141AD" w:rsidRPr="001A48D3">
        <w:t>Reg</w:t>
      </w:r>
      <w:proofErr w:type="spellEnd"/>
      <w:r w:rsidR="00F141AD" w:rsidRPr="001A48D3">
        <w:t xml:space="preserve"> 83/06 without disadvantaging manufacturers working to the European timelines.  </w:t>
      </w:r>
      <w:r w:rsidR="00101556" w:rsidRPr="001A48D3">
        <w:t xml:space="preserve"> </w:t>
      </w:r>
    </w:p>
    <w:p w:rsidR="00F141AD" w:rsidRPr="001A48D3" w:rsidRDefault="00D45A95" w:rsidP="00C4701A">
      <w:pPr>
        <w:spacing w:after="120"/>
      </w:pPr>
      <w:r w:rsidRPr="001A48D3">
        <w:t xml:space="preserve">In discussions between </w:t>
      </w:r>
      <w:r w:rsidR="006F7116" w:rsidRPr="001A48D3">
        <w:t>DIT</w:t>
      </w:r>
      <w:r w:rsidRPr="001A48D3">
        <w:t xml:space="preserve"> and FCAI </w:t>
      </w:r>
      <w:r w:rsidR="00CA1DB5" w:rsidRPr="001A48D3">
        <w:t>following</w:t>
      </w:r>
      <w:r w:rsidRPr="001A48D3">
        <w:t xml:space="preserve"> the public consultation period, the FCAI has proposed a </w:t>
      </w:r>
      <w:r w:rsidR="00F141AD" w:rsidRPr="001A48D3">
        <w:t xml:space="preserve">longer </w:t>
      </w:r>
      <w:r w:rsidRPr="001A48D3">
        <w:t xml:space="preserve">alternative timeline which it considers is more </w:t>
      </w:r>
      <w:r w:rsidR="00CA1DB5" w:rsidRPr="001A48D3">
        <w:t>appropriate</w:t>
      </w:r>
      <w:r w:rsidRPr="001A48D3">
        <w:t xml:space="preserve"> than that proposed in the recommended option</w:t>
      </w:r>
      <w:r w:rsidR="00F141AD" w:rsidRPr="001A48D3">
        <w:t xml:space="preserve"> in the draft RIS (Option 3)</w:t>
      </w:r>
      <w:r w:rsidRPr="001A48D3">
        <w:t xml:space="preserve">.  </w:t>
      </w:r>
    </w:p>
    <w:p w:rsidR="006926D6" w:rsidRPr="001A48D3" w:rsidRDefault="00F141AD" w:rsidP="00C4701A">
      <w:pPr>
        <w:spacing w:after="120"/>
      </w:pPr>
      <w:r w:rsidRPr="001A48D3">
        <w:t>T</w:t>
      </w:r>
      <w:r w:rsidR="00D45A95" w:rsidRPr="001A48D3">
        <w:t>h</w:t>
      </w:r>
      <w:r w:rsidRPr="001A48D3">
        <w:t>ese</w:t>
      </w:r>
      <w:r w:rsidR="00D45A95" w:rsidRPr="001A48D3">
        <w:t xml:space="preserve"> alternative timeline</w:t>
      </w:r>
      <w:r w:rsidRPr="001A48D3">
        <w:t>s have been</w:t>
      </w:r>
      <w:r w:rsidR="00D45A95" w:rsidRPr="001A48D3">
        <w:t xml:space="preserve"> </w:t>
      </w:r>
      <w:r w:rsidRPr="001A48D3">
        <w:t>evaluated as</w:t>
      </w:r>
      <w:r w:rsidR="00161B60" w:rsidRPr="001A48D3">
        <w:t xml:space="preserve"> sensitivity analys</w:t>
      </w:r>
      <w:r w:rsidRPr="001A48D3">
        <w:t>es</w:t>
      </w:r>
      <w:r w:rsidR="00161B60" w:rsidRPr="001A48D3">
        <w:t xml:space="preserve"> and </w:t>
      </w:r>
      <w:r w:rsidRPr="001A48D3">
        <w:t>the</w:t>
      </w:r>
      <w:r w:rsidR="00CA1DB5" w:rsidRPr="001A48D3">
        <w:t xml:space="preserve"> impacts </w:t>
      </w:r>
      <w:r w:rsidR="00161B60" w:rsidRPr="001A48D3">
        <w:t xml:space="preserve">are </w:t>
      </w:r>
      <w:r w:rsidRPr="001A48D3">
        <w:t>reported</w:t>
      </w:r>
      <w:r w:rsidR="00CA1DB5" w:rsidRPr="001A48D3">
        <w:t xml:space="preserve"> in </w:t>
      </w:r>
      <w:r w:rsidR="00161B60" w:rsidRPr="001A48D3">
        <w:t>Section 4.5 of the RIS</w:t>
      </w:r>
      <w:r w:rsidR="00CA1DB5" w:rsidRPr="001A48D3">
        <w:t>.</w:t>
      </w:r>
    </w:p>
    <w:p w:rsidR="00C22AD2" w:rsidRPr="001A48D3" w:rsidRDefault="00F51D25" w:rsidP="00153F3E">
      <w:pPr>
        <w:pStyle w:val="Heading4"/>
        <w:spacing w:before="240" w:after="120"/>
      </w:pPr>
      <w:bookmarkStart w:id="106" w:name="_Toc430182564"/>
      <w:r w:rsidRPr="001A48D3">
        <w:t>Euro 5/6 RIS not linked</w:t>
      </w:r>
      <w:r w:rsidR="00C22AD2" w:rsidRPr="001A48D3">
        <w:t xml:space="preserve"> to the CO</w:t>
      </w:r>
      <w:r w:rsidR="00C22AD2" w:rsidRPr="00153F3E">
        <w:t>2</w:t>
      </w:r>
      <w:r w:rsidR="00C22AD2" w:rsidRPr="001A48D3">
        <w:t xml:space="preserve"> emissions RIS process</w:t>
      </w:r>
      <w:bookmarkEnd w:id="106"/>
      <w:r w:rsidR="00C22AD2" w:rsidRPr="001A48D3">
        <w:t xml:space="preserve"> </w:t>
      </w:r>
    </w:p>
    <w:p w:rsidR="006926D6" w:rsidRPr="001A48D3" w:rsidRDefault="00521EA3" w:rsidP="00C4701A">
      <w:pPr>
        <w:spacing w:after="120"/>
      </w:pPr>
      <w:r w:rsidRPr="001A48D3">
        <w:t>The</w:t>
      </w:r>
      <w:r w:rsidR="00496E6C" w:rsidRPr="001A48D3">
        <w:t xml:space="preserve"> proposition </w:t>
      </w:r>
      <w:r w:rsidR="006926D6" w:rsidRPr="001A48D3">
        <w:t>that a decision can’t be made on E</w:t>
      </w:r>
      <w:r w:rsidR="00623C0C" w:rsidRPr="001A48D3">
        <w:t>uro </w:t>
      </w:r>
      <w:r w:rsidR="006926D6" w:rsidRPr="001A48D3">
        <w:t>5/6 noxious emissions standards ahead of a</w:t>
      </w:r>
      <w:r w:rsidRPr="001A48D3">
        <w:t>ny</w:t>
      </w:r>
      <w:r w:rsidR="006926D6" w:rsidRPr="001A48D3">
        <w:t xml:space="preserve"> decision on CO</w:t>
      </w:r>
      <w:r w:rsidR="006926D6" w:rsidRPr="001A48D3">
        <w:rPr>
          <w:vertAlign w:val="subscript"/>
        </w:rPr>
        <w:t>2</w:t>
      </w:r>
      <w:r w:rsidR="006926D6" w:rsidRPr="001A48D3">
        <w:t xml:space="preserve"> standards is not </w:t>
      </w:r>
      <w:r w:rsidR="00251CE3" w:rsidRPr="001A48D3">
        <w:t>supported by the evidence</w:t>
      </w:r>
      <w:r w:rsidR="006926D6" w:rsidRPr="001A48D3">
        <w:t xml:space="preserve">.  The implication is that there is a </w:t>
      </w:r>
      <w:proofErr w:type="spellStart"/>
      <w:r w:rsidR="006926D6" w:rsidRPr="001A48D3">
        <w:t>trade off</w:t>
      </w:r>
      <w:proofErr w:type="spellEnd"/>
      <w:r w:rsidR="006926D6" w:rsidRPr="001A48D3">
        <w:t xml:space="preserve"> between air quality and CO</w:t>
      </w:r>
      <w:r w:rsidR="006926D6" w:rsidRPr="001A48D3">
        <w:rPr>
          <w:vertAlign w:val="subscript"/>
        </w:rPr>
        <w:t>2</w:t>
      </w:r>
      <w:r w:rsidR="006926D6" w:rsidRPr="001A48D3">
        <w:t xml:space="preserve"> goals, when in reality manufacturers </w:t>
      </w:r>
      <w:r w:rsidR="00496E6C" w:rsidRPr="001A48D3">
        <w:t>internationally</w:t>
      </w:r>
      <w:r w:rsidR="006926D6" w:rsidRPr="001A48D3">
        <w:t xml:space="preserve"> are being required to </w:t>
      </w:r>
      <w:r w:rsidR="00496E6C" w:rsidRPr="001A48D3">
        <w:t xml:space="preserve">simultaneously </w:t>
      </w:r>
      <w:r w:rsidR="006926D6" w:rsidRPr="001A48D3">
        <w:t>meet tighter air quality standards (like E</w:t>
      </w:r>
      <w:r w:rsidR="00496E6C" w:rsidRPr="001A48D3">
        <w:t xml:space="preserve">uro </w:t>
      </w:r>
      <w:r w:rsidR="006926D6" w:rsidRPr="001A48D3">
        <w:t>5/6) and deliver lower CO</w:t>
      </w:r>
      <w:r w:rsidR="006926D6" w:rsidRPr="001A48D3">
        <w:rPr>
          <w:vertAlign w:val="subscript"/>
        </w:rPr>
        <w:t>2</w:t>
      </w:r>
      <w:r w:rsidR="006926D6" w:rsidRPr="001A48D3">
        <w:t xml:space="preserve"> outcomes.  </w:t>
      </w:r>
      <w:r w:rsidR="00496E6C" w:rsidRPr="001A48D3">
        <w:t>The</w:t>
      </w:r>
      <w:r w:rsidR="00582B19" w:rsidRPr="001A48D3">
        <w:t>re does not appear to be any logic</w:t>
      </w:r>
      <w:r w:rsidR="00496E6C" w:rsidRPr="001A48D3">
        <w:t xml:space="preserve"> to defer</w:t>
      </w:r>
      <w:r w:rsidR="00582B19" w:rsidRPr="001A48D3">
        <w:t>ring</w:t>
      </w:r>
      <w:r w:rsidR="00496E6C" w:rsidRPr="001A48D3">
        <w:t xml:space="preserve"> or compromis</w:t>
      </w:r>
      <w:r w:rsidR="00582B19" w:rsidRPr="001A48D3">
        <w:t>ing</w:t>
      </w:r>
      <w:r w:rsidR="006926D6" w:rsidRPr="001A48D3">
        <w:t xml:space="preserve"> improvements in air quality </w:t>
      </w:r>
      <w:r w:rsidR="00582B19" w:rsidRPr="001A48D3">
        <w:t xml:space="preserve">(that have a demonstrated net public benefit) </w:t>
      </w:r>
      <w:r w:rsidR="006926D6" w:rsidRPr="001A48D3">
        <w:t>to achieve CO</w:t>
      </w:r>
      <w:r w:rsidR="006926D6" w:rsidRPr="001A48D3">
        <w:rPr>
          <w:vertAlign w:val="subscript"/>
        </w:rPr>
        <w:t>2</w:t>
      </w:r>
      <w:r w:rsidR="006926D6" w:rsidRPr="001A48D3">
        <w:t xml:space="preserve"> emissions reductions (or vice versa).  </w:t>
      </w:r>
      <w:r w:rsidR="00496E6C" w:rsidRPr="001A48D3">
        <w:t xml:space="preserve">In addition, in </w:t>
      </w:r>
      <w:r w:rsidR="006926D6" w:rsidRPr="001A48D3">
        <w:t xml:space="preserve">all major economies, </w:t>
      </w:r>
      <w:r w:rsidR="00582B19" w:rsidRPr="001A48D3">
        <w:t>air quality</w:t>
      </w:r>
      <w:r w:rsidR="006926D6" w:rsidRPr="001A48D3">
        <w:t xml:space="preserve"> and CO</w:t>
      </w:r>
      <w:r w:rsidR="006926D6" w:rsidRPr="001A48D3">
        <w:rPr>
          <w:vertAlign w:val="subscript"/>
        </w:rPr>
        <w:t>2</w:t>
      </w:r>
      <w:r w:rsidR="006926D6" w:rsidRPr="001A48D3">
        <w:t xml:space="preserve"> emissions standards are – and continue to be - developed under separate processes.</w:t>
      </w:r>
    </w:p>
    <w:p w:rsidR="006926D6" w:rsidRPr="001A48D3" w:rsidRDefault="006926D6" w:rsidP="00153F3E">
      <w:pPr>
        <w:pStyle w:val="Heading4"/>
        <w:spacing w:before="240" w:after="120"/>
      </w:pPr>
      <w:bookmarkStart w:id="107" w:name="_Toc430182565"/>
      <w:r w:rsidRPr="001A48D3">
        <w:t>Vehicle cost estimates not appropriate</w:t>
      </w:r>
      <w:r w:rsidR="00496E6C" w:rsidRPr="001A48D3">
        <w:t xml:space="preserve"> in Australian context</w:t>
      </w:r>
      <w:bookmarkEnd w:id="107"/>
    </w:p>
    <w:p w:rsidR="006926D6" w:rsidRPr="001A48D3" w:rsidRDefault="006926D6" w:rsidP="00C4701A">
      <w:pPr>
        <w:spacing w:after="120"/>
      </w:pPr>
      <w:r w:rsidRPr="001A48D3">
        <w:t xml:space="preserve">The </w:t>
      </w:r>
      <w:r w:rsidR="00496E6C" w:rsidRPr="001A48D3">
        <w:t xml:space="preserve">draft </w:t>
      </w:r>
      <w:r w:rsidRPr="001A48D3">
        <w:t>RIS use</w:t>
      </w:r>
      <w:r w:rsidR="00496E6C" w:rsidRPr="001A48D3">
        <w:t>d</w:t>
      </w:r>
      <w:r w:rsidRPr="001A48D3">
        <w:t xml:space="preserve"> the only </w:t>
      </w:r>
      <w:r w:rsidR="00496E6C" w:rsidRPr="001A48D3">
        <w:t>published</w:t>
      </w:r>
      <w:r w:rsidRPr="001A48D3">
        <w:t xml:space="preserve"> data t</w:t>
      </w:r>
      <w:r w:rsidR="00CA1DB5" w:rsidRPr="001A48D3">
        <w:t>hat is directly related to Euro </w:t>
      </w:r>
      <w:r w:rsidRPr="001A48D3">
        <w:t xml:space="preserve">5/6 compliance.  </w:t>
      </w:r>
      <w:r w:rsidR="00496E6C" w:rsidRPr="001A48D3">
        <w:t xml:space="preserve">Section 4.2 of the </w:t>
      </w:r>
      <w:r w:rsidRPr="001A48D3">
        <w:t xml:space="preserve">RIS acknowledges the </w:t>
      </w:r>
      <w:r w:rsidR="00582B19" w:rsidRPr="001A48D3">
        <w:t xml:space="preserve">potential </w:t>
      </w:r>
      <w:r w:rsidRPr="001A48D3">
        <w:t xml:space="preserve">limitations of such data, </w:t>
      </w:r>
      <w:r w:rsidR="00496E6C" w:rsidRPr="001A48D3">
        <w:t xml:space="preserve">includes </w:t>
      </w:r>
      <w:r w:rsidRPr="001A48D3">
        <w:t xml:space="preserve">references </w:t>
      </w:r>
      <w:r w:rsidR="00521EA3" w:rsidRPr="001A48D3">
        <w:t xml:space="preserve">to </w:t>
      </w:r>
      <w:r w:rsidRPr="001A48D3">
        <w:t>reports question</w:t>
      </w:r>
      <w:r w:rsidR="00521EA3" w:rsidRPr="001A48D3">
        <w:t>ing</w:t>
      </w:r>
      <w:r w:rsidRPr="001A48D3">
        <w:t xml:space="preserve"> the data, n</w:t>
      </w:r>
      <w:r w:rsidR="00521EA3" w:rsidRPr="001A48D3">
        <w:t>otes the problems internationally</w:t>
      </w:r>
      <w:r w:rsidRPr="001A48D3">
        <w:t xml:space="preserve"> in obtaining data from manufacturers and suppliers on compliance costs for meeting new standards, and also includes a sensitivity analysis on costs </w:t>
      </w:r>
      <w:r w:rsidR="00623C0C" w:rsidRPr="001A48D3">
        <w:t xml:space="preserve">over time </w:t>
      </w:r>
      <w:r w:rsidRPr="001A48D3">
        <w:t xml:space="preserve">in the benefit-cost analysis.  </w:t>
      </w:r>
    </w:p>
    <w:p w:rsidR="006926D6" w:rsidRPr="001A48D3" w:rsidRDefault="006926D6" w:rsidP="00C4701A">
      <w:pPr>
        <w:spacing w:after="120"/>
      </w:pPr>
      <w:r w:rsidRPr="001A48D3">
        <w:t xml:space="preserve">The RIS </w:t>
      </w:r>
      <w:r w:rsidR="00496E6C" w:rsidRPr="001A48D3">
        <w:t xml:space="preserve">also </w:t>
      </w:r>
      <w:r w:rsidRPr="001A48D3">
        <w:t xml:space="preserve">specifically sought input from manufacturers on the cost estimates.  </w:t>
      </w:r>
      <w:r w:rsidR="00496E6C" w:rsidRPr="001A48D3">
        <w:t>One manufacturer provided confidential data for the cost of upgrading its local models to comply with Euro 5, but in isolation this data is not</w:t>
      </w:r>
      <w:r w:rsidRPr="001A48D3">
        <w:t xml:space="preserve"> </w:t>
      </w:r>
      <w:r w:rsidR="00496E6C" w:rsidRPr="001A48D3">
        <w:t xml:space="preserve">adaptable to the BCA used in this RIS.  </w:t>
      </w:r>
      <w:r w:rsidR="006F7116" w:rsidRPr="001A48D3">
        <w:t>DIT</w:t>
      </w:r>
      <w:r w:rsidR="00FC1F61" w:rsidRPr="001A48D3">
        <w:t>’s e</w:t>
      </w:r>
      <w:r w:rsidRPr="001A48D3">
        <w:t xml:space="preserve">xperience </w:t>
      </w:r>
      <w:r w:rsidR="00FC1F61" w:rsidRPr="001A48D3">
        <w:t>with earlier vehicle emissions RISs of this type indicate</w:t>
      </w:r>
      <w:r w:rsidRPr="001A48D3">
        <w:t xml:space="preserve"> that </w:t>
      </w:r>
      <w:r w:rsidR="00FC1F61" w:rsidRPr="001A48D3">
        <w:t>it is most unlikely that any</w:t>
      </w:r>
      <w:r w:rsidRPr="001A48D3">
        <w:t xml:space="preserve"> cost data </w:t>
      </w:r>
      <w:r w:rsidR="00FC1F61" w:rsidRPr="001A48D3">
        <w:t xml:space="preserve">will be supplied by the vehicle industry (and as noted in </w:t>
      </w:r>
      <w:r w:rsidR="00CE0A88" w:rsidRPr="001A48D3">
        <w:t>Section</w:t>
      </w:r>
      <w:r w:rsidR="00FC1F61" w:rsidRPr="001A48D3">
        <w:t xml:space="preserve"> 4.2, this is often the international experience as well).  The FCAI has indicated that it will not be in a position to provide cost estimates.</w:t>
      </w:r>
    </w:p>
    <w:p w:rsidR="006926D6" w:rsidRPr="001A48D3" w:rsidRDefault="006926D6" w:rsidP="00153F3E">
      <w:pPr>
        <w:pStyle w:val="Heading4"/>
        <w:spacing w:before="240" w:after="120"/>
      </w:pPr>
      <w:bookmarkStart w:id="108" w:name="_Toc430182566"/>
      <w:r w:rsidRPr="001A48D3">
        <w:t xml:space="preserve">Fuel </w:t>
      </w:r>
      <w:r w:rsidR="00251CE3" w:rsidRPr="001A48D3">
        <w:t xml:space="preserve">(petrol) </w:t>
      </w:r>
      <w:r w:rsidRPr="001A48D3">
        <w:t>quality inadequate</w:t>
      </w:r>
      <w:bookmarkEnd w:id="108"/>
    </w:p>
    <w:p w:rsidR="00CD7F5E" w:rsidRPr="001A48D3" w:rsidRDefault="00F81DF5" w:rsidP="00C4701A">
      <w:pPr>
        <w:spacing w:after="120"/>
      </w:pPr>
      <w:r w:rsidRPr="001A48D3">
        <w:t xml:space="preserve">The 150ppm </w:t>
      </w:r>
      <w:proofErr w:type="spellStart"/>
      <w:r w:rsidR="00376876" w:rsidRPr="001A48D3">
        <w:t>sulfur</w:t>
      </w:r>
      <w:proofErr w:type="spellEnd"/>
      <w:r w:rsidR="006926D6" w:rsidRPr="001A48D3">
        <w:t xml:space="preserve"> limit currently applying to regular ULP (91 RON) is </w:t>
      </w:r>
      <w:r w:rsidRPr="001A48D3">
        <w:t xml:space="preserve">higher than the limits now applying in most advanced markets, and the RIS sought input from stakeholders on whether this presents a barrier to compliance with Euro 5/6 standards.  </w:t>
      </w:r>
    </w:p>
    <w:p w:rsidR="006926D6" w:rsidRPr="001A48D3" w:rsidRDefault="00CD7F5E" w:rsidP="00C4701A">
      <w:pPr>
        <w:spacing w:after="120"/>
      </w:pPr>
      <w:r w:rsidRPr="001A48D3">
        <w:t xml:space="preserve">The FCAI and all vehicle industry submissions </w:t>
      </w:r>
      <w:r w:rsidR="00F81DF5" w:rsidRPr="001A48D3">
        <w:t>argued that the 150ppm level was too high, but did not provide any specific evidence to support their claim.  In contrast, t</w:t>
      </w:r>
      <w:r w:rsidR="006926D6" w:rsidRPr="001A48D3">
        <w:t xml:space="preserve">he oil industry, represented by the </w:t>
      </w:r>
      <w:r w:rsidR="00F81DF5" w:rsidRPr="001A48D3">
        <w:t>AIP</w:t>
      </w:r>
      <w:r w:rsidR="00582B19" w:rsidRPr="001A48D3">
        <w:t>,</w:t>
      </w:r>
      <w:r w:rsidR="00F81DF5" w:rsidRPr="001A48D3">
        <w:t xml:space="preserve"> </w:t>
      </w:r>
      <w:r w:rsidR="006926D6" w:rsidRPr="001A48D3">
        <w:t>argue</w:t>
      </w:r>
      <w:r w:rsidR="00F81DF5" w:rsidRPr="001A48D3">
        <w:t>d</w:t>
      </w:r>
      <w:r w:rsidR="006926D6" w:rsidRPr="001A48D3">
        <w:t xml:space="preserve"> that there is no evidence that even 150ppm </w:t>
      </w:r>
      <w:proofErr w:type="spellStart"/>
      <w:r w:rsidR="006926D6" w:rsidRPr="001A48D3">
        <w:t>sulfur</w:t>
      </w:r>
      <w:proofErr w:type="spellEnd"/>
      <w:r w:rsidR="006926D6" w:rsidRPr="001A48D3">
        <w:t xml:space="preserve"> is a problem and presents a referenced </w:t>
      </w:r>
      <w:r w:rsidR="00251CE3" w:rsidRPr="001A48D3">
        <w:t>submission</w:t>
      </w:r>
      <w:r w:rsidR="006926D6" w:rsidRPr="001A48D3">
        <w:t xml:space="preserve"> to support their </w:t>
      </w:r>
      <w:r w:rsidR="006926D6" w:rsidRPr="001A48D3">
        <w:lastRenderedPageBreak/>
        <w:t>arguments.  The AIP also argues that any proposal to change fuel standards would need to undergo a full regulatory assessment</w:t>
      </w:r>
      <w:r w:rsidR="00521EA3" w:rsidRPr="001A48D3">
        <w:t xml:space="preserve">. </w:t>
      </w:r>
    </w:p>
    <w:p w:rsidR="00C22AD2" w:rsidRPr="001A48D3" w:rsidRDefault="00521EA3" w:rsidP="00C4701A">
      <w:pPr>
        <w:spacing w:after="120"/>
      </w:pPr>
      <w:r w:rsidRPr="001A48D3">
        <w:t>The review</w:t>
      </w:r>
      <w:r w:rsidR="00F81DF5" w:rsidRPr="001A48D3">
        <w:t xml:space="preserve"> is not aware of any evidence that </w:t>
      </w:r>
      <w:r w:rsidR="00251CE3" w:rsidRPr="001A48D3">
        <w:t xml:space="preserve">the </w:t>
      </w:r>
      <w:r w:rsidR="00F81DF5" w:rsidRPr="001A48D3">
        <w:t xml:space="preserve">150ppm </w:t>
      </w:r>
      <w:proofErr w:type="spellStart"/>
      <w:r w:rsidR="00376876" w:rsidRPr="001A48D3">
        <w:t>sulfur</w:t>
      </w:r>
      <w:proofErr w:type="spellEnd"/>
      <w:r w:rsidR="00F81DF5" w:rsidRPr="001A48D3">
        <w:t xml:space="preserve"> </w:t>
      </w:r>
      <w:r w:rsidR="00251CE3" w:rsidRPr="001A48D3">
        <w:t xml:space="preserve">level in ULP is </w:t>
      </w:r>
      <w:r w:rsidR="00F81DF5" w:rsidRPr="001A48D3">
        <w:t xml:space="preserve">a </w:t>
      </w:r>
      <w:r w:rsidR="00F81DF5" w:rsidRPr="001A48D3">
        <w:rPr>
          <w:u w:val="single"/>
        </w:rPr>
        <w:t>barrier</w:t>
      </w:r>
      <w:r w:rsidR="00F81DF5" w:rsidRPr="001A48D3">
        <w:t xml:space="preserve"> to supplying Euro 5 compliant petrol vehicles to the market, and the public submissions provided no evidence to </w:t>
      </w:r>
      <w:r w:rsidRPr="001A48D3">
        <w:t>the contrary</w:t>
      </w:r>
      <w:r w:rsidR="00F81DF5" w:rsidRPr="001A48D3">
        <w:t xml:space="preserve">.  </w:t>
      </w:r>
      <w:r w:rsidR="00C22AD2" w:rsidRPr="001A48D3">
        <w:t xml:space="preserve">Equally no evidence was supplied to suggest that </w:t>
      </w:r>
      <w:proofErr w:type="spellStart"/>
      <w:r w:rsidR="00C22AD2" w:rsidRPr="001A48D3">
        <w:t>sulfur</w:t>
      </w:r>
      <w:proofErr w:type="spellEnd"/>
      <w:r w:rsidR="00C22AD2" w:rsidRPr="001A48D3">
        <w:t xml:space="preserve"> levels below 50ppm were </w:t>
      </w:r>
      <w:r w:rsidR="00CA1DB5" w:rsidRPr="001A48D3">
        <w:t>essential</w:t>
      </w:r>
      <w:r w:rsidR="00C22AD2" w:rsidRPr="001A48D3">
        <w:t xml:space="preserve">, except in some technologies that appear to be in very limited use.  </w:t>
      </w:r>
    </w:p>
    <w:p w:rsidR="00CD7F5E" w:rsidRPr="001A48D3" w:rsidRDefault="00F81DF5" w:rsidP="00C4701A">
      <w:pPr>
        <w:spacing w:after="120"/>
      </w:pPr>
      <w:r w:rsidRPr="001A48D3">
        <w:t xml:space="preserve">There is less certainty over </w:t>
      </w:r>
      <w:r w:rsidR="00CD7F5E" w:rsidRPr="001A48D3">
        <w:t>the</w:t>
      </w:r>
      <w:r w:rsidRPr="001A48D3">
        <w:t xml:space="preserve"> impact </w:t>
      </w:r>
      <w:r w:rsidR="00CD7F5E" w:rsidRPr="001A48D3">
        <w:t xml:space="preserve">of </w:t>
      </w:r>
      <w:r w:rsidR="00CA1DB5" w:rsidRPr="001A48D3">
        <w:t xml:space="preserve">150ppm </w:t>
      </w:r>
      <w:proofErr w:type="spellStart"/>
      <w:r w:rsidR="00CD7F5E" w:rsidRPr="001A48D3">
        <w:t>sulfur</w:t>
      </w:r>
      <w:proofErr w:type="spellEnd"/>
      <w:r w:rsidR="00CD7F5E" w:rsidRPr="001A48D3">
        <w:t xml:space="preserve"> </w:t>
      </w:r>
      <w:r w:rsidRPr="001A48D3">
        <w:t xml:space="preserve">on the durability and longevity of emission control systems </w:t>
      </w:r>
      <w:r w:rsidR="00CD7F5E" w:rsidRPr="001A48D3">
        <w:t xml:space="preserve">in petrol vehicles </w:t>
      </w:r>
      <w:r w:rsidRPr="001A48D3">
        <w:t xml:space="preserve">(such as catalysts).  While </w:t>
      </w:r>
      <w:r w:rsidR="00521EA3" w:rsidRPr="001A48D3">
        <w:t>this remains an open question</w:t>
      </w:r>
      <w:r w:rsidRPr="001A48D3">
        <w:t xml:space="preserve">, </w:t>
      </w:r>
      <w:r w:rsidR="00521EA3" w:rsidRPr="001A48D3">
        <w:t>the review</w:t>
      </w:r>
      <w:r w:rsidRPr="001A48D3">
        <w:t xml:space="preserve"> considers a decision can still be made on the Euro 5/6 emissions standards </w:t>
      </w:r>
      <w:r w:rsidR="00CD7F5E" w:rsidRPr="001A48D3">
        <w:t xml:space="preserve">as there is no evidence that the current fuel standards will prevent </w:t>
      </w:r>
      <w:r w:rsidR="00C22AD2" w:rsidRPr="001A48D3">
        <w:t xml:space="preserve">in-service </w:t>
      </w:r>
      <w:r w:rsidR="00CD7F5E" w:rsidRPr="001A48D3">
        <w:t>compliance with Euro 5</w:t>
      </w:r>
      <w:r w:rsidR="00C22AD2" w:rsidRPr="001A48D3">
        <w:t xml:space="preserve"> standards or cause operational problems</w:t>
      </w:r>
      <w:r w:rsidR="00CA1DB5" w:rsidRPr="001A48D3">
        <w:t xml:space="preserve">, and 50ppm </w:t>
      </w:r>
      <w:proofErr w:type="spellStart"/>
      <w:r w:rsidR="00CA1DB5" w:rsidRPr="001A48D3">
        <w:t>sulfur</w:t>
      </w:r>
      <w:proofErr w:type="spellEnd"/>
      <w:r w:rsidR="00CA1DB5" w:rsidRPr="001A48D3">
        <w:t xml:space="preserve"> petrol (95 RON) is available to manufacturers where they have concerns about operation on 150ppm </w:t>
      </w:r>
      <w:proofErr w:type="spellStart"/>
      <w:r w:rsidR="00CA1DB5" w:rsidRPr="001A48D3">
        <w:t>sulfur</w:t>
      </w:r>
      <w:proofErr w:type="spellEnd"/>
      <w:r w:rsidR="00CA1DB5" w:rsidRPr="001A48D3">
        <w:t xml:space="preserve"> petrol (91 RON).</w:t>
      </w:r>
    </w:p>
    <w:p w:rsidR="00CD7F5E" w:rsidRPr="001A48D3" w:rsidRDefault="00CD7F5E" w:rsidP="00C4701A">
      <w:pPr>
        <w:spacing w:after="120"/>
      </w:pPr>
      <w:r w:rsidRPr="001A48D3">
        <w:t xml:space="preserve">Diesel </w:t>
      </w:r>
      <w:proofErr w:type="spellStart"/>
      <w:r w:rsidRPr="001A48D3">
        <w:t>sulfur</w:t>
      </w:r>
      <w:proofErr w:type="spellEnd"/>
      <w:r w:rsidRPr="001A48D3">
        <w:t xml:space="preserve"> levels </w:t>
      </w:r>
      <w:r w:rsidR="00582B19" w:rsidRPr="001A48D3">
        <w:t xml:space="preserve">in Australia </w:t>
      </w:r>
      <w:r w:rsidRPr="001A48D3">
        <w:t xml:space="preserve">are already at the international 10ppm </w:t>
      </w:r>
      <w:proofErr w:type="spellStart"/>
      <w:r w:rsidRPr="001A48D3">
        <w:t>sulfur</w:t>
      </w:r>
      <w:proofErr w:type="spellEnd"/>
      <w:r w:rsidRPr="001A48D3">
        <w:t xml:space="preserve"> level.</w:t>
      </w:r>
    </w:p>
    <w:p w:rsidR="00925BAF" w:rsidRPr="001A48D3" w:rsidRDefault="006926D6" w:rsidP="00C4701A">
      <w:pPr>
        <w:spacing w:after="120"/>
      </w:pPr>
      <w:r w:rsidRPr="001A48D3">
        <w:t xml:space="preserve">The </w:t>
      </w:r>
      <w:r w:rsidR="00CD7F5E" w:rsidRPr="001A48D3">
        <w:t xml:space="preserve">draft </w:t>
      </w:r>
      <w:r w:rsidRPr="001A48D3">
        <w:t xml:space="preserve">RIS indicated that </w:t>
      </w:r>
      <w:r w:rsidR="00CA1DB5" w:rsidRPr="001A48D3">
        <w:t xml:space="preserve">a decision on fuel standards is outside the scope of this </w:t>
      </w:r>
      <w:r w:rsidR="00CD7F5E" w:rsidRPr="001A48D3">
        <w:t xml:space="preserve">vehicle emissions </w:t>
      </w:r>
      <w:r w:rsidRPr="001A48D3">
        <w:t>RIS process, and that any recommendations out of th</w:t>
      </w:r>
      <w:r w:rsidR="00251CE3" w:rsidRPr="001A48D3">
        <w:t>is</w:t>
      </w:r>
      <w:r w:rsidRPr="001A48D3">
        <w:t xml:space="preserve"> process relating to fuel quality would be referred to </w:t>
      </w:r>
      <w:r w:rsidR="00A0173B" w:rsidRPr="001A48D3">
        <w:t>DSEWPC</w:t>
      </w:r>
      <w:r w:rsidR="00CD7F5E" w:rsidRPr="001A48D3">
        <w:t xml:space="preserve"> as the agency</w:t>
      </w:r>
      <w:r w:rsidRPr="001A48D3">
        <w:t xml:space="preserve"> respons</w:t>
      </w:r>
      <w:r w:rsidR="00CD7F5E" w:rsidRPr="001A48D3">
        <w:t>ible for fuel quality standards</w:t>
      </w:r>
      <w:r w:rsidRPr="001A48D3">
        <w:t>.</w:t>
      </w:r>
      <w:r w:rsidR="00C22AD2" w:rsidRPr="001A48D3">
        <w:t xml:space="preserve">  </w:t>
      </w:r>
    </w:p>
    <w:p w:rsidR="006926D6" w:rsidRPr="001A48D3" w:rsidRDefault="00925BAF" w:rsidP="00C4701A">
      <w:pPr>
        <w:spacing w:after="120"/>
        <w:rPr>
          <w:rFonts w:cs="Arial"/>
          <w:szCs w:val="24"/>
        </w:rPr>
      </w:pPr>
      <w:r w:rsidRPr="001A48D3">
        <w:rPr>
          <w:rFonts w:cs="Arial"/>
          <w:szCs w:val="24"/>
        </w:rPr>
        <w:br w:type="page"/>
      </w:r>
    </w:p>
    <w:p w:rsidR="00896A37" w:rsidRPr="001A48D3" w:rsidRDefault="00DF4665" w:rsidP="00C4701A">
      <w:pPr>
        <w:pStyle w:val="Heading1"/>
      </w:pPr>
      <w:bookmarkStart w:id="109" w:name="_Toc430182567"/>
      <w:bookmarkStart w:id="110" w:name="_Toc89846675"/>
      <w:r>
        <w:lastRenderedPageBreak/>
        <w:t>6</w:t>
      </w:r>
      <w:r>
        <w:tab/>
        <w:t>C</w:t>
      </w:r>
      <w:r w:rsidR="007F1C5C" w:rsidRPr="001A48D3">
        <w:t xml:space="preserve">onclusion and </w:t>
      </w:r>
      <w:r>
        <w:t>R</w:t>
      </w:r>
      <w:r w:rsidR="007F1C5C" w:rsidRPr="001A48D3">
        <w:t xml:space="preserve">ecommended </w:t>
      </w:r>
      <w:r>
        <w:t>O</w:t>
      </w:r>
      <w:r w:rsidR="007F1C5C" w:rsidRPr="001A48D3">
        <w:t>ption</w:t>
      </w:r>
      <w:bookmarkEnd w:id="109"/>
      <w:r w:rsidR="007F1C5C" w:rsidRPr="001A48D3">
        <w:t xml:space="preserve"> </w:t>
      </w:r>
      <w:bookmarkEnd w:id="110"/>
    </w:p>
    <w:p w:rsidR="00896A37" w:rsidRPr="001A48D3" w:rsidRDefault="00DF4665" w:rsidP="00153F3E">
      <w:pPr>
        <w:pStyle w:val="Heading2"/>
      </w:pPr>
      <w:bookmarkStart w:id="111" w:name="_Toc430182568"/>
      <w:r>
        <w:t>6.1</w:t>
      </w:r>
      <w:r>
        <w:tab/>
      </w:r>
      <w:r w:rsidR="00CF3448" w:rsidRPr="001A48D3">
        <w:t>Conclusion</w:t>
      </w:r>
      <w:bookmarkEnd w:id="111"/>
    </w:p>
    <w:p w:rsidR="00F62CD3" w:rsidRPr="001A48D3" w:rsidRDefault="0095502B" w:rsidP="00C4701A">
      <w:pPr>
        <w:spacing w:after="120"/>
      </w:pPr>
      <w:r w:rsidRPr="001A48D3">
        <w:t>T</w:t>
      </w:r>
      <w:r w:rsidR="00CF3448" w:rsidRPr="001A48D3">
        <w:t xml:space="preserve">he </w:t>
      </w:r>
      <w:r w:rsidRPr="001A48D3">
        <w:t xml:space="preserve">benefit-cost </w:t>
      </w:r>
      <w:r w:rsidR="00CF3448" w:rsidRPr="001A48D3">
        <w:t xml:space="preserve">analysis </w:t>
      </w:r>
      <w:r w:rsidR="00D56AAC" w:rsidRPr="001A48D3">
        <w:t xml:space="preserve">(BCA) </w:t>
      </w:r>
      <w:r w:rsidR="00CF3448" w:rsidRPr="001A48D3">
        <w:t>undertaken in the</w:t>
      </w:r>
      <w:r w:rsidRPr="001A48D3">
        <w:t xml:space="preserve"> preparation of this </w:t>
      </w:r>
      <w:r w:rsidR="00D022D2" w:rsidRPr="001A48D3">
        <w:t>RIS</w:t>
      </w:r>
      <w:r w:rsidRPr="001A48D3">
        <w:t xml:space="preserve"> has demonstrated</w:t>
      </w:r>
      <w:r w:rsidR="00CF3448" w:rsidRPr="001A48D3">
        <w:t xml:space="preserve"> a net benefit in adopting</w:t>
      </w:r>
      <w:r w:rsidR="00294406" w:rsidRPr="001A48D3">
        <w:t xml:space="preserve"> the Euro 5/6 </w:t>
      </w:r>
      <w:r w:rsidR="00AF01A3" w:rsidRPr="001A48D3">
        <w:t>emissions</w:t>
      </w:r>
      <w:r w:rsidR="00294406" w:rsidRPr="001A48D3">
        <w:t xml:space="preserve"> standards for </w:t>
      </w:r>
      <w:r w:rsidR="00DC19C9" w:rsidRPr="001A48D3">
        <w:t xml:space="preserve">the new </w:t>
      </w:r>
      <w:r w:rsidR="00294406" w:rsidRPr="001A48D3">
        <w:t>light vehicle</w:t>
      </w:r>
      <w:r w:rsidR="00DC19C9" w:rsidRPr="001A48D3">
        <w:t xml:space="preserve"> fleet under all scenarios (except in the unlikely circumstances where the avoided health costs are discounted by 50%).  </w:t>
      </w:r>
    </w:p>
    <w:p w:rsidR="00F62CD3" w:rsidRPr="001A48D3" w:rsidRDefault="00DC19C9" w:rsidP="00C4701A">
      <w:pPr>
        <w:spacing w:after="120"/>
      </w:pPr>
      <w:r w:rsidRPr="001A48D3">
        <w:t xml:space="preserve">The net benefit </w:t>
      </w:r>
      <w:r w:rsidR="00E86EB4" w:rsidRPr="001A48D3">
        <w:t>under</w:t>
      </w:r>
      <w:r w:rsidRPr="001A48D3">
        <w:t xml:space="preserve"> base case</w:t>
      </w:r>
      <w:r w:rsidR="00E86EB4" w:rsidRPr="001A48D3">
        <w:t xml:space="preserve"> assumptions</w:t>
      </w:r>
      <w:r w:rsidRPr="001A48D3">
        <w:rPr>
          <w:rStyle w:val="FootnoteReference"/>
        </w:rPr>
        <w:footnoteReference w:id="48"/>
      </w:r>
      <w:r w:rsidRPr="001A48D3">
        <w:t xml:space="preserve"> for the whole </w:t>
      </w:r>
      <w:r w:rsidR="00E86EB4" w:rsidRPr="001A48D3">
        <w:t>light vehicle fleet ranges</w:t>
      </w:r>
      <w:r w:rsidRPr="001A48D3">
        <w:t xml:space="preserve"> from $579 million </w:t>
      </w:r>
      <w:r w:rsidR="00E86EB4" w:rsidRPr="001A48D3">
        <w:t xml:space="preserve">(Option 2) </w:t>
      </w:r>
      <w:r w:rsidRPr="001A48D3">
        <w:t>to $604 million</w:t>
      </w:r>
      <w:r w:rsidR="00E86EB4" w:rsidRPr="001A48D3">
        <w:t xml:space="preserve"> (Option 3)</w:t>
      </w:r>
      <w:r w:rsidRPr="001A48D3">
        <w:t xml:space="preserve">, depending on the start date for the standards.  </w:t>
      </w:r>
      <w:r w:rsidR="00F62CD3" w:rsidRPr="001A48D3">
        <w:t xml:space="preserve">The BCA also identifies that the overall net benefit in the base case is due to the </w:t>
      </w:r>
      <w:r w:rsidR="009E66EC" w:rsidRPr="001A48D3">
        <w:t xml:space="preserve">avoided health costs from the very large </w:t>
      </w:r>
      <w:r w:rsidR="00E86EB4" w:rsidRPr="001A48D3">
        <w:t xml:space="preserve">PM </w:t>
      </w:r>
      <w:r w:rsidR="00F62CD3" w:rsidRPr="001A48D3">
        <w:t>emissions reductions from diesel vehicles meeting the new standards</w:t>
      </w:r>
      <w:r w:rsidR="00E86EB4" w:rsidRPr="001A48D3">
        <w:t>.  U</w:t>
      </w:r>
      <w:r w:rsidR="00F62CD3" w:rsidRPr="001A48D3">
        <w:t xml:space="preserve">nder </w:t>
      </w:r>
      <w:r w:rsidR="00E86EB4" w:rsidRPr="001A48D3">
        <w:t xml:space="preserve">base case conditions, </w:t>
      </w:r>
      <w:r w:rsidR="00F62CD3" w:rsidRPr="001A48D3">
        <w:t xml:space="preserve">the BCA </w:t>
      </w:r>
      <w:r w:rsidR="00E86EB4" w:rsidRPr="001A48D3">
        <w:t xml:space="preserve">concludes that </w:t>
      </w:r>
      <w:r w:rsidR="00F62CD3" w:rsidRPr="001A48D3">
        <w:t>the “diesel only” option (Option 4) has the highest net benefit</w:t>
      </w:r>
      <w:r w:rsidR="00E86EB4" w:rsidRPr="001A48D3">
        <w:t xml:space="preserve"> at $807</w:t>
      </w:r>
      <w:r w:rsidR="00974949" w:rsidRPr="001A48D3">
        <w:t xml:space="preserve"> million</w:t>
      </w:r>
      <w:r w:rsidR="00F62CD3" w:rsidRPr="001A48D3">
        <w:t>.  Under the BCA, the application of the Euro 5/</w:t>
      </w:r>
      <w:r w:rsidR="00E86EB4" w:rsidRPr="001A48D3">
        <w:t>6 standards to petrol vehicles incurs net costs</w:t>
      </w:r>
      <w:r w:rsidR="00F62CD3" w:rsidRPr="001A48D3">
        <w:t xml:space="preserve">.  </w:t>
      </w:r>
    </w:p>
    <w:p w:rsidR="00E86EB4" w:rsidRPr="001A48D3" w:rsidRDefault="00F62CD3" w:rsidP="00C4701A">
      <w:pPr>
        <w:spacing w:after="120"/>
      </w:pPr>
      <w:r w:rsidRPr="001A48D3">
        <w:t>There are</w:t>
      </w:r>
      <w:r w:rsidR="009E66EC" w:rsidRPr="001A48D3">
        <w:t>,</w:t>
      </w:r>
      <w:r w:rsidRPr="001A48D3">
        <w:t xml:space="preserve"> however, non-quantified benefits from the adoption of Euro 5/6 standards for petrol vehicles </w:t>
      </w:r>
      <w:r w:rsidR="00E86EB4" w:rsidRPr="001A48D3">
        <w:t xml:space="preserve">which are not incorporated in the BCA </w:t>
      </w:r>
      <w:r w:rsidRPr="001A48D3">
        <w:t xml:space="preserve">(see discussion in Section 6.2).  </w:t>
      </w:r>
    </w:p>
    <w:p w:rsidR="00DC19C9" w:rsidRPr="001A48D3" w:rsidRDefault="00DC19C9" w:rsidP="00C4701A">
      <w:pPr>
        <w:spacing w:after="120"/>
      </w:pPr>
      <w:r w:rsidRPr="001A48D3">
        <w:t xml:space="preserve">The sensitivity analyses on the </w:t>
      </w:r>
      <w:r w:rsidR="00DF5DBC" w:rsidRPr="001A48D3">
        <w:t>base</w:t>
      </w:r>
      <w:r w:rsidRPr="001A48D3">
        <w:t xml:space="preserve"> case indicate </w:t>
      </w:r>
      <w:r w:rsidR="00DF5DBC" w:rsidRPr="001A48D3">
        <w:t xml:space="preserve">that the strongest influences on the </w:t>
      </w:r>
      <w:r w:rsidRPr="001A48D3">
        <w:t xml:space="preserve">net benefit </w:t>
      </w:r>
      <w:r w:rsidR="009E66EC" w:rsidRPr="001A48D3">
        <w:t xml:space="preserve">are </w:t>
      </w:r>
      <w:r w:rsidR="00DF5DBC" w:rsidRPr="001A48D3">
        <w:t xml:space="preserve">the assumptions regarding avoided health costs, the value of a statistical life, the length of the analysis period, the start date for the standards and the discount rate.  </w:t>
      </w:r>
      <w:r w:rsidR="00E86EB4" w:rsidRPr="001A48D3">
        <w:t>T</w:t>
      </w:r>
      <w:r w:rsidR="008E0C3A" w:rsidRPr="001A48D3">
        <w:t xml:space="preserve">he lowest and highest outcomes </w:t>
      </w:r>
      <w:r w:rsidR="00E86EB4" w:rsidRPr="001A48D3">
        <w:t>from the sensitivity analyses, are set out in Table 22.</w:t>
      </w:r>
    </w:p>
    <w:p w:rsidR="009576B4" w:rsidRPr="001A48D3" w:rsidRDefault="009576B4" w:rsidP="00B52F7D">
      <w:pPr>
        <w:pStyle w:val="Heading3"/>
      </w:pPr>
      <w:bookmarkStart w:id="112" w:name="_Toc430182569"/>
      <w:r w:rsidRPr="001A48D3">
        <w:t>Table 22</w:t>
      </w:r>
      <w:r w:rsidRPr="001A48D3">
        <w:tab/>
        <w:t>Best/Worst NPV Estimates under Sensitivity Analyses</w:t>
      </w:r>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713"/>
      </w:tblGrid>
      <w:tr w:rsidR="008E0C3A" w:rsidRPr="001A48D3" w:rsidTr="00153F3E">
        <w:trPr>
          <w:tblHeader/>
        </w:trPr>
        <w:tc>
          <w:tcPr>
            <w:tcW w:w="1809" w:type="dxa"/>
            <w:shd w:val="clear" w:color="auto" w:fill="FFC000"/>
            <w:vAlign w:val="center"/>
          </w:tcPr>
          <w:p w:rsidR="005F4F7A" w:rsidRPr="001A48D3" w:rsidRDefault="008E0C3A" w:rsidP="00C4701A">
            <w:pPr>
              <w:spacing w:before="120" w:after="120"/>
              <w:jc w:val="center"/>
              <w:rPr>
                <w:b/>
                <w:sz w:val="22"/>
                <w:szCs w:val="22"/>
              </w:rPr>
            </w:pPr>
            <w:r w:rsidRPr="001A48D3">
              <w:rPr>
                <w:b/>
                <w:sz w:val="22"/>
                <w:szCs w:val="22"/>
              </w:rPr>
              <w:t>NPV ($million)</w:t>
            </w:r>
          </w:p>
        </w:tc>
        <w:tc>
          <w:tcPr>
            <w:tcW w:w="6713" w:type="dxa"/>
            <w:shd w:val="clear" w:color="auto" w:fill="FFC000"/>
            <w:vAlign w:val="center"/>
          </w:tcPr>
          <w:p w:rsidR="008E0C3A" w:rsidRPr="001A48D3" w:rsidRDefault="008E0C3A" w:rsidP="00C4701A">
            <w:pPr>
              <w:spacing w:before="120" w:after="120"/>
              <w:jc w:val="center"/>
              <w:rPr>
                <w:b/>
                <w:sz w:val="22"/>
                <w:szCs w:val="22"/>
              </w:rPr>
            </w:pPr>
            <w:r w:rsidRPr="001A48D3">
              <w:rPr>
                <w:b/>
                <w:sz w:val="22"/>
                <w:szCs w:val="22"/>
              </w:rPr>
              <w:t>Sensitivity Condition</w:t>
            </w:r>
            <w:r w:rsidR="00F62CD3" w:rsidRPr="001A48D3">
              <w:rPr>
                <w:b/>
                <w:sz w:val="22"/>
                <w:szCs w:val="22"/>
              </w:rPr>
              <w:t xml:space="preserve"> (relative to base case)</w:t>
            </w:r>
          </w:p>
        </w:tc>
      </w:tr>
      <w:tr w:rsidR="008E0C3A" w:rsidRPr="001A48D3" w:rsidTr="00F47A96">
        <w:tc>
          <w:tcPr>
            <w:tcW w:w="1809" w:type="dxa"/>
          </w:tcPr>
          <w:p w:rsidR="008E0C3A" w:rsidRPr="001A48D3" w:rsidRDefault="008E0C3A" w:rsidP="00C4701A">
            <w:pPr>
              <w:spacing w:after="120"/>
              <w:rPr>
                <w:b/>
                <w:i/>
                <w:sz w:val="22"/>
                <w:szCs w:val="22"/>
              </w:rPr>
            </w:pPr>
            <w:r w:rsidRPr="001A48D3">
              <w:rPr>
                <w:b/>
                <w:i/>
                <w:sz w:val="22"/>
                <w:szCs w:val="22"/>
              </w:rPr>
              <w:t>Worst</w:t>
            </w:r>
          </w:p>
        </w:tc>
        <w:tc>
          <w:tcPr>
            <w:tcW w:w="6713" w:type="dxa"/>
          </w:tcPr>
          <w:p w:rsidR="008E0C3A" w:rsidRPr="001A48D3" w:rsidRDefault="008E0C3A" w:rsidP="00C4701A">
            <w:pPr>
              <w:spacing w:after="120"/>
              <w:rPr>
                <w:sz w:val="22"/>
                <w:szCs w:val="22"/>
              </w:rPr>
            </w:pPr>
          </w:p>
        </w:tc>
      </w:tr>
      <w:tr w:rsidR="008E0C3A" w:rsidRPr="001A48D3" w:rsidTr="00F47A96">
        <w:tc>
          <w:tcPr>
            <w:tcW w:w="1809" w:type="dxa"/>
          </w:tcPr>
          <w:p w:rsidR="008E0C3A" w:rsidRPr="001A48D3" w:rsidRDefault="008E0C3A" w:rsidP="00C4701A">
            <w:pPr>
              <w:spacing w:after="120"/>
              <w:rPr>
                <w:sz w:val="22"/>
                <w:szCs w:val="22"/>
              </w:rPr>
            </w:pPr>
            <w:r w:rsidRPr="001A48D3">
              <w:rPr>
                <w:sz w:val="22"/>
                <w:szCs w:val="22"/>
              </w:rPr>
              <w:t>-485 (net cost)</w:t>
            </w:r>
          </w:p>
        </w:tc>
        <w:tc>
          <w:tcPr>
            <w:tcW w:w="6713" w:type="dxa"/>
          </w:tcPr>
          <w:p w:rsidR="008E0C3A" w:rsidRPr="001A48D3" w:rsidRDefault="008E0C3A" w:rsidP="00C4701A">
            <w:pPr>
              <w:spacing w:after="120"/>
              <w:rPr>
                <w:sz w:val="22"/>
                <w:szCs w:val="22"/>
              </w:rPr>
            </w:pPr>
            <w:r w:rsidRPr="001A48D3">
              <w:rPr>
                <w:sz w:val="22"/>
                <w:szCs w:val="22"/>
              </w:rPr>
              <w:t xml:space="preserve">Avoided health cost 50% lower </w:t>
            </w:r>
          </w:p>
        </w:tc>
      </w:tr>
      <w:tr w:rsidR="008E0C3A" w:rsidRPr="001A48D3" w:rsidTr="00F47A96">
        <w:tc>
          <w:tcPr>
            <w:tcW w:w="1809" w:type="dxa"/>
          </w:tcPr>
          <w:p w:rsidR="008E0C3A" w:rsidRPr="001A48D3" w:rsidRDefault="008E0C3A" w:rsidP="00C4701A">
            <w:pPr>
              <w:spacing w:after="120"/>
              <w:rPr>
                <w:sz w:val="22"/>
                <w:szCs w:val="22"/>
              </w:rPr>
            </w:pPr>
            <w:r w:rsidRPr="001A48D3">
              <w:rPr>
                <w:sz w:val="22"/>
                <w:szCs w:val="22"/>
              </w:rPr>
              <w:t xml:space="preserve">20 </w:t>
            </w:r>
          </w:p>
        </w:tc>
        <w:tc>
          <w:tcPr>
            <w:tcW w:w="6713" w:type="dxa"/>
          </w:tcPr>
          <w:p w:rsidR="008E0C3A" w:rsidRPr="001A48D3" w:rsidRDefault="008E0C3A" w:rsidP="00C4701A">
            <w:pPr>
              <w:spacing w:after="120"/>
              <w:rPr>
                <w:sz w:val="22"/>
                <w:szCs w:val="22"/>
              </w:rPr>
            </w:pPr>
            <w:r w:rsidRPr="001A48D3">
              <w:rPr>
                <w:sz w:val="22"/>
                <w:szCs w:val="22"/>
              </w:rPr>
              <w:t>Value of Statistical life reduced from $6million to $3.7million</w:t>
            </w:r>
          </w:p>
        </w:tc>
      </w:tr>
      <w:tr w:rsidR="008E0C3A" w:rsidRPr="001A48D3" w:rsidTr="00F47A96">
        <w:tc>
          <w:tcPr>
            <w:tcW w:w="1809" w:type="dxa"/>
          </w:tcPr>
          <w:p w:rsidR="008E0C3A" w:rsidRPr="001A48D3" w:rsidRDefault="008E0C3A" w:rsidP="00C4701A">
            <w:pPr>
              <w:spacing w:after="120"/>
              <w:rPr>
                <w:sz w:val="22"/>
                <w:szCs w:val="22"/>
              </w:rPr>
            </w:pPr>
            <w:r w:rsidRPr="001A48D3">
              <w:rPr>
                <w:sz w:val="22"/>
                <w:szCs w:val="22"/>
              </w:rPr>
              <w:t>132</w:t>
            </w:r>
          </w:p>
        </w:tc>
        <w:tc>
          <w:tcPr>
            <w:tcW w:w="6713" w:type="dxa"/>
          </w:tcPr>
          <w:p w:rsidR="008E0C3A" w:rsidRPr="001A48D3" w:rsidRDefault="008E0C3A" w:rsidP="00C4701A">
            <w:pPr>
              <w:spacing w:after="120"/>
              <w:rPr>
                <w:sz w:val="22"/>
                <w:szCs w:val="22"/>
              </w:rPr>
            </w:pPr>
            <w:r w:rsidRPr="001A48D3">
              <w:rPr>
                <w:sz w:val="22"/>
                <w:szCs w:val="22"/>
              </w:rPr>
              <w:t>Discount rate increased from 7% to 11%</w:t>
            </w:r>
          </w:p>
        </w:tc>
      </w:tr>
      <w:tr w:rsidR="008E0C3A" w:rsidRPr="001A48D3" w:rsidTr="00F47A96">
        <w:tc>
          <w:tcPr>
            <w:tcW w:w="1809" w:type="dxa"/>
          </w:tcPr>
          <w:p w:rsidR="008E0C3A" w:rsidRPr="001A48D3" w:rsidRDefault="008E0C3A" w:rsidP="00C4701A">
            <w:pPr>
              <w:spacing w:after="120"/>
              <w:rPr>
                <w:sz w:val="22"/>
                <w:szCs w:val="22"/>
              </w:rPr>
            </w:pPr>
            <w:r w:rsidRPr="001A48D3">
              <w:rPr>
                <w:sz w:val="22"/>
                <w:szCs w:val="22"/>
              </w:rPr>
              <w:t>147</w:t>
            </w:r>
          </w:p>
        </w:tc>
        <w:tc>
          <w:tcPr>
            <w:tcW w:w="6713" w:type="dxa"/>
          </w:tcPr>
          <w:p w:rsidR="008E0C3A" w:rsidRPr="001A48D3" w:rsidRDefault="009E66EC" w:rsidP="00C4701A">
            <w:pPr>
              <w:spacing w:after="120"/>
              <w:rPr>
                <w:sz w:val="22"/>
                <w:szCs w:val="22"/>
              </w:rPr>
            </w:pPr>
            <w:r w:rsidRPr="001A48D3">
              <w:rPr>
                <w:sz w:val="22"/>
                <w:szCs w:val="22"/>
              </w:rPr>
              <w:t xml:space="preserve">Start dates </w:t>
            </w:r>
            <w:r w:rsidR="008E0C3A" w:rsidRPr="001A48D3">
              <w:rPr>
                <w:sz w:val="22"/>
                <w:szCs w:val="22"/>
              </w:rPr>
              <w:t>delay</w:t>
            </w:r>
            <w:r w:rsidRPr="001A48D3">
              <w:rPr>
                <w:sz w:val="22"/>
                <w:szCs w:val="22"/>
              </w:rPr>
              <w:t xml:space="preserve">ed by 3-4 years </w:t>
            </w:r>
          </w:p>
        </w:tc>
      </w:tr>
      <w:tr w:rsidR="008E0C3A" w:rsidRPr="001A48D3" w:rsidTr="00F47A96">
        <w:tc>
          <w:tcPr>
            <w:tcW w:w="1809" w:type="dxa"/>
          </w:tcPr>
          <w:p w:rsidR="008E0C3A" w:rsidRPr="001A48D3" w:rsidRDefault="008E0C3A" w:rsidP="00C4701A">
            <w:pPr>
              <w:spacing w:after="120"/>
              <w:rPr>
                <w:b/>
                <w:i/>
                <w:sz w:val="22"/>
                <w:szCs w:val="22"/>
              </w:rPr>
            </w:pPr>
            <w:r w:rsidRPr="001A48D3">
              <w:rPr>
                <w:b/>
                <w:i/>
                <w:sz w:val="22"/>
                <w:szCs w:val="22"/>
              </w:rPr>
              <w:t>Best</w:t>
            </w:r>
          </w:p>
        </w:tc>
        <w:tc>
          <w:tcPr>
            <w:tcW w:w="6713" w:type="dxa"/>
          </w:tcPr>
          <w:p w:rsidR="008E0C3A" w:rsidRPr="001A48D3" w:rsidRDefault="008E0C3A" w:rsidP="00C4701A">
            <w:pPr>
              <w:spacing w:after="120"/>
              <w:rPr>
                <w:sz w:val="22"/>
                <w:szCs w:val="22"/>
              </w:rPr>
            </w:pPr>
          </w:p>
        </w:tc>
      </w:tr>
      <w:tr w:rsidR="008E0C3A" w:rsidRPr="001A48D3" w:rsidTr="00F47A96">
        <w:tc>
          <w:tcPr>
            <w:tcW w:w="1809" w:type="dxa"/>
          </w:tcPr>
          <w:p w:rsidR="008E0C3A" w:rsidRPr="001A48D3" w:rsidRDefault="008E0C3A" w:rsidP="00C4701A">
            <w:pPr>
              <w:spacing w:after="120"/>
              <w:rPr>
                <w:sz w:val="22"/>
                <w:szCs w:val="22"/>
              </w:rPr>
            </w:pPr>
            <w:r w:rsidRPr="001A48D3">
              <w:rPr>
                <w:sz w:val="22"/>
                <w:szCs w:val="22"/>
              </w:rPr>
              <w:t>1</w:t>
            </w:r>
            <w:r w:rsidR="00F62CD3" w:rsidRPr="001A48D3">
              <w:rPr>
                <w:sz w:val="22"/>
                <w:szCs w:val="22"/>
              </w:rPr>
              <w:t>,</w:t>
            </w:r>
            <w:r w:rsidRPr="001A48D3">
              <w:rPr>
                <w:sz w:val="22"/>
                <w:szCs w:val="22"/>
              </w:rPr>
              <w:t>250</w:t>
            </w:r>
          </w:p>
        </w:tc>
        <w:tc>
          <w:tcPr>
            <w:tcW w:w="6713" w:type="dxa"/>
          </w:tcPr>
          <w:p w:rsidR="008E0C3A" w:rsidRPr="001A48D3" w:rsidRDefault="00974949" w:rsidP="00C4701A">
            <w:pPr>
              <w:spacing w:after="120"/>
              <w:rPr>
                <w:sz w:val="22"/>
                <w:szCs w:val="22"/>
              </w:rPr>
            </w:pPr>
            <w:r w:rsidRPr="001A48D3">
              <w:rPr>
                <w:sz w:val="22"/>
                <w:szCs w:val="22"/>
              </w:rPr>
              <w:t>End of a</w:t>
            </w:r>
            <w:r w:rsidR="00F62CD3" w:rsidRPr="001A48D3">
              <w:rPr>
                <w:sz w:val="22"/>
                <w:szCs w:val="22"/>
              </w:rPr>
              <w:t>nalysis</w:t>
            </w:r>
            <w:r w:rsidR="00E86EB4" w:rsidRPr="001A48D3">
              <w:rPr>
                <w:sz w:val="22"/>
                <w:szCs w:val="22"/>
              </w:rPr>
              <w:t xml:space="preserve"> period extended from 2029 to</w:t>
            </w:r>
            <w:r w:rsidR="008E0C3A" w:rsidRPr="001A48D3">
              <w:rPr>
                <w:sz w:val="22"/>
                <w:szCs w:val="22"/>
              </w:rPr>
              <w:t xml:space="preserve"> 2040</w:t>
            </w:r>
          </w:p>
        </w:tc>
      </w:tr>
      <w:tr w:rsidR="008E0C3A" w:rsidRPr="001A48D3" w:rsidTr="00F47A96">
        <w:tc>
          <w:tcPr>
            <w:tcW w:w="1809" w:type="dxa"/>
          </w:tcPr>
          <w:p w:rsidR="008E0C3A" w:rsidRPr="001A48D3" w:rsidRDefault="008E0C3A" w:rsidP="00C4701A">
            <w:pPr>
              <w:spacing w:after="120"/>
              <w:rPr>
                <w:sz w:val="22"/>
                <w:szCs w:val="22"/>
              </w:rPr>
            </w:pPr>
            <w:r w:rsidRPr="001A48D3">
              <w:rPr>
                <w:sz w:val="22"/>
                <w:szCs w:val="22"/>
              </w:rPr>
              <w:t>1</w:t>
            </w:r>
            <w:r w:rsidR="00F62CD3" w:rsidRPr="001A48D3">
              <w:rPr>
                <w:sz w:val="22"/>
                <w:szCs w:val="22"/>
              </w:rPr>
              <w:t>,</w:t>
            </w:r>
            <w:r w:rsidRPr="001A48D3">
              <w:rPr>
                <w:sz w:val="22"/>
                <w:szCs w:val="22"/>
              </w:rPr>
              <w:t>576</w:t>
            </w:r>
          </w:p>
        </w:tc>
        <w:tc>
          <w:tcPr>
            <w:tcW w:w="6713" w:type="dxa"/>
          </w:tcPr>
          <w:p w:rsidR="008E0C3A" w:rsidRPr="001A48D3" w:rsidRDefault="008E0C3A" w:rsidP="00C4701A">
            <w:pPr>
              <w:spacing w:after="120"/>
              <w:rPr>
                <w:sz w:val="22"/>
                <w:szCs w:val="22"/>
              </w:rPr>
            </w:pPr>
            <w:r w:rsidRPr="001A48D3">
              <w:rPr>
                <w:sz w:val="22"/>
                <w:szCs w:val="22"/>
              </w:rPr>
              <w:t>Discount rate decreased from 7% to 3%</w:t>
            </w:r>
          </w:p>
        </w:tc>
      </w:tr>
      <w:tr w:rsidR="008E0C3A" w:rsidRPr="001A48D3" w:rsidTr="00F47A96">
        <w:tc>
          <w:tcPr>
            <w:tcW w:w="1809" w:type="dxa"/>
          </w:tcPr>
          <w:p w:rsidR="008E0C3A" w:rsidRPr="001A48D3" w:rsidRDefault="008E0C3A" w:rsidP="00C4701A">
            <w:pPr>
              <w:spacing w:after="120"/>
              <w:rPr>
                <w:sz w:val="22"/>
                <w:szCs w:val="22"/>
              </w:rPr>
            </w:pPr>
            <w:r w:rsidRPr="001A48D3">
              <w:rPr>
                <w:sz w:val="22"/>
                <w:szCs w:val="22"/>
              </w:rPr>
              <w:t>1</w:t>
            </w:r>
            <w:r w:rsidR="00F62CD3" w:rsidRPr="001A48D3">
              <w:rPr>
                <w:sz w:val="22"/>
                <w:szCs w:val="22"/>
              </w:rPr>
              <w:t>,</w:t>
            </w:r>
            <w:r w:rsidRPr="001A48D3">
              <w:rPr>
                <w:sz w:val="22"/>
                <w:szCs w:val="22"/>
              </w:rPr>
              <w:t>643</w:t>
            </w:r>
          </w:p>
        </w:tc>
        <w:tc>
          <w:tcPr>
            <w:tcW w:w="6713" w:type="dxa"/>
          </w:tcPr>
          <w:p w:rsidR="008E0C3A" w:rsidRPr="001A48D3" w:rsidRDefault="00F62CD3" w:rsidP="00C4701A">
            <w:pPr>
              <w:spacing w:after="120"/>
              <w:rPr>
                <w:sz w:val="22"/>
                <w:szCs w:val="22"/>
              </w:rPr>
            </w:pPr>
            <w:r w:rsidRPr="001A48D3">
              <w:rPr>
                <w:sz w:val="22"/>
                <w:szCs w:val="22"/>
              </w:rPr>
              <w:t xml:space="preserve">Avoided health cost 50% </w:t>
            </w:r>
            <w:r w:rsidR="00E86EB4" w:rsidRPr="001A48D3">
              <w:rPr>
                <w:sz w:val="22"/>
                <w:szCs w:val="22"/>
              </w:rPr>
              <w:t>higher</w:t>
            </w:r>
          </w:p>
        </w:tc>
      </w:tr>
    </w:tbl>
    <w:p w:rsidR="00294406" w:rsidRPr="001A48D3" w:rsidRDefault="003A75D1" w:rsidP="00C4701A">
      <w:pPr>
        <w:spacing w:after="120"/>
      </w:pPr>
      <w:r w:rsidRPr="001A48D3">
        <w:lastRenderedPageBreak/>
        <w:t>Th</w:t>
      </w:r>
      <w:r w:rsidR="00E97E8D" w:rsidRPr="001A48D3">
        <w:t>is</w:t>
      </w:r>
      <w:r w:rsidRPr="001A48D3">
        <w:t xml:space="preserve"> </w:t>
      </w:r>
      <w:r w:rsidR="00005ADA" w:rsidRPr="001A48D3">
        <w:t xml:space="preserve">final RIS </w:t>
      </w:r>
      <w:r w:rsidRPr="001A48D3">
        <w:t>makes no specific recommendations regarding fuel standards</w:t>
      </w:r>
      <w:r w:rsidR="00522F08" w:rsidRPr="001A48D3">
        <w:t xml:space="preserve">, but suggests that the Fuel Standards Consultative Committee consider any potential impacts for fuel quality which may arise from the adoption of Euro 5/6 standards for light vehicles.  </w:t>
      </w:r>
    </w:p>
    <w:p w:rsidR="00294406" w:rsidRPr="001A48D3" w:rsidRDefault="00DF4665" w:rsidP="00153F3E">
      <w:pPr>
        <w:pStyle w:val="Heading2"/>
      </w:pPr>
      <w:bookmarkStart w:id="113" w:name="_Toc430182570"/>
      <w:r>
        <w:t>6.2</w:t>
      </w:r>
      <w:r>
        <w:tab/>
      </w:r>
      <w:r w:rsidR="00294406" w:rsidRPr="001A48D3">
        <w:t>Recommended Option</w:t>
      </w:r>
      <w:bookmarkEnd w:id="113"/>
    </w:p>
    <w:p w:rsidR="008434FC" w:rsidRPr="001A48D3" w:rsidRDefault="00C22AD2" w:rsidP="00C4701A">
      <w:pPr>
        <w:spacing w:after="120"/>
      </w:pPr>
      <w:r w:rsidRPr="001A48D3">
        <w:t xml:space="preserve">The draft RIS considered six options, </w:t>
      </w:r>
      <w:r w:rsidR="00974949" w:rsidRPr="001A48D3">
        <w:t>comprising</w:t>
      </w:r>
      <w:r w:rsidRPr="001A48D3">
        <w:t xml:space="preserve"> the status quo option</w:t>
      </w:r>
      <w:r w:rsidR="00F51D25" w:rsidRPr="001A48D3">
        <w:t xml:space="preserve">, </w:t>
      </w:r>
      <w:r w:rsidR="009E66EC" w:rsidRPr="001A48D3">
        <w:t xml:space="preserve">four options </w:t>
      </w:r>
      <w:r w:rsidR="008434FC" w:rsidRPr="001A48D3">
        <w:t>introduc</w:t>
      </w:r>
      <w:r w:rsidR="009E66EC" w:rsidRPr="001A48D3">
        <w:t>ing</w:t>
      </w:r>
      <w:r w:rsidR="008434FC" w:rsidRPr="001A48D3">
        <w:t xml:space="preserve"> Euro 5/6 standards on a range of timelines, </w:t>
      </w:r>
      <w:r w:rsidR="009E66EC" w:rsidRPr="001A48D3">
        <w:t xml:space="preserve">and </w:t>
      </w:r>
      <w:r w:rsidR="008434FC" w:rsidRPr="001A48D3">
        <w:t xml:space="preserve">one option (Option 4) limited to diesel </w:t>
      </w:r>
      <w:proofErr w:type="spellStart"/>
      <w:r w:rsidR="008434FC" w:rsidRPr="001A48D3">
        <w:t>engined</w:t>
      </w:r>
      <w:proofErr w:type="spellEnd"/>
      <w:r w:rsidR="008434FC" w:rsidRPr="001A48D3">
        <w:t xml:space="preserve"> vehicles</w:t>
      </w:r>
      <w:r w:rsidRPr="001A48D3">
        <w:t xml:space="preserve">.  </w:t>
      </w:r>
    </w:p>
    <w:p w:rsidR="00F51D25" w:rsidRPr="001A48D3" w:rsidRDefault="00C22AD2" w:rsidP="00C4701A">
      <w:pPr>
        <w:spacing w:after="120"/>
      </w:pPr>
      <w:r w:rsidRPr="001A48D3">
        <w:t xml:space="preserve">Following discussions with the FCAI regarding their concerns </w:t>
      </w:r>
      <w:r w:rsidR="00F51D25" w:rsidRPr="001A48D3">
        <w:t xml:space="preserve">over implementation timing, </w:t>
      </w:r>
      <w:r w:rsidR="00D35D46" w:rsidRPr="001A48D3">
        <w:t>the impact of a range of delayed implementation dates</w:t>
      </w:r>
      <w:r w:rsidR="00F51D25" w:rsidRPr="001A48D3">
        <w:t xml:space="preserve"> was </w:t>
      </w:r>
      <w:r w:rsidR="008B39CB" w:rsidRPr="001A48D3">
        <w:t xml:space="preserve">also </w:t>
      </w:r>
      <w:r w:rsidR="00F51D25" w:rsidRPr="001A48D3">
        <w:t xml:space="preserve">assessed in the BCA.  </w:t>
      </w:r>
      <w:r w:rsidR="00F141AD" w:rsidRPr="001A48D3">
        <w:t xml:space="preserve">A modified version of Option 3 was also prepared </w:t>
      </w:r>
      <w:r w:rsidR="000A5F1F" w:rsidRPr="001A48D3">
        <w:t xml:space="preserve">for this </w:t>
      </w:r>
      <w:r w:rsidR="00005ADA" w:rsidRPr="001A48D3">
        <w:t xml:space="preserve">final </w:t>
      </w:r>
      <w:r w:rsidR="000A5F1F" w:rsidRPr="001A48D3">
        <w:t>RIS</w:t>
      </w:r>
      <w:r w:rsidR="00F141AD" w:rsidRPr="001A48D3">
        <w:t xml:space="preserve"> to take account of the final text of ECE</w:t>
      </w:r>
      <w:r w:rsidR="008B39CB" w:rsidRPr="001A48D3">
        <w:t> </w:t>
      </w:r>
      <w:r w:rsidR="00F141AD" w:rsidRPr="001A48D3">
        <w:t>Regulation</w:t>
      </w:r>
      <w:r w:rsidR="003710C8" w:rsidRPr="001A48D3">
        <w:t> </w:t>
      </w:r>
      <w:r w:rsidR="00F141AD" w:rsidRPr="001A48D3">
        <w:t xml:space="preserve">83/06 (which is the technical standard </w:t>
      </w:r>
      <w:r w:rsidR="00C0643B" w:rsidRPr="001A48D3">
        <w:t>giving</w:t>
      </w:r>
      <w:r w:rsidR="00F141AD" w:rsidRPr="001A48D3">
        <w:t xml:space="preserve"> effect to the Euro 5 emissions standards).</w:t>
      </w:r>
    </w:p>
    <w:p w:rsidR="008434FC" w:rsidRPr="001A48D3" w:rsidRDefault="008434FC" w:rsidP="00C4701A">
      <w:pPr>
        <w:spacing w:after="120"/>
      </w:pPr>
      <w:r w:rsidRPr="001A48D3">
        <w:t>As noted in Section 6.1, under base case scenarios, Option 4</w:t>
      </w:r>
      <w:r w:rsidR="008B39CB" w:rsidRPr="001A48D3">
        <w:t xml:space="preserve"> - </w:t>
      </w:r>
      <w:r w:rsidRPr="001A48D3">
        <w:t xml:space="preserve">which would see the new standards apply to diesel </w:t>
      </w:r>
      <w:proofErr w:type="spellStart"/>
      <w:r w:rsidRPr="001A48D3">
        <w:t>engined</w:t>
      </w:r>
      <w:proofErr w:type="spellEnd"/>
      <w:r w:rsidRPr="001A48D3">
        <w:t xml:space="preserve"> vehicles only</w:t>
      </w:r>
      <w:r w:rsidR="008B39CB" w:rsidRPr="001A48D3">
        <w:t xml:space="preserve"> - </w:t>
      </w:r>
      <w:r w:rsidRPr="001A48D3">
        <w:t>delivers the largest net benefit, and as such would normally be the recommended option.  However, as explained below, this RIS recommends the adoption of an option which applies the new standards to petrol, LPG</w:t>
      </w:r>
      <w:r w:rsidR="008B39CB" w:rsidRPr="001A48D3">
        <w:t>, NG</w:t>
      </w:r>
      <w:r w:rsidRPr="001A48D3">
        <w:t xml:space="preserve"> and diesel vehicles.  </w:t>
      </w:r>
    </w:p>
    <w:p w:rsidR="008434FC" w:rsidRPr="001A48D3" w:rsidRDefault="008434FC" w:rsidP="00C4701A">
      <w:pPr>
        <w:spacing w:after="120"/>
      </w:pPr>
      <w:r w:rsidRPr="001A48D3">
        <w:t xml:space="preserve">Including petrol and </w:t>
      </w:r>
      <w:r w:rsidR="00974949" w:rsidRPr="001A48D3">
        <w:t>gas fuelled</w:t>
      </w:r>
      <w:r w:rsidRPr="001A48D3">
        <w:t xml:space="preserve"> vehicles in the new standards would ensure the </w:t>
      </w:r>
      <w:r w:rsidR="008B39CB" w:rsidRPr="001A48D3">
        <w:t>delivery</w:t>
      </w:r>
      <w:r w:rsidRPr="001A48D3">
        <w:t xml:space="preserve"> of the additional benefits flowing from adoption of Euro</w:t>
      </w:r>
      <w:r w:rsidR="008B39CB" w:rsidRPr="001A48D3">
        <w:t> </w:t>
      </w:r>
      <w:r w:rsidRPr="001A48D3">
        <w:t>5/6</w:t>
      </w:r>
      <w:r w:rsidR="00BC3EEC" w:rsidRPr="001A48D3">
        <w:t xml:space="preserve"> standards for petrol vehicles which were not quantified in the BCA</w:t>
      </w:r>
      <w:r w:rsidRPr="001A48D3">
        <w:t>.  These include:</w:t>
      </w:r>
    </w:p>
    <w:p w:rsidR="008434FC" w:rsidRPr="001A48D3" w:rsidRDefault="008434FC" w:rsidP="00C4701A">
      <w:pPr>
        <w:numPr>
          <w:ilvl w:val="0"/>
          <w:numId w:val="33"/>
        </w:numPr>
        <w:spacing w:after="120"/>
      </w:pPr>
      <w:r w:rsidRPr="001A48D3">
        <w:t>increased durability of emissions control systems;</w:t>
      </w:r>
    </w:p>
    <w:p w:rsidR="008434FC" w:rsidRPr="001A48D3" w:rsidRDefault="008434FC" w:rsidP="00C4701A">
      <w:pPr>
        <w:numPr>
          <w:ilvl w:val="0"/>
          <w:numId w:val="33"/>
        </w:numPr>
        <w:spacing w:after="120"/>
      </w:pPr>
      <w:r w:rsidRPr="001A48D3">
        <w:t>greater confidence with in-service compliance through enhanced OBD systems</w:t>
      </w:r>
      <w:r w:rsidR="00974949" w:rsidRPr="001A48D3">
        <w:t xml:space="preserve"> governing the operation of the emission control systems</w:t>
      </w:r>
      <w:r w:rsidRPr="001A48D3">
        <w:t>;</w:t>
      </w:r>
    </w:p>
    <w:p w:rsidR="008434FC" w:rsidRPr="001A48D3" w:rsidRDefault="008434FC" w:rsidP="00C4701A">
      <w:pPr>
        <w:numPr>
          <w:ilvl w:val="0"/>
          <w:numId w:val="33"/>
        </w:numPr>
        <w:spacing w:after="120"/>
      </w:pPr>
      <w:r w:rsidRPr="001A48D3">
        <w:t xml:space="preserve">removal of current concessional provisions which allow heavier passenger cars to meet more lax emissions limits; and </w:t>
      </w:r>
    </w:p>
    <w:p w:rsidR="008434FC" w:rsidRPr="001A48D3" w:rsidRDefault="008434FC" w:rsidP="00C4701A">
      <w:pPr>
        <w:numPr>
          <w:ilvl w:val="0"/>
          <w:numId w:val="33"/>
        </w:numPr>
        <w:spacing w:after="120"/>
      </w:pPr>
      <w:r w:rsidRPr="001A48D3">
        <w:t>controls on PM emissions from direct injection petrol engines.</w:t>
      </w:r>
    </w:p>
    <w:p w:rsidR="008434FC" w:rsidRPr="001A48D3" w:rsidRDefault="008434FC" w:rsidP="00C4701A">
      <w:pPr>
        <w:spacing w:after="120"/>
      </w:pPr>
      <w:r w:rsidRPr="001A48D3">
        <w:t xml:space="preserve">While data is not available to enable the BCA to quantify the additional benefits from these elements, it is reasonable to conclude they would improve the net benefit over the longer term.  </w:t>
      </w:r>
    </w:p>
    <w:p w:rsidR="008434FC" w:rsidRPr="001A48D3" w:rsidRDefault="008434FC" w:rsidP="00C4701A">
      <w:pPr>
        <w:spacing w:after="120"/>
      </w:pPr>
      <w:r w:rsidRPr="001A48D3">
        <w:t xml:space="preserve">From a cost perspective, the EC estimates which underpinned the BCA either include the costs associated with these measures (such as the removal of concessions for heavier cars) or conclude that they add no additional costs (increased durability).  </w:t>
      </w:r>
    </w:p>
    <w:p w:rsidR="008434FC" w:rsidRPr="001A48D3" w:rsidRDefault="00BC3EEC" w:rsidP="00C4701A">
      <w:pPr>
        <w:spacing w:after="120"/>
      </w:pPr>
      <w:r w:rsidRPr="001A48D3">
        <w:t>In addition, p</w:t>
      </w:r>
      <w:r w:rsidR="008434FC" w:rsidRPr="001A48D3">
        <w:t xml:space="preserve">etrol vehicles remain the dominant vehicle type in </w:t>
      </w:r>
      <w:r w:rsidRPr="001A48D3">
        <w:t>Australia’s</w:t>
      </w:r>
      <w:r w:rsidR="008434FC" w:rsidRPr="001A48D3">
        <w:t xml:space="preserve"> light vehicle sector, and their exclusion from the Euro 5/6 standards, while allowable under Australia’s current treaty obligations under the </w:t>
      </w:r>
      <w:r w:rsidR="008434FC" w:rsidRPr="001A48D3">
        <w:rPr>
          <w:i/>
        </w:rPr>
        <w:t>1958 Agreement</w:t>
      </w:r>
      <w:r w:rsidR="008434FC" w:rsidRPr="001A48D3">
        <w:t>, would nevertheless be inconsistent with the Australian Government’s desire to develop an internationally competitive vehicle industry.  As noted in the 2008 Review of Australia’s Automotive Industry</w:t>
      </w:r>
      <w:r w:rsidR="008434FC" w:rsidRPr="001A48D3">
        <w:rPr>
          <w:rStyle w:val="FootnoteReference"/>
        </w:rPr>
        <w:footnoteReference w:id="49"/>
      </w:r>
      <w:r w:rsidR="008434FC" w:rsidRPr="001A48D3">
        <w:t>:</w:t>
      </w:r>
    </w:p>
    <w:p w:rsidR="008434FC" w:rsidRPr="001A48D3" w:rsidRDefault="008434FC" w:rsidP="00C4701A">
      <w:pPr>
        <w:spacing w:after="120"/>
      </w:pPr>
      <w:r w:rsidRPr="001A48D3">
        <w:lastRenderedPageBreak/>
        <w:t>“The harmonisation of Australian Design Rules with United Nations Economic Commission for Europe regulations removes barriers to trade, and facilitates participation in global markets by the Australian automotive industry”.</w:t>
      </w:r>
    </w:p>
    <w:p w:rsidR="008434FC" w:rsidRPr="001A48D3" w:rsidRDefault="00BC3EEC" w:rsidP="00C4701A">
      <w:pPr>
        <w:spacing w:after="120"/>
      </w:pPr>
      <w:r w:rsidRPr="001A48D3">
        <w:t>For these reasons, this RIS recommends the inclusion of petrol</w:t>
      </w:r>
      <w:r w:rsidR="00974949" w:rsidRPr="001A48D3">
        <w:t>,</w:t>
      </w:r>
      <w:r w:rsidRPr="001A48D3">
        <w:t xml:space="preserve"> LPG </w:t>
      </w:r>
      <w:r w:rsidR="00974949" w:rsidRPr="001A48D3">
        <w:t xml:space="preserve">and NG </w:t>
      </w:r>
      <w:r w:rsidRPr="001A48D3">
        <w:t>vehicles within the scope of the recommended option.</w:t>
      </w:r>
    </w:p>
    <w:p w:rsidR="008B39CB" w:rsidRPr="001A48D3" w:rsidRDefault="00BC3EEC" w:rsidP="00C4701A">
      <w:pPr>
        <w:spacing w:after="120"/>
      </w:pPr>
      <w:r w:rsidRPr="001A48D3">
        <w:t xml:space="preserve">Of the two remaining base case options which include petrol </w:t>
      </w:r>
      <w:r w:rsidR="00974949" w:rsidRPr="001A48D3">
        <w:t xml:space="preserve">and gas fuelled </w:t>
      </w:r>
      <w:r w:rsidRPr="001A48D3">
        <w:t xml:space="preserve">vehicles and which were subject to the BCA, the </w:t>
      </w:r>
      <w:r w:rsidRPr="001A48D3">
        <w:rPr>
          <w:u w:val="single"/>
        </w:rPr>
        <w:t>draft</w:t>
      </w:r>
      <w:r w:rsidRPr="001A48D3">
        <w:t xml:space="preserve"> RIS recommended Option 3 over Option 2 as it provided a more realistic timeframe for industry compliance.</w:t>
      </w:r>
    </w:p>
    <w:p w:rsidR="00C0643B" w:rsidRPr="001A48D3" w:rsidRDefault="00BC3EEC" w:rsidP="00C4701A">
      <w:pPr>
        <w:spacing w:after="120"/>
      </w:pPr>
      <w:r w:rsidRPr="001A48D3">
        <w:t>In the public comment phase</w:t>
      </w:r>
      <w:r w:rsidR="008B39CB" w:rsidRPr="001A48D3">
        <w:t>,</w:t>
      </w:r>
      <w:r w:rsidRPr="001A48D3">
        <w:t xml:space="preserve"> the vehicle industry raised further concerns about the timing issue, and </w:t>
      </w:r>
      <w:r w:rsidR="008B39CB" w:rsidRPr="001A48D3">
        <w:t xml:space="preserve">as a consequence, </w:t>
      </w:r>
      <w:r w:rsidRPr="001A48D3">
        <w:t xml:space="preserve">additional </w:t>
      </w:r>
      <w:r w:rsidR="00C0643B" w:rsidRPr="001A48D3">
        <w:t xml:space="preserve">sensitivity analyses </w:t>
      </w:r>
      <w:r w:rsidRPr="001A48D3">
        <w:t xml:space="preserve">on Option 3 were undertaken on delayed timeframes.  Those analyses </w:t>
      </w:r>
      <w:r w:rsidR="00C0643B" w:rsidRPr="001A48D3">
        <w:t xml:space="preserve">indicate that the </w:t>
      </w:r>
      <w:r w:rsidRPr="001A48D3">
        <w:t>a further</w:t>
      </w:r>
      <w:r w:rsidR="00C0643B" w:rsidRPr="001A48D3">
        <w:t xml:space="preserve"> </w:t>
      </w:r>
      <w:r w:rsidR="008B39CB" w:rsidRPr="001A48D3">
        <w:t xml:space="preserve">1-2 year </w:t>
      </w:r>
      <w:r w:rsidR="00C0643B" w:rsidRPr="001A48D3">
        <w:t xml:space="preserve">delay proposed under the “Modified Option 3” </w:t>
      </w:r>
      <w:r w:rsidR="008B39CB" w:rsidRPr="001A48D3">
        <w:t xml:space="preserve">(see Section 4.5) </w:t>
      </w:r>
      <w:r w:rsidR="008F5356" w:rsidRPr="001A48D3">
        <w:t>reduces the</w:t>
      </w:r>
      <w:r w:rsidR="00C0643B" w:rsidRPr="001A48D3">
        <w:t xml:space="preserve"> net benefits</w:t>
      </w:r>
      <w:r w:rsidR="008F5356" w:rsidRPr="001A48D3">
        <w:t xml:space="preserve"> by a</w:t>
      </w:r>
      <w:r w:rsidR="006132C7" w:rsidRPr="001A48D3">
        <w:t>round 36%</w:t>
      </w:r>
      <w:r w:rsidR="003710C8" w:rsidRPr="001A48D3">
        <w:t xml:space="preserve"> over the </w:t>
      </w:r>
      <w:r w:rsidR="006132C7" w:rsidRPr="001A48D3">
        <w:t xml:space="preserve">17 year </w:t>
      </w:r>
      <w:r w:rsidR="003710C8" w:rsidRPr="001A48D3">
        <w:t>analysis period</w:t>
      </w:r>
      <w:r w:rsidR="006132C7" w:rsidRPr="001A48D3">
        <w:t xml:space="preserve">.  </w:t>
      </w:r>
      <w:r w:rsidRPr="001A48D3">
        <w:t>Despite th</w:t>
      </w:r>
      <w:r w:rsidR="008B39CB" w:rsidRPr="001A48D3">
        <w:t>is</w:t>
      </w:r>
      <w:r w:rsidRPr="001A48D3">
        <w:t xml:space="preserve"> reduction in net benefits</w:t>
      </w:r>
      <w:r w:rsidR="008B39CB" w:rsidRPr="001A48D3">
        <w:t xml:space="preserve">, </w:t>
      </w:r>
      <w:r w:rsidR="00C0643B" w:rsidRPr="001A48D3">
        <w:t xml:space="preserve">this scenario could be supported as an alternative to the </w:t>
      </w:r>
      <w:r w:rsidRPr="001A48D3">
        <w:t xml:space="preserve">original </w:t>
      </w:r>
      <w:r w:rsidR="00C0643B" w:rsidRPr="001A48D3">
        <w:t>Option 3 in the draft RIS as it would assist industry in achieving compliance at reduced cost</w:t>
      </w:r>
      <w:r w:rsidR="007E00C9" w:rsidRPr="001A48D3">
        <w:t xml:space="preserve"> by providing additional time to prepare for the new standards and a longer time to amortise investment costs for existing vehicles</w:t>
      </w:r>
      <w:r w:rsidR="008B39CB" w:rsidRPr="001A48D3">
        <w:t>.  In addition</w:t>
      </w:r>
      <w:r w:rsidR="006132C7" w:rsidRPr="001A48D3">
        <w:t>, over the longer term the net benefit</w:t>
      </w:r>
      <w:r w:rsidR="00974949" w:rsidRPr="001A48D3">
        <w:t xml:space="preserve"> scenario is </w:t>
      </w:r>
      <w:r w:rsidR="006132C7" w:rsidRPr="001A48D3">
        <w:t xml:space="preserve">likely to </w:t>
      </w:r>
      <w:r w:rsidR="0014570D" w:rsidRPr="001A48D3">
        <w:t>improve as vehicle costs fall and benefits continued to be delivered</w:t>
      </w:r>
      <w:r w:rsidR="00C0643B" w:rsidRPr="001A48D3">
        <w:t>.</w:t>
      </w:r>
    </w:p>
    <w:p w:rsidR="00C0643B" w:rsidRPr="001A48D3" w:rsidRDefault="00C0643B" w:rsidP="00C4701A">
      <w:pPr>
        <w:spacing w:after="120"/>
      </w:pPr>
      <w:r w:rsidRPr="001A48D3">
        <w:t xml:space="preserve">The </w:t>
      </w:r>
      <w:r w:rsidR="009576B4" w:rsidRPr="001A48D3">
        <w:t xml:space="preserve">RIS </w:t>
      </w:r>
      <w:r w:rsidRPr="001A48D3">
        <w:t xml:space="preserve">considers </w:t>
      </w:r>
      <w:r w:rsidR="008B39CB" w:rsidRPr="001A48D3">
        <w:t xml:space="preserve">more </w:t>
      </w:r>
      <w:r w:rsidRPr="001A48D3">
        <w:t xml:space="preserve">significant delays of 3-4 years </w:t>
      </w:r>
      <w:r w:rsidR="009576B4" w:rsidRPr="001A48D3">
        <w:t>reflecting the FCAI’s ideal timeframe for implementing the standards</w:t>
      </w:r>
      <w:r w:rsidR="009576B4" w:rsidRPr="001A48D3" w:rsidDel="009576B4">
        <w:t xml:space="preserve"> </w:t>
      </w:r>
      <w:r w:rsidRPr="001A48D3">
        <w:t xml:space="preserve">are </w:t>
      </w:r>
      <w:r w:rsidR="00706B9E" w:rsidRPr="001A48D3">
        <w:t>excessive</w:t>
      </w:r>
      <w:r w:rsidRPr="001A48D3">
        <w:t>.  They would lead to Australia’s standards being well out of step with international practice</w:t>
      </w:r>
      <w:r w:rsidR="00BA732A" w:rsidRPr="001A48D3">
        <w:t>,</w:t>
      </w:r>
      <w:r w:rsidRPr="001A48D3">
        <w:t xml:space="preserve"> significantly delay the health benefits provided by the new standards</w:t>
      </w:r>
      <w:r w:rsidR="006D23CE" w:rsidRPr="001A48D3">
        <w:t xml:space="preserve"> and lead to </w:t>
      </w:r>
      <w:r w:rsidR="006132C7" w:rsidRPr="001A48D3">
        <w:t xml:space="preserve">very </w:t>
      </w:r>
      <w:r w:rsidR="006D23CE" w:rsidRPr="001A48D3">
        <w:t>significant reductions (</w:t>
      </w:r>
      <w:r w:rsidR="006132C7" w:rsidRPr="001A48D3">
        <w:t>around 75</w:t>
      </w:r>
      <w:r w:rsidR="006D23CE" w:rsidRPr="001A48D3">
        <w:t>%) in the net benefit over the analysis period</w:t>
      </w:r>
      <w:r w:rsidRPr="001A48D3">
        <w:t xml:space="preserve">.  </w:t>
      </w:r>
    </w:p>
    <w:p w:rsidR="00AD73B9" w:rsidRPr="001A48D3" w:rsidRDefault="008B39CB" w:rsidP="00C4701A">
      <w:pPr>
        <w:spacing w:after="120"/>
      </w:pPr>
      <w:r w:rsidRPr="001A48D3">
        <w:t>After consideration of the public comment, the outcomes of the BCA and the sensitivity analyses</w:t>
      </w:r>
      <w:r w:rsidR="0014570D" w:rsidRPr="001A48D3">
        <w:t>,</w:t>
      </w:r>
      <w:r w:rsidRPr="001A48D3">
        <w:t xml:space="preserve"> and the other non-quantified benefits, and in recognition of the final text of UN ECE </w:t>
      </w:r>
      <w:proofErr w:type="spellStart"/>
      <w:r w:rsidRPr="001A48D3">
        <w:t>Reg</w:t>
      </w:r>
      <w:proofErr w:type="spellEnd"/>
      <w:r w:rsidRPr="001A48D3">
        <w:t xml:space="preserve"> 83/06, this RIS </w:t>
      </w:r>
      <w:r w:rsidR="00E97E8D" w:rsidRPr="001A48D3">
        <w:t>recommends</w:t>
      </w:r>
      <w:r w:rsidR="00AD73B9" w:rsidRPr="001A48D3">
        <w:t xml:space="preserve"> the implementation of the “Modified Option 3” evaluated</w:t>
      </w:r>
      <w:r w:rsidR="006D23CE" w:rsidRPr="001A48D3">
        <w:t xml:space="preserve"> in Section 4.5</w:t>
      </w:r>
      <w:r w:rsidR="00AD73B9" w:rsidRPr="001A48D3">
        <w:t xml:space="preserve">.  </w:t>
      </w:r>
    </w:p>
    <w:p w:rsidR="00E86EB4" w:rsidRPr="001A48D3" w:rsidRDefault="00E86EB4" w:rsidP="00C4701A">
      <w:pPr>
        <w:spacing w:after="120"/>
      </w:pPr>
      <w:r w:rsidRPr="001A48D3">
        <w:t xml:space="preserve">In summary, this </w:t>
      </w:r>
      <w:r w:rsidR="009576B4" w:rsidRPr="001A48D3">
        <w:t>means</w:t>
      </w:r>
      <w:r w:rsidRPr="001A48D3">
        <w:t xml:space="preserve"> that for </w:t>
      </w:r>
      <w:r w:rsidR="008B39CB" w:rsidRPr="001A48D3">
        <w:t>all types of new light vehicles (petrol, diesel, LPG and NG):</w:t>
      </w:r>
    </w:p>
    <w:p w:rsidR="00E86EB4" w:rsidRPr="001A48D3" w:rsidRDefault="00E86EB4" w:rsidP="00C4701A">
      <w:pPr>
        <w:numPr>
          <w:ilvl w:val="0"/>
          <w:numId w:val="34"/>
        </w:numPr>
        <w:spacing w:after="120"/>
      </w:pPr>
      <w:r w:rsidRPr="001A48D3">
        <w:t xml:space="preserve">Euro 5 emissions standards </w:t>
      </w:r>
      <w:r w:rsidR="009576B4" w:rsidRPr="001A48D3">
        <w:t xml:space="preserve">would </w:t>
      </w:r>
      <w:r w:rsidRPr="001A48D3">
        <w:t>be phased in from Ap</w:t>
      </w:r>
      <w:r w:rsidR="009576B4" w:rsidRPr="001A48D3">
        <w:t>ril 2013 as detailed in Table 23</w:t>
      </w:r>
      <w:r w:rsidR="008B39CB" w:rsidRPr="001A48D3">
        <w:t xml:space="preserve"> and</w:t>
      </w:r>
      <w:r w:rsidRPr="001A48D3">
        <w:t xml:space="preserve"> in accordance with the conditions specified in Section 6.2.1; and</w:t>
      </w:r>
    </w:p>
    <w:p w:rsidR="00E86EB4" w:rsidRPr="001A48D3" w:rsidRDefault="00E86EB4" w:rsidP="00C4701A">
      <w:pPr>
        <w:numPr>
          <w:ilvl w:val="0"/>
          <w:numId w:val="34"/>
        </w:numPr>
        <w:spacing w:after="120"/>
      </w:pPr>
      <w:r w:rsidRPr="001A48D3">
        <w:t xml:space="preserve">Euro 6 emissions standards </w:t>
      </w:r>
      <w:r w:rsidR="009576B4" w:rsidRPr="001A48D3">
        <w:t xml:space="preserve">would </w:t>
      </w:r>
      <w:r w:rsidRPr="001A48D3">
        <w:t>be phased in from April 2017 as detailed in, and in accordance with the conditions specified in, Section 6.2.2.</w:t>
      </w:r>
    </w:p>
    <w:p w:rsidR="0067682F" w:rsidRDefault="00F8249F" w:rsidP="00153F3E">
      <w:pPr>
        <w:spacing w:after="120"/>
      </w:pPr>
      <w:r w:rsidRPr="001A48D3">
        <w:t xml:space="preserve">The actual timeline </w:t>
      </w:r>
      <w:r w:rsidR="00E86EB4" w:rsidRPr="001A48D3">
        <w:t>applied to</w:t>
      </w:r>
      <w:r w:rsidRPr="001A48D3">
        <w:t xml:space="preserve"> the introduction of </w:t>
      </w:r>
      <w:r w:rsidR="00E86EB4" w:rsidRPr="001A48D3">
        <w:t xml:space="preserve">the </w:t>
      </w:r>
      <w:r w:rsidRPr="001A48D3">
        <w:t xml:space="preserve">Euro 5/6 standards will be dependent on the outcome of negotiations between the Australian Government and the motor vehicle industry.  In this regard, it is reasonable to conclude that any final timeline that fell between the timelines contained in the FCAI option and the </w:t>
      </w:r>
      <w:r w:rsidR="0014570D" w:rsidRPr="001A48D3">
        <w:t xml:space="preserve">recommended </w:t>
      </w:r>
      <w:r w:rsidRPr="001A48D3">
        <w:t>Modified Option 3 would deliver estimated net benefits between the $</w:t>
      </w:r>
      <w:r w:rsidR="00644284" w:rsidRPr="001A48D3">
        <w:t xml:space="preserve">147 </w:t>
      </w:r>
      <w:r w:rsidRPr="001A48D3">
        <w:t>million and $</w:t>
      </w:r>
      <w:r w:rsidR="00644284" w:rsidRPr="001A48D3">
        <w:t>371 m</w:t>
      </w:r>
      <w:r w:rsidRPr="001A48D3">
        <w:t xml:space="preserve">illion estimated for these two options. </w:t>
      </w:r>
    </w:p>
    <w:p w:rsidR="00896A37" w:rsidRPr="001A48D3" w:rsidRDefault="00DF4665" w:rsidP="00153F3E">
      <w:pPr>
        <w:pStyle w:val="Heading2"/>
      </w:pPr>
      <w:bookmarkStart w:id="114" w:name="_Toc430182571"/>
      <w:r>
        <w:lastRenderedPageBreak/>
        <w:t>6.2.1</w:t>
      </w:r>
      <w:r>
        <w:tab/>
      </w:r>
      <w:r w:rsidR="00E1205A" w:rsidRPr="001A48D3">
        <w:t>Euro 5</w:t>
      </w:r>
      <w:bookmarkEnd w:id="114"/>
    </w:p>
    <w:p w:rsidR="00C22032" w:rsidRPr="001A48D3" w:rsidRDefault="006A15DA" w:rsidP="00C4701A">
      <w:pPr>
        <w:spacing w:after="120"/>
      </w:pPr>
      <w:r w:rsidRPr="001A48D3">
        <w:t xml:space="preserve">The review </w:t>
      </w:r>
      <w:r w:rsidR="00896A37" w:rsidRPr="001A48D3">
        <w:t xml:space="preserve">recommends </w:t>
      </w:r>
      <w:r w:rsidR="00B63560" w:rsidRPr="001A48D3">
        <w:t xml:space="preserve">that the Euro 5 vehicle </w:t>
      </w:r>
      <w:r w:rsidR="00AF01A3" w:rsidRPr="001A48D3">
        <w:t>emissions</w:t>
      </w:r>
      <w:r w:rsidR="00B63560" w:rsidRPr="001A48D3">
        <w:t xml:space="preserve"> standards be adopted </w:t>
      </w:r>
      <w:r w:rsidRPr="001A48D3">
        <w:t xml:space="preserve">in Australia </w:t>
      </w:r>
      <w:r w:rsidR="00C22032" w:rsidRPr="001A48D3">
        <w:t xml:space="preserve">via a </w:t>
      </w:r>
      <w:r w:rsidR="00DC16A4" w:rsidRPr="001A48D3">
        <w:t>phased</w:t>
      </w:r>
      <w:r w:rsidR="00C22032" w:rsidRPr="001A48D3">
        <w:t xml:space="preserve"> approach based on initial date(s) for </w:t>
      </w:r>
      <w:r w:rsidR="00C22032" w:rsidRPr="001A48D3">
        <w:rPr>
          <w:u w:val="single"/>
        </w:rPr>
        <w:t xml:space="preserve">new models </w:t>
      </w:r>
      <w:r w:rsidR="00C22032" w:rsidRPr="001A48D3">
        <w:t>reflecting the core emissions elements of Euro 5</w:t>
      </w:r>
      <w:r w:rsidR="00C90647" w:rsidRPr="001A48D3">
        <w:rPr>
          <w:rStyle w:val="FootnoteReference"/>
          <w:rFonts w:cs="Arial"/>
          <w:szCs w:val="24"/>
        </w:rPr>
        <w:footnoteReference w:id="50"/>
      </w:r>
      <w:r w:rsidR="00C22032" w:rsidRPr="001A48D3">
        <w:t xml:space="preserve">, and later date(s) for </w:t>
      </w:r>
      <w:r w:rsidR="00C22032" w:rsidRPr="001A48D3">
        <w:rPr>
          <w:u w:val="single"/>
        </w:rPr>
        <w:t>all models</w:t>
      </w:r>
      <w:r w:rsidR="00C22032" w:rsidRPr="001A48D3">
        <w:t xml:space="preserve"> which requires compliance with the full requirements</w:t>
      </w:r>
      <w:r w:rsidR="00C90647" w:rsidRPr="001A48D3">
        <w:t xml:space="preserve"> of ECE R83/06</w:t>
      </w:r>
      <w:r w:rsidR="00C22032" w:rsidRPr="001A48D3">
        <w:t>.  As discussed above, the dates would reflect those in the “Modified Option 3”.  The recommended approach would also adopt the FCAI’s preference for splitting the compliance timelines based on vehicle type, rather than fuel type.</w:t>
      </w:r>
    </w:p>
    <w:p w:rsidR="00C22032" w:rsidRPr="001A48D3" w:rsidRDefault="00C22032" w:rsidP="00C4701A">
      <w:pPr>
        <w:spacing w:after="120"/>
      </w:pPr>
      <w:r w:rsidRPr="001A48D3">
        <w:t xml:space="preserve">From an ADR compliance and administration perspective, such an approach would be best achieved by introducing two new and discrete ADRs (ADR79/03 for the core elements and ADR79/04 for full compliance with ECE Regulation 83/06).  The </w:t>
      </w:r>
      <w:r w:rsidR="000574CB" w:rsidRPr="001A48D3">
        <w:t>timing for</w:t>
      </w:r>
      <w:r w:rsidRPr="001A48D3">
        <w:t xml:space="preserve"> this proposal </w:t>
      </w:r>
      <w:r w:rsidR="000574CB" w:rsidRPr="001A48D3">
        <w:t xml:space="preserve">is </w:t>
      </w:r>
      <w:r w:rsidRPr="001A48D3">
        <w:t>set out in Table</w:t>
      </w:r>
      <w:r w:rsidR="000A5F1F" w:rsidRPr="001A48D3">
        <w:t xml:space="preserve"> </w:t>
      </w:r>
      <w:r w:rsidR="00D6515E" w:rsidRPr="001A48D3">
        <w:t>2</w:t>
      </w:r>
      <w:r w:rsidR="009576B4" w:rsidRPr="001A48D3">
        <w:t>3</w:t>
      </w:r>
      <w:r w:rsidR="00644284" w:rsidRPr="001A48D3">
        <w:t>.</w:t>
      </w:r>
    </w:p>
    <w:p w:rsidR="00C22032" w:rsidRPr="001A48D3" w:rsidRDefault="00C22032" w:rsidP="00B52F7D">
      <w:pPr>
        <w:pStyle w:val="Heading3"/>
      </w:pPr>
      <w:bookmarkStart w:id="115" w:name="_Toc430182572"/>
      <w:r w:rsidRPr="001A48D3">
        <w:t xml:space="preserve">Table </w:t>
      </w:r>
      <w:r w:rsidR="00D6515E" w:rsidRPr="001A48D3">
        <w:t>2</w:t>
      </w:r>
      <w:r w:rsidR="009576B4" w:rsidRPr="001A48D3">
        <w:t>3</w:t>
      </w:r>
      <w:r w:rsidRPr="001A48D3">
        <w:tab/>
        <w:t>Implementation Timetable for Euro 5</w:t>
      </w:r>
      <w:bookmarkEnd w:id="115"/>
      <w:r w:rsidRPr="001A48D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1619"/>
        <w:gridCol w:w="1749"/>
        <w:gridCol w:w="1951"/>
        <w:gridCol w:w="1832"/>
      </w:tblGrid>
      <w:tr w:rsidR="00C22032" w:rsidRPr="001A48D3" w:rsidTr="00153F3E">
        <w:trPr>
          <w:tblHeader/>
        </w:trPr>
        <w:tc>
          <w:tcPr>
            <w:tcW w:w="1371" w:type="dxa"/>
            <w:vMerge w:val="restart"/>
            <w:shd w:val="clear" w:color="auto" w:fill="FFC000"/>
          </w:tcPr>
          <w:p w:rsidR="00C22032" w:rsidRPr="001A48D3" w:rsidRDefault="00DC16A4" w:rsidP="00C4701A">
            <w:pPr>
              <w:autoSpaceDE w:val="0"/>
              <w:autoSpaceDN w:val="0"/>
              <w:adjustRightInd w:val="0"/>
              <w:spacing w:before="120" w:after="120"/>
              <w:jc w:val="center"/>
              <w:rPr>
                <w:rFonts w:cs="Calibri"/>
                <w:b/>
                <w:bCs/>
                <w:sz w:val="22"/>
                <w:szCs w:val="22"/>
              </w:rPr>
            </w:pPr>
            <w:r w:rsidRPr="001A48D3">
              <w:rPr>
                <w:rFonts w:cs="Calibri"/>
                <w:b/>
                <w:bCs/>
                <w:sz w:val="22"/>
                <w:szCs w:val="22"/>
              </w:rPr>
              <w:t>Phase</w:t>
            </w:r>
          </w:p>
        </w:tc>
        <w:tc>
          <w:tcPr>
            <w:tcW w:w="3368" w:type="dxa"/>
            <w:gridSpan w:val="2"/>
            <w:shd w:val="clear" w:color="auto" w:fill="FFC000"/>
          </w:tcPr>
          <w:p w:rsidR="00C22032" w:rsidRPr="001A48D3" w:rsidRDefault="00C22032" w:rsidP="00C4701A">
            <w:pPr>
              <w:autoSpaceDE w:val="0"/>
              <w:autoSpaceDN w:val="0"/>
              <w:adjustRightInd w:val="0"/>
              <w:spacing w:before="120" w:after="120"/>
              <w:jc w:val="center"/>
              <w:rPr>
                <w:rFonts w:cs="Calibri"/>
                <w:b/>
                <w:bCs/>
                <w:sz w:val="22"/>
                <w:szCs w:val="22"/>
              </w:rPr>
            </w:pPr>
            <w:r w:rsidRPr="001A48D3">
              <w:rPr>
                <w:rFonts w:cs="Calibri"/>
                <w:b/>
                <w:bCs/>
                <w:sz w:val="22"/>
                <w:szCs w:val="22"/>
              </w:rPr>
              <w:t>Vehicle Type</w:t>
            </w:r>
          </w:p>
        </w:tc>
        <w:tc>
          <w:tcPr>
            <w:tcW w:w="3783" w:type="dxa"/>
            <w:gridSpan w:val="2"/>
            <w:shd w:val="clear" w:color="auto" w:fill="FFC000"/>
          </w:tcPr>
          <w:p w:rsidR="00C22032" w:rsidRPr="001A48D3" w:rsidRDefault="00C22032" w:rsidP="00C4701A">
            <w:pPr>
              <w:autoSpaceDE w:val="0"/>
              <w:autoSpaceDN w:val="0"/>
              <w:adjustRightInd w:val="0"/>
              <w:spacing w:before="120" w:after="120"/>
              <w:jc w:val="center"/>
              <w:rPr>
                <w:rFonts w:cs="Calibri"/>
                <w:b/>
                <w:bCs/>
                <w:sz w:val="22"/>
                <w:szCs w:val="22"/>
              </w:rPr>
            </w:pPr>
            <w:r w:rsidRPr="001A48D3">
              <w:rPr>
                <w:rFonts w:cs="Calibri"/>
                <w:b/>
                <w:bCs/>
                <w:sz w:val="22"/>
                <w:szCs w:val="22"/>
              </w:rPr>
              <w:t>Implementation Dates</w:t>
            </w:r>
            <w:r w:rsidR="001D0E81" w:rsidRPr="001A48D3">
              <w:rPr>
                <w:rFonts w:cs="Calibri"/>
                <w:b/>
                <w:bCs/>
                <w:sz w:val="22"/>
                <w:szCs w:val="22"/>
              </w:rPr>
              <w:t>*</w:t>
            </w:r>
          </w:p>
        </w:tc>
      </w:tr>
      <w:tr w:rsidR="00C22032" w:rsidRPr="001A48D3" w:rsidTr="00153F3E">
        <w:trPr>
          <w:tblHeader/>
        </w:trPr>
        <w:tc>
          <w:tcPr>
            <w:tcW w:w="1371" w:type="dxa"/>
            <w:vMerge/>
            <w:shd w:val="clear" w:color="auto" w:fill="FFC000"/>
          </w:tcPr>
          <w:p w:rsidR="00C22032" w:rsidRPr="001A48D3" w:rsidRDefault="00C22032" w:rsidP="00C4701A">
            <w:pPr>
              <w:autoSpaceDE w:val="0"/>
              <w:autoSpaceDN w:val="0"/>
              <w:adjustRightInd w:val="0"/>
              <w:spacing w:before="120" w:after="120"/>
              <w:jc w:val="center"/>
              <w:rPr>
                <w:rFonts w:cs="Calibri"/>
                <w:b/>
                <w:bCs/>
                <w:sz w:val="22"/>
                <w:szCs w:val="22"/>
              </w:rPr>
            </w:pPr>
          </w:p>
        </w:tc>
        <w:tc>
          <w:tcPr>
            <w:tcW w:w="1619" w:type="dxa"/>
            <w:shd w:val="clear" w:color="auto" w:fill="FFC000"/>
          </w:tcPr>
          <w:p w:rsidR="00C22032" w:rsidRPr="001A48D3" w:rsidRDefault="00C22032" w:rsidP="00C4701A">
            <w:pPr>
              <w:autoSpaceDE w:val="0"/>
              <w:autoSpaceDN w:val="0"/>
              <w:adjustRightInd w:val="0"/>
              <w:spacing w:before="120" w:after="120"/>
              <w:jc w:val="center"/>
              <w:rPr>
                <w:rFonts w:cs="Calibri"/>
                <w:b/>
                <w:bCs/>
                <w:sz w:val="22"/>
                <w:szCs w:val="22"/>
              </w:rPr>
            </w:pPr>
            <w:r w:rsidRPr="001A48D3">
              <w:rPr>
                <w:rFonts w:cs="Calibri"/>
                <w:b/>
                <w:bCs/>
                <w:sz w:val="22"/>
                <w:szCs w:val="22"/>
              </w:rPr>
              <w:t>Type</w:t>
            </w:r>
          </w:p>
        </w:tc>
        <w:tc>
          <w:tcPr>
            <w:tcW w:w="1749" w:type="dxa"/>
            <w:shd w:val="clear" w:color="auto" w:fill="FFC000"/>
          </w:tcPr>
          <w:p w:rsidR="00C22032" w:rsidRPr="001A48D3" w:rsidRDefault="00C22032" w:rsidP="00C4701A">
            <w:pPr>
              <w:autoSpaceDE w:val="0"/>
              <w:autoSpaceDN w:val="0"/>
              <w:adjustRightInd w:val="0"/>
              <w:spacing w:before="120" w:after="120"/>
              <w:jc w:val="center"/>
              <w:rPr>
                <w:rFonts w:cs="Calibri"/>
                <w:b/>
                <w:bCs/>
                <w:sz w:val="22"/>
                <w:szCs w:val="22"/>
              </w:rPr>
            </w:pPr>
            <w:r w:rsidRPr="001A48D3">
              <w:rPr>
                <w:rFonts w:cs="Calibri"/>
                <w:b/>
                <w:bCs/>
                <w:sz w:val="22"/>
                <w:szCs w:val="22"/>
              </w:rPr>
              <w:t>ADR Category</w:t>
            </w:r>
          </w:p>
        </w:tc>
        <w:tc>
          <w:tcPr>
            <w:tcW w:w="1951" w:type="dxa"/>
            <w:shd w:val="clear" w:color="auto" w:fill="FFC000"/>
          </w:tcPr>
          <w:p w:rsidR="00C22032" w:rsidRPr="001A48D3" w:rsidRDefault="00C22032" w:rsidP="00C4701A">
            <w:pPr>
              <w:autoSpaceDE w:val="0"/>
              <w:autoSpaceDN w:val="0"/>
              <w:adjustRightInd w:val="0"/>
              <w:spacing w:before="120" w:after="120"/>
              <w:jc w:val="center"/>
              <w:rPr>
                <w:rFonts w:cs="Calibri"/>
                <w:b/>
                <w:bCs/>
                <w:sz w:val="22"/>
                <w:szCs w:val="22"/>
              </w:rPr>
            </w:pPr>
            <w:r w:rsidRPr="001A48D3">
              <w:rPr>
                <w:rFonts w:cs="Calibri"/>
                <w:b/>
                <w:bCs/>
                <w:sz w:val="22"/>
                <w:szCs w:val="22"/>
              </w:rPr>
              <w:t>New Models</w:t>
            </w:r>
          </w:p>
        </w:tc>
        <w:tc>
          <w:tcPr>
            <w:tcW w:w="1832" w:type="dxa"/>
            <w:shd w:val="clear" w:color="auto" w:fill="FFC000"/>
          </w:tcPr>
          <w:p w:rsidR="00C22032" w:rsidRPr="001A48D3" w:rsidRDefault="00C22032" w:rsidP="00C4701A">
            <w:pPr>
              <w:autoSpaceDE w:val="0"/>
              <w:autoSpaceDN w:val="0"/>
              <w:adjustRightInd w:val="0"/>
              <w:spacing w:before="120" w:after="120"/>
              <w:jc w:val="center"/>
              <w:rPr>
                <w:rFonts w:cs="Calibri"/>
                <w:b/>
                <w:bCs/>
                <w:sz w:val="22"/>
                <w:szCs w:val="22"/>
              </w:rPr>
            </w:pPr>
            <w:r w:rsidRPr="001A48D3">
              <w:rPr>
                <w:rFonts w:cs="Calibri"/>
                <w:b/>
                <w:bCs/>
                <w:sz w:val="22"/>
                <w:szCs w:val="22"/>
              </w:rPr>
              <w:t>All Models</w:t>
            </w:r>
          </w:p>
        </w:tc>
      </w:tr>
      <w:tr w:rsidR="00C22032" w:rsidRPr="001A48D3" w:rsidTr="00C22032">
        <w:tc>
          <w:tcPr>
            <w:tcW w:w="1371" w:type="dxa"/>
            <w:vMerge w:val="restart"/>
          </w:tcPr>
          <w:p w:rsidR="00C22032" w:rsidRPr="001A48D3" w:rsidRDefault="00C22032" w:rsidP="00C4701A">
            <w:pPr>
              <w:spacing w:before="80" w:after="120"/>
              <w:jc w:val="center"/>
              <w:rPr>
                <w:rFonts w:cs="Arial"/>
                <w:b/>
                <w:sz w:val="22"/>
                <w:szCs w:val="22"/>
              </w:rPr>
            </w:pPr>
            <w:r w:rsidRPr="001A48D3">
              <w:rPr>
                <w:rFonts w:cs="Arial"/>
                <w:b/>
                <w:sz w:val="22"/>
                <w:szCs w:val="22"/>
              </w:rPr>
              <w:t>1</w:t>
            </w:r>
          </w:p>
          <w:p w:rsidR="00C22032" w:rsidRPr="001A48D3" w:rsidRDefault="00C22032" w:rsidP="00C4701A">
            <w:pPr>
              <w:spacing w:before="80" w:after="120"/>
              <w:jc w:val="center"/>
              <w:rPr>
                <w:rFonts w:cs="Arial"/>
                <w:sz w:val="22"/>
                <w:szCs w:val="22"/>
              </w:rPr>
            </w:pPr>
            <w:r w:rsidRPr="001A48D3">
              <w:rPr>
                <w:rFonts w:cs="Arial"/>
                <w:sz w:val="22"/>
                <w:szCs w:val="22"/>
              </w:rPr>
              <w:t>(ADR79/03)</w:t>
            </w:r>
          </w:p>
        </w:tc>
        <w:tc>
          <w:tcPr>
            <w:tcW w:w="1619" w:type="dxa"/>
          </w:tcPr>
          <w:p w:rsidR="00C22032" w:rsidRPr="001A48D3" w:rsidRDefault="00C22032" w:rsidP="00C4701A">
            <w:pPr>
              <w:spacing w:before="80" w:after="120"/>
              <w:rPr>
                <w:rFonts w:cs="Arial"/>
                <w:sz w:val="22"/>
                <w:szCs w:val="22"/>
              </w:rPr>
            </w:pPr>
            <w:r w:rsidRPr="001A48D3">
              <w:rPr>
                <w:rFonts w:cs="Arial"/>
                <w:sz w:val="22"/>
                <w:szCs w:val="22"/>
              </w:rPr>
              <w:t>Cars &amp; SUVs</w:t>
            </w:r>
          </w:p>
        </w:tc>
        <w:tc>
          <w:tcPr>
            <w:tcW w:w="1749" w:type="dxa"/>
          </w:tcPr>
          <w:p w:rsidR="00C22032" w:rsidRPr="001A48D3" w:rsidRDefault="00C22032" w:rsidP="00C4701A">
            <w:pPr>
              <w:spacing w:before="80" w:after="120"/>
              <w:rPr>
                <w:rFonts w:cs="Arial"/>
                <w:sz w:val="22"/>
                <w:szCs w:val="22"/>
              </w:rPr>
            </w:pPr>
            <w:r w:rsidRPr="001A48D3">
              <w:rPr>
                <w:rFonts w:cs="Arial"/>
                <w:sz w:val="22"/>
                <w:szCs w:val="22"/>
              </w:rPr>
              <w:t>MA, MB, MC</w:t>
            </w:r>
          </w:p>
        </w:tc>
        <w:tc>
          <w:tcPr>
            <w:tcW w:w="1951" w:type="dxa"/>
          </w:tcPr>
          <w:p w:rsidR="00C22032" w:rsidRPr="001A48D3" w:rsidRDefault="00F543A8" w:rsidP="00C4701A">
            <w:pPr>
              <w:spacing w:before="80" w:after="120"/>
              <w:rPr>
                <w:rFonts w:cs="Arial"/>
                <w:sz w:val="22"/>
                <w:szCs w:val="22"/>
              </w:rPr>
            </w:pPr>
            <w:r w:rsidRPr="001A48D3">
              <w:rPr>
                <w:rFonts w:cs="Arial"/>
                <w:sz w:val="22"/>
                <w:szCs w:val="22"/>
              </w:rPr>
              <w:t xml:space="preserve">1 </w:t>
            </w:r>
            <w:r w:rsidR="00C22032" w:rsidRPr="001A48D3">
              <w:rPr>
                <w:rFonts w:cs="Arial"/>
                <w:sz w:val="22"/>
                <w:szCs w:val="22"/>
              </w:rPr>
              <w:t>April 2013</w:t>
            </w:r>
          </w:p>
        </w:tc>
        <w:tc>
          <w:tcPr>
            <w:tcW w:w="1832" w:type="dxa"/>
          </w:tcPr>
          <w:p w:rsidR="00C22032" w:rsidRPr="001A48D3" w:rsidRDefault="00C22032" w:rsidP="00C4701A">
            <w:pPr>
              <w:spacing w:before="80" w:after="120"/>
              <w:rPr>
                <w:rFonts w:cs="Arial"/>
                <w:sz w:val="22"/>
                <w:szCs w:val="22"/>
              </w:rPr>
            </w:pPr>
            <w:r w:rsidRPr="001A48D3">
              <w:rPr>
                <w:rFonts w:cs="Arial"/>
                <w:sz w:val="22"/>
                <w:szCs w:val="22"/>
              </w:rPr>
              <w:t>NA</w:t>
            </w:r>
          </w:p>
        </w:tc>
      </w:tr>
      <w:tr w:rsidR="00C22032" w:rsidRPr="001A48D3" w:rsidTr="00C22032">
        <w:tc>
          <w:tcPr>
            <w:tcW w:w="1371" w:type="dxa"/>
            <w:vMerge/>
          </w:tcPr>
          <w:p w:rsidR="00C22032" w:rsidRPr="001A48D3" w:rsidRDefault="00C22032" w:rsidP="00C4701A">
            <w:pPr>
              <w:spacing w:before="80" w:after="120"/>
              <w:jc w:val="center"/>
              <w:rPr>
                <w:rFonts w:cs="Arial"/>
                <w:sz w:val="22"/>
                <w:szCs w:val="22"/>
              </w:rPr>
            </w:pPr>
          </w:p>
        </w:tc>
        <w:tc>
          <w:tcPr>
            <w:tcW w:w="1619" w:type="dxa"/>
          </w:tcPr>
          <w:p w:rsidR="00C22032" w:rsidRPr="001A48D3" w:rsidRDefault="00C22032" w:rsidP="00C4701A">
            <w:pPr>
              <w:spacing w:before="80" w:after="120"/>
              <w:rPr>
                <w:rFonts w:cs="Arial"/>
                <w:sz w:val="22"/>
                <w:szCs w:val="22"/>
              </w:rPr>
            </w:pPr>
            <w:r w:rsidRPr="001A48D3">
              <w:rPr>
                <w:rFonts w:cs="Arial"/>
                <w:sz w:val="22"/>
                <w:szCs w:val="22"/>
              </w:rPr>
              <w:t>LCVs</w:t>
            </w:r>
          </w:p>
        </w:tc>
        <w:tc>
          <w:tcPr>
            <w:tcW w:w="1749" w:type="dxa"/>
          </w:tcPr>
          <w:p w:rsidR="00C22032" w:rsidRPr="001A48D3" w:rsidRDefault="00C22032" w:rsidP="00C4701A">
            <w:pPr>
              <w:spacing w:before="80" w:after="120"/>
              <w:rPr>
                <w:rFonts w:cs="Arial"/>
                <w:sz w:val="22"/>
                <w:szCs w:val="22"/>
              </w:rPr>
            </w:pPr>
            <w:r w:rsidRPr="001A48D3">
              <w:rPr>
                <w:rFonts w:cs="Arial"/>
                <w:sz w:val="22"/>
                <w:szCs w:val="22"/>
              </w:rPr>
              <w:t>NA</w:t>
            </w:r>
          </w:p>
        </w:tc>
        <w:tc>
          <w:tcPr>
            <w:tcW w:w="1951" w:type="dxa"/>
          </w:tcPr>
          <w:p w:rsidR="00C22032" w:rsidRPr="001A48D3" w:rsidRDefault="00F543A8" w:rsidP="00C4701A">
            <w:pPr>
              <w:spacing w:before="80" w:after="120"/>
              <w:rPr>
                <w:rFonts w:cs="Arial"/>
                <w:sz w:val="22"/>
                <w:szCs w:val="22"/>
              </w:rPr>
            </w:pPr>
            <w:r w:rsidRPr="001A48D3">
              <w:rPr>
                <w:rFonts w:cs="Arial"/>
                <w:sz w:val="22"/>
                <w:szCs w:val="22"/>
              </w:rPr>
              <w:t xml:space="preserve">1 </w:t>
            </w:r>
            <w:r w:rsidR="00C22032" w:rsidRPr="001A48D3">
              <w:rPr>
                <w:rFonts w:cs="Arial"/>
                <w:sz w:val="22"/>
                <w:szCs w:val="22"/>
              </w:rPr>
              <w:t>July 2013</w:t>
            </w:r>
          </w:p>
        </w:tc>
        <w:tc>
          <w:tcPr>
            <w:tcW w:w="1832" w:type="dxa"/>
          </w:tcPr>
          <w:p w:rsidR="00C22032" w:rsidRPr="001A48D3" w:rsidRDefault="00C22032" w:rsidP="00C4701A">
            <w:pPr>
              <w:spacing w:before="80" w:after="120"/>
              <w:rPr>
                <w:rFonts w:cs="Arial"/>
                <w:sz w:val="22"/>
                <w:szCs w:val="22"/>
              </w:rPr>
            </w:pPr>
            <w:r w:rsidRPr="001A48D3">
              <w:rPr>
                <w:rFonts w:cs="Arial"/>
                <w:sz w:val="22"/>
                <w:szCs w:val="22"/>
              </w:rPr>
              <w:t>NA</w:t>
            </w:r>
          </w:p>
        </w:tc>
      </w:tr>
      <w:tr w:rsidR="00C22032" w:rsidRPr="001A48D3" w:rsidTr="00C22032">
        <w:tc>
          <w:tcPr>
            <w:tcW w:w="1371" w:type="dxa"/>
            <w:vMerge w:val="restart"/>
            <w:shd w:val="clear" w:color="auto" w:fill="EAF1DD"/>
          </w:tcPr>
          <w:p w:rsidR="00C22032" w:rsidRPr="001A48D3" w:rsidRDefault="00C22032" w:rsidP="00C4701A">
            <w:pPr>
              <w:spacing w:before="80" w:after="120"/>
              <w:jc w:val="center"/>
              <w:rPr>
                <w:rFonts w:cs="Arial"/>
                <w:b/>
                <w:sz w:val="22"/>
                <w:szCs w:val="22"/>
              </w:rPr>
            </w:pPr>
            <w:r w:rsidRPr="001A48D3">
              <w:rPr>
                <w:rFonts w:cs="Arial"/>
                <w:b/>
                <w:sz w:val="22"/>
                <w:szCs w:val="22"/>
              </w:rPr>
              <w:t>2</w:t>
            </w:r>
          </w:p>
          <w:p w:rsidR="00C22032" w:rsidRPr="001A48D3" w:rsidRDefault="00C22032" w:rsidP="00C4701A">
            <w:pPr>
              <w:spacing w:before="80" w:after="120"/>
              <w:jc w:val="center"/>
              <w:rPr>
                <w:rFonts w:cs="Arial"/>
                <w:sz w:val="22"/>
                <w:szCs w:val="22"/>
              </w:rPr>
            </w:pPr>
            <w:r w:rsidRPr="001A48D3">
              <w:rPr>
                <w:rFonts w:cs="Arial"/>
                <w:sz w:val="22"/>
                <w:szCs w:val="22"/>
              </w:rPr>
              <w:t>(ADR79/04)</w:t>
            </w:r>
          </w:p>
        </w:tc>
        <w:tc>
          <w:tcPr>
            <w:tcW w:w="1619" w:type="dxa"/>
            <w:shd w:val="clear" w:color="auto" w:fill="EAF1DD"/>
          </w:tcPr>
          <w:p w:rsidR="00C22032" w:rsidRPr="001A48D3" w:rsidRDefault="00C22032" w:rsidP="00C4701A">
            <w:pPr>
              <w:spacing w:before="80" w:after="120"/>
              <w:rPr>
                <w:rFonts w:cs="Arial"/>
                <w:sz w:val="22"/>
                <w:szCs w:val="22"/>
              </w:rPr>
            </w:pPr>
            <w:r w:rsidRPr="001A48D3">
              <w:rPr>
                <w:rFonts w:cs="Arial"/>
                <w:sz w:val="22"/>
                <w:szCs w:val="22"/>
              </w:rPr>
              <w:t>Cars &amp; SUVs</w:t>
            </w:r>
          </w:p>
        </w:tc>
        <w:tc>
          <w:tcPr>
            <w:tcW w:w="1749" w:type="dxa"/>
            <w:shd w:val="clear" w:color="auto" w:fill="EAF1DD"/>
          </w:tcPr>
          <w:p w:rsidR="00C22032" w:rsidRPr="001A48D3" w:rsidRDefault="00C22032" w:rsidP="00C4701A">
            <w:pPr>
              <w:spacing w:before="80" w:after="120"/>
              <w:rPr>
                <w:rFonts w:cs="Arial"/>
                <w:sz w:val="22"/>
                <w:szCs w:val="22"/>
              </w:rPr>
            </w:pPr>
            <w:r w:rsidRPr="001A48D3">
              <w:rPr>
                <w:rFonts w:cs="Arial"/>
                <w:sz w:val="22"/>
                <w:szCs w:val="22"/>
              </w:rPr>
              <w:t>MA, MB, MC</w:t>
            </w:r>
          </w:p>
        </w:tc>
        <w:tc>
          <w:tcPr>
            <w:tcW w:w="1951" w:type="dxa"/>
            <w:shd w:val="clear" w:color="auto" w:fill="EAF1DD"/>
          </w:tcPr>
          <w:p w:rsidR="00C22032" w:rsidRPr="001A48D3" w:rsidRDefault="00C22032" w:rsidP="00C4701A">
            <w:pPr>
              <w:spacing w:before="80" w:after="120"/>
              <w:rPr>
                <w:rFonts w:cs="Arial"/>
                <w:sz w:val="22"/>
                <w:szCs w:val="22"/>
              </w:rPr>
            </w:pPr>
            <w:r w:rsidRPr="001A48D3">
              <w:rPr>
                <w:rFonts w:cs="Arial"/>
                <w:sz w:val="22"/>
                <w:szCs w:val="22"/>
              </w:rPr>
              <w:t>NA</w:t>
            </w:r>
          </w:p>
        </w:tc>
        <w:tc>
          <w:tcPr>
            <w:tcW w:w="1832" w:type="dxa"/>
            <w:shd w:val="clear" w:color="auto" w:fill="EAF1DD"/>
          </w:tcPr>
          <w:p w:rsidR="00C22032" w:rsidRPr="001A48D3" w:rsidRDefault="00F543A8" w:rsidP="00C4701A">
            <w:pPr>
              <w:spacing w:before="80" w:after="120"/>
              <w:rPr>
                <w:rFonts w:cs="Arial"/>
                <w:sz w:val="22"/>
                <w:szCs w:val="22"/>
              </w:rPr>
            </w:pPr>
            <w:r w:rsidRPr="001A48D3">
              <w:rPr>
                <w:rFonts w:cs="Arial"/>
                <w:sz w:val="22"/>
                <w:szCs w:val="22"/>
              </w:rPr>
              <w:t xml:space="preserve">1 </w:t>
            </w:r>
            <w:r w:rsidR="00C22032" w:rsidRPr="001A48D3">
              <w:rPr>
                <w:rFonts w:cs="Arial"/>
                <w:sz w:val="22"/>
                <w:szCs w:val="22"/>
              </w:rPr>
              <w:t>April 2015</w:t>
            </w:r>
          </w:p>
        </w:tc>
      </w:tr>
      <w:tr w:rsidR="00C22032" w:rsidRPr="001A48D3" w:rsidTr="00C22032">
        <w:tc>
          <w:tcPr>
            <w:tcW w:w="1371" w:type="dxa"/>
            <w:vMerge/>
            <w:shd w:val="clear" w:color="auto" w:fill="EAF1DD"/>
          </w:tcPr>
          <w:p w:rsidR="00C22032" w:rsidRPr="001A48D3" w:rsidRDefault="00C22032" w:rsidP="00C4701A">
            <w:pPr>
              <w:spacing w:before="80" w:after="120"/>
              <w:jc w:val="center"/>
              <w:rPr>
                <w:rFonts w:cs="Arial"/>
                <w:sz w:val="22"/>
                <w:szCs w:val="22"/>
              </w:rPr>
            </w:pPr>
          </w:p>
        </w:tc>
        <w:tc>
          <w:tcPr>
            <w:tcW w:w="1619" w:type="dxa"/>
            <w:shd w:val="clear" w:color="auto" w:fill="EAF1DD"/>
          </w:tcPr>
          <w:p w:rsidR="00C22032" w:rsidRPr="001A48D3" w:rsidRDefault="00C22032" w:rsidP="00C4701A">
            <w:pPr>
              <w:spacing w:before="80" w:after="120"/>
              <w:rPr>
                <w:rFonts w:cs="Arial"/>
                <w:sz w:val="22"/>
                <w:szCs w:val="22"/>
              </w:rPr>
            </w:pPr>
            <w:r w:rsidRPr="001A48D3">
              <w:rPr>
                <w:rFonts w:cs="Arial"/>
                <w:sz w:val="22"/>
                <w:szCs w:val="22"/>
              </w:rPr>
              <w:t>LCVs</w:t>
            </w:r>
          </w:p>
        </w:tc>
        <w:tc>
          <w:tcPr>
            <w:tcW w:w="1749" w:type="dxa"/>
            <w:shd w:val="clear" w:color="auto" w:fill="EAF1DD"/>
          </w:tcPr>
          <w:p w:rsidR="00C22032" w:rsidRPr="001A48D3" w:rsidRDefault="00C22032" w:rsidP="00C4701A">
            <w:pPr>
              <w:spacing w:before="80" w:after="120"/>
              <w:rPr>
                <w:rFonts w:cs="Arial"/>
                <w:sz w:val="22"/>
                <w:szCs w:val="22"/>
              </w:rPr>
            </w:pPr>
            <w:r w:rsidRPr="001A48D3">
              <w:rPr>
                <w:rFonts w:cs="Arial"/>
                <w:sz w:val="22"/>
                <w:szCs w:val="22"/>
              </w:rPr>
              <w:t>NA</w:t>
            </w:r>
          </w:p>
        </w:tc>
        <w:tc>
          <w:tcPr>
            <w:tcW w:w="1951" w:type="dxa"/>
            <w:shd w:val="clear" w:color="auto" w:fill="EAF1DD"/>
          </w:tcPr>
          <w:p w:rsidR="00C22032" w:rsidRPr="001A48D3" w:rsidRDefault="00C22032" w:rsidP="00C4701A">
            <w:pPr>
              <w:spacing w:before="80" w:after="120"/>
              <w:rPr>
                <w:rFonts w:cs="Arial"/>
                <w:sz w:val="22"/>
                <w:szCs w:val="22"/>
              </w:rPr>
            </w:pPr>
            <w:r w:rsidRPr="001A48D3">
              <w:rPr>
                <w:rFonts w:cs="Arial"/>
                <w:sz w:val="22"/>
                <w:szCs w:val="22"/>
              </w:rPr>
              <w:t>NA</w:t>
            </w:r>
          </w:p>
        </w:tc>
        <w:tc>
          <w:tcPr>
            <w:tcW w:w="1832" w:type="dxa"/>
            <w:shd w:val="clear" w:color="auto" w:fill="EAF1DD"/>
          </w:tcPr>
          <w:p w:rsidR="00C22032" w:rsidRPr="001A48D3" w:rsidRDefault="00F543A8" w:rsidP="00C4701A">
            <w:pPr>
              <w:spacing w:before="80" w:after="120"/>
              <w:rPr>
                <w:rFonts w:cs="Arial"/>
                <w:sz w:val="22"/>
                <w:szCs w:val="22"/>
              </w:rPr>
            </w:pPr>
            <w:r w:rsidRPr="001A48D3">
              <w:rPr>
                <w:rFonts w:cs="Arial"/>
                <w:sz w:val="22"/>
                <w:szCs w:val="22"/>
              </w:rPr>
              <w:t xml:space="preserve">1 </w:t>
            </w:r>
            <w:r w:rsidR="00C22032" w:rsidRPr="001A48D3">
              <w:rPr>
                <w:rFonts w:cs="Arial"/>
                <w:sz w:val="22"/>
                <w:szCs w:val="22"/>
              </w:rPr>
              <w:t>July 2015</w:t>
            </w:r>
          </w:p>
        </w:tc>
      </w:tr>
    </w:tbl>
    <w:p w:rsidR="00C90647" w:rsidRPr="001A48D3" w:rsidRDefault="00C90647" w:rsidP="00C4701A">
      <w:pPr>
        <w:spacing w:before="40" w:after="120"/>
        <w:rPr>
          <w:rFonts w:cs="Arial"/>
          <w:sz w:val="20"/>
        </w:rPr>
      </w:pPr>
    </w:p>
    <w:p w:rsidR="00F543A8" w:rsidRPr="001A48D3" w:rsidRDefault="001D0E81" w:rsidP="00C4701A">
      <w:pPr>
        <w:spacing w:after="120"/>
        <w:rPr>
          <w:sz w:val="20"/>
        </w:rPr>
      </w:pPr>
      <w:r w:rsidRPr="001A48D3">
        <w:rPr>
          <w:sz w:val="20"/>
        </w:rPr>
        <w:t xml:space="preserve">* </w:t>
      </w:r>
      <w:r w:rsidR="00F543A8" w:rsidRPr="001A48D3">
        <w:rPr>
          <w:sz w:val="20"/>
        </w:rPr>
        <w:t>The implementation dates applicable to “new models” mean that from 1 April 2013 (for example) any new model (type) first produced with a date of manufacture after 1 April 2013 must comply with the new standard.  For “all models” the 1 April 2015 date (for example) means that all new vehicles (regardless of the first production date for that particular model) must comply as of 1 April</w:t>
      </w:r>
      <w:r w:rsidR="00A90B51" w:rsidRPr="001A48D3">
        <w:rPr>
          <w:sz w:val="20"/>
        </w:rPr>
        <w:t xml:space="preserve"> </w:t>
      </w:r>
      <w:r w:rsidR="00F543A8" w:rsidRPr="001A48D3">
        <w:rPr>
          <w:sz w:val="20"/>
        </w:rPr>
        <w:t>2015.</w:t>
      </w:r>
    </w:p>
    <w:p w:rsidR="00E176A0" w:rsidRPr="001A48D3" w:rsidRDefault="00DF4665" w:rsidP="00153F3E">
      <w:pPr>
        <w:pStyle w:val="Heading2"/>
      </w:pPr>
      <w:bookmarkStart w:id="116" w:name="_Toc430182573"/>
      <w:r>
        <w:t>6.2.2</w:t>
      </w:r>
      <w:r>
        <w:tab/>
      </w:r>
      <w:r w:rsidR="00E176A0" w:rsidRPr="001A48D3">
        <w:t>Euro 6</w:t>
      </w:r>
      <w:bookmarkEnd w:id="116"/>
    </w:p>
    <w:p w:rsidR="00C90647" w:rsidRPr="001A48D3" w:rsidRDefault="006A15DA" w:rsidP="00C4701A">
      <w:pPr>
        <w:spacing w:after="120"/>
      </w:pPr>
      <w:r w:rsidRPr="001A48D3">
        <w:t>T</w:t>
      </w:r>
      <w:r w:rsidR="00E176A0" w:rsidRPr="001A48D3">
        <w:t xml:space="preserve">he Euro 6 vehicle </w:t>
      </w:r>
      <w:r w:rsidR="00AF01A3" w:rsidRPr="001A48D3">
        <w:t>emissions</w:t>
      </w:r>
      <w:r w:rsidR="00E176A0" w:rsidRPr="001A48D3">
        <w:t xml:space="preserve"> standards have been agreed in the E</w:t>
      </w:r>
      <w:r w:rsidR="00CB1B95" w:rsidRPr="001A48D3">
        <w:t xml:space="preserve">uropean </w:t>
      </w:r>
      <w:r w:rsidR="00E176A0" w:rsidRPr="001A48D3">
        <w:t>C</w:t>
      </w:r>
      <w:r w:rsidR="00CB1B95" w:rsidRPr="001A48D3">
        <w:t>ommission</w:t>
      </w:r>
      <w:r w:rsidR="00E176A0" w:rsidRPr="001A48D3">
        <w:t xml:space="preserve"> </w:t>
      </w:r>
      <w:r w:rsidR="00CB1B95" w:rsidRPr="001A48D3">
        <w:t xml:space="preserve">(EC) </w:t>
      </w:r>
      <w:r w:rsidR="00E176A0" w:rsidRPr="001A48D3">
        <w:t xml:space="preserve">process, </w:t>
      </w:r>
      <w:r w:rsidRPr="001A48D3">
        <w:t xml:space="preserve">but </w:t>
      </w:r>
      <w:r w:rsidR="00A41EA2" w:rsidRPr="001A48D3">
        <w:t>ECE R</w:t>
      </w:r>
      <w:r w:rsidR="001F4AE0" w:rsidRPr="001A48D3">
        <w:t xml:space="preserve">egulation </w:t>
      </w:r>
      <w:r w:rsidR="00A41EA2" w:rsidRPr="001A48D3">
        <w:t xml:space="preserve">83 has not yet been amended to adopt </w:t>
      </w:r>
      <w:r w:rsidR="00E176A0" w:rsidRPr="001A48D3">
        <w:t xml:space="preserve">the </w:t>
      </w:r>
      <w:r w:rsidR="00AF01A3" w:rsidRPr="001A48D3">
        <w:t>emissions</w:t>
      </w:r>
      <w:r w:rsidR="00E176A0" w:rsidRPr="001A48D3">
        <w:t xml:space="preserve"> limits specified </w:t>
      </w:r>
      <w:r w:rsidR="00A41EA2" w:rsidRPr="001A48D3">
        <w:t xml:space="preserve">for Euro 6.  </w:t>
      </w:r>
      <w:r w:rsidRPr="001A48D3">
        <w:t xml:space="preserve">The review </w:t>
      </w:r>
      <w:r w:rsidR="00A41EA2" w:rsidRPr="001A48D3">
        <w:t xml:space="preserve">recommends that once </w:t>
      </w:r>
      <w:r w:rsidR="00BB7398" w:rsidRPr="001A48D3">
        <w:t>ECE </w:t>
      </w:r>
      <w:proofErr w:type="spellStart"/>
      <w:r w:rsidR="00BB7398" w:rsidRPr="001A48D3">
        <w:t>R</w:t>
      </w:r>
      <w:r w:rsidR="00AD73B9" w:rsidRPr="001A48D3">
        <w:t>eg</w:t>
      </w:r>
      <w:proofErr w:type="spellEnd"/>
      <w:r w:rsidR="00AD73B9" w:rsidRPr="001A48D3">
        <w:t> </w:t>
      </w:r>
      <w:r w:rsidR="00BB7398" w:rsidRPr="001A48D3">
        <w:t xml:space="preserve">83 is amended to adopt the Euro 6 </w:t>
      </w:r>
      <w:r w:rsidR="00AF01A3" w:rsidRPr="001A48D3">
        <w:t>emissions</w:t>
      </w:r>
      <w:r w:rsidR="00BB7398" w:rsidRPr="001A48D3">
        <w:t xml:space="preserve"> limits, a </w:t>
      </w:r>
      <w:r w:rsidR="00E176A0" w:rsidRPr="001A48D3">
        <w:t>new ADR79/0</w:t>
      </w:r>
      <w:r w:rsidR="00A90B51" w:rsidRPr="001A48D3">
        <w:t>5</w:t>
      </w:r>
      <w:r w:rsidR="00E176A0" w:rsidRPr="001A48D3">
        <w:t xml:space="preserve"> </w:t>
      </w:r>
      <w:r w:rsidR="00BB7398" w:rsidRPr="001A48D3">
        <w:t xml:space="preserve">be introduced to take effect from </w:t>
      </w:r>
      <w:r w:rsidR="00A90B51" w:rsidRPr="001A48D3">
        <w:t xml:space="preserve">April/July </w:t>
      </w:r>
      <w:r w:rsidR="00BB7398" w:rsidRPr="001A48D3">
        <w:t>201</w:t>
      </w:r>
      <w:r w:rsidR="00AD73B9" w:rsidRPr="001A48D3">
        <w:t>7</w:t>
      </w:r>
      <w:r w:rsidR="00BB7398" w:rsidRPr="001A48D3">
        <w:t xml:space="preserve"> for new models and </w:t>
      </w:r>
      <w:r w:rsidR="00A90B51" w:rsidRPr="001A48D3">
        <w:t xml:space="preserve">April/July </w:t>
      </w:r>
      <w:r w:rsidR="00BB7398" w:rsidRPr="001A48D3">
        <w:t>201</w:t>
      </w:r>
      <w:r w:rsidR="00AD73B9" w:rsidRPr="001A48D3">
        <w:t>8</w:t>
      </w:r>
      <w:r w:rsidR="00BB7398" w:rsidRPr="001A48D3">
        <w:t xml:space="preserve"> for all models</w:t>
      </w:r>
      <w:r w:rsidR="00AD73B9" w:rsidRPr="001A48D3">
        <w:t>, unless the ECE Regulation sets a later timeline.</w:t>
      </w:r>
      <w:r w:rsidR="00DE2ADE" w:rsidRPr="001A48D3">
        <w:t xml:space="preserve">  </w:t>
      </w:r>
    </w:p>
    <w:p w:rsidR="00896A37" w:rsidRPr="0067682F" w:rsidRDefault="00DF4665" w:rsidP="00C4701A">
      <w:pPr>
        <w:pStyle w:val="Heading1"/>
      </w:pPr>
      <w:bookmarkStart w:id="117" w:name="_Toc89846683"/>
      <w:bookmarkStart w:id="118" w:name="_Toc430182574"/>
      <w:r>
        <w:lastRenderedPageBreak/>
        <w:t>7</w:t>
      </w:r>
      <w:r>
        <w:tab/>
      </w:r>
      <w:r w:rsidR="00896A37" w:rsidRPr="0067682F">
        <w:t>I</w:t>
      </w:r>
      <w:r>
        <w:t>mplementation</w:t>
      </w:r>
      <w:bookmarkEnd w:id="117"/>
      <w:r w:rsidR="00062D7D">
        <w:t xml:space="preserve"> and R</w:t>
      </w:r>
      <w:r>
        <w:t>eview</w:t>
      </w:r>
      <w:bookmarkEnd w:id="118"/>
    </w:p>
    <w:p w:rsidR="00703A44" w:rsidRPr="001A48D3" w:rsidRDefault="00DF4665" w:rsidP="00153F3E">
      <w:pPr>
        <w:pStyle w:val="Heading2"/>
      </w:pPr>
      <w:bookmarkStart w:id="119" w:name="_Toc430182575"/>
      <w:r>
        <w:t>7.1</w:t>
      </w:r>
      <w:r>
        <w:tab/>
      </w:r>
      <w:r w:rsidR="00703A44" w:rsidRPr="001A48D3">
        <w:t>Implementation</w:t>
      </w:r>
      <w:bookmarkEnd w:id="119"/>
    </w:p>
    <w:p w:rsidR="00703A44" w:rsidRPr="001A48D3" w:rsidRDefault="00703A44" w:rsidP="00C4701A">
      <w:pPr>
        <w:spacing w:after="120"/>
      </w:pPr>
      <w:r w:rsidRPr="001A48D3">
        <w:t xml:space="preserve">Under the </w:t>
      </w:r>
      <w:r w:rsidRPr="001A48D3">
        <w:rPr>
          <w:i/>
        </w:rPr>
        <w:t>Motor Vehicle Standards Act 1989</w:t>
      </w:r>
      <w:r w:rsidRPr="001A48D3">
        <w:t xml:space="preserve">, the responsibility for determining a new or revised ADR rests with the Commonwealth Minister for Infrastructure and Transport.  </w:t>
      </w:r>
    </w:p>
    <w:p w:rsidR="00703A44" w:rsidRPr="001A48D3" w:rsidRDefault="00703A44" w:rsidP="00C4701A">
      <w:pPr>
        <w:spacing w:after="120"/>
        <w:rPr>
          <w:lang w:val="en-US"/>
        </w:rPr>
      </w:pPr>
      <w:r w:rsidRPr="001A48D3">
        <w:t>Given that ECE R83/06 at this stage only adopts the Euro 5 emissions limits,</w:t>
      </w:r>
      <w:r w:rsidRPr="001A48D3">
        <w:rPr>
          <w:lang w:val="en-US"/>
        </w:rPr>
        <w:t xml:space="preserve"> it is proposed that the Minister would be invited to determine the ADR vehicle emissions package in two </w:t>
      </w:r>
      <w:r w:rsidR="00DC16A4" w:rsidRPr="001A48D3">
        <w:rPr>
          <w:lang w:val="en-US"/>
        </w:rPr>
        <w:t>steps</w:t>
      </w:r>
      <w:r w:rsidRPr="001A48D3">
        <w:rPr>
          <w:lang w:val="en-US"/>
        </w:rPr>
        <w:t>:</w:t>
      </w:r>
    </w:p>
    <w:p w:rsidR="00703A44" w:rsidRPr="001A48D3" w:rsidRDefault="00703A44" w:rsidP="00C4701A">
      <w:pPr>
        <w:numPr>
          <w:ilvl w:val="0"/>
          <w:numId w:val="36"/>
        </w:numPr>
        <w:spacing w:after="120"/>
      </w:pPr>
      <w:r w:rsidRPr="001A48D3">
        <w:t>St</w:t>
      </w:r>
      <w:r w:rsidR="00DC16A4" w:rsidRPr="001A48D3">
        <w:t>ep</w:t>
      </w:r>
      <w:r w:rsidRPr="001A48D3">
        <w:t xml:space="preserve"> 1 would recommend that the Minister determine as soon as possible a new ADR79/03 </w:t>
      </w:r>
      <w:r w:rsidR="00DC16A4" w:rsidRPr="001A48D3">
        <w:t xml:space="preserve">and a new ADR79/04 </w:t>
      </w:r>
      <w:r w:rsidRPr="001A48D3">
        <w:t xml:space="preserve">which adopt the UN ECE R83/06 (Euro 5) emissions standards for light duty petrol, diesel, LPG and NG vehicles in accordance with the </w:t>
      </w:r>
      <w:r w:rsidR="00DC16A4" w:rsidRPr="001A48D3">
        <w:t>phased approach in</w:t>
      </w:r>
      <w:r w:rsidRPr="001A48D3">
        <w:t xml:space="preserve"> </w:t>
      </w:r>
      <w:r w:rsidR="00DC16A4" w:rsidRPr="001A48D3">
        <w:t xml:space="preserve">Table 23 of </w:t>
      </w:r>
      <w:r w:rsidRPr="001A48D3">
        <w:t xml:space="preserve">Section 6.2.1; and </w:t>
      </w:r>
    </w:p>
    <w:p w:rsidR="00703A44" w:rsidRPr="001A48D3" w:rsidRDefault="00DC16A4" w:rsidP="00C4701A">
      <w:pPr>
        <w:numPr>
          <w:ilvl w:val="0"/>
          <w:numId w:val="36"/>
        </w:numPr>
        <w:spacing w:after="120"/>
      </w:pPr>
      <w:r w:rsidRPr="001A48D3">
        <w:t>Step</w:t>
      </w:r>
      <w:r w:rsidR="00703A44" w:rsidRPr="001A48D3">
        <w:t xml:space="preserve"> 2 would recommend that the Minister determine a new ADR79/0</w:t>
      </w:r>
      <w:r w:rsidRPr="001A48D3">
        <w:t>5</w:t>
      </w:r>
      <w:r w:rsidR="00703A44" w:rsidRPr="001A48D3">
        <w:t xml:space="preserve"> which adopts the version of UN ECE R83 which incorporates the Euro 6 emissions standards for light duty petrol, diesel, LPG and NG vehicles (when finalised) in accordance with the provisions of Section 6.2.2.</w:t>
      </w:r>
    </w:p>
    <w:p w:rsidR="00DF0651" w:rsidRPr="001A48D3" w:rsidRDefault="00DF0651" w:rsidP="00C4701A">
      <w:pPr>
        <w:spacing w:after="120"/>
      </w:pPr>
      <w:r w:rsidRPr="001A48D3">
        <w:t>Once the Minister has determined the standard under St</w:t>
      </w:r>
      <w:r w:rsidR="00DC16A4" w:rsidRPr="001A48D3">
        <w:t>ep</w:t>
      </w:r>
      <w:r w:rsidRPr="001A48D3">
        <w:t xml:space="preserve"> 1, the Department would inform key stakeholders through normal consultation mechanisms.  As the party directly impacted by the ADRs, the vehicle industry will also be provided with an opportunity to consider the detail of the draft text of the new ADR(s) prior to finalisation to avoid any unintended outcomes and to ensure consistency with the content of this RIS and the Minister’s decision. </w:t>
      </w:r>
    </w:p>
    <w:p w:rsidR="00703A44" w:rsidRPr="001A48D3" w:rsidRDefault="00DF4665" w:rsidP="00153F3E">
      <w:pPr>
        <w:pStyle w:val="Heading2"/>
      </w:pPr>
      <w:bookmarkStart w:id="120" w:name="_Toc430182576"/>
      <w:r>
        <w:t>7.2</w:t>
      </w:r>
      <w:r>
        <w:tab/>
      </w:r>
      <w:r w:rsidR="00703A44" w:rsidRPr="001A48D3">
        <w:t>Review</w:t>
      </w:r>
      <w:bookmarkEnd w:id="120"/>
      <w:r w:rsidR="00703A44" w:rsidRPr="001A48D3">
        <w:t xml:space="preserve"> </w:t>
      </w:r>
    </w:p>
    <w:p w:rsidR="005C76B2" w:rsidRPr="001A48D3" w:rsidRDefault="00896A37" w:rsidP="00C4701A">
      <w:pPr>
        <w:spacing w:after="120"/>
        <w:rPr>
          <w:iCs/>
        </w:rPr>
      </w:pPr>
      <w:r w:rsidRPr="001A48D3">
        <w:t xml:space="preserve">The ADRs are national standards under the </w:t>
      </w:r>
      <w:r w:rsidRPr="001A48D3">
        <w:rPr>
          <w:i/>
        </w:rPr>
        <w:t>Motor Vehicle Standards Act 1989</w:t>
      </w:r>
      <w:r w:rsidRPr="001A48D3">
        <w:t xml:space="preserve"> and</w:t>
      </w:r>
      <w:r w:rsidR="00703A44" w:rsidRPr="001A48D3">
        <w:t xml:space="preserve"> as such</w:t>
      </w:r>
      <w:r w:rsidRPr="001A48D3">
        <w:t xml:space="preserve"> are subject to </w:t>
      </w:r>
      <w:r w:rsidR="00ED10CC" w:rsidRPr="001A48D3">
        <w:t>periodic</w:t>
      </w:r>
      <w:r w:rsidRPr="001A48D3">
        <w:t xml:space="preserve"> review in light of international developments</w:t>
      </w:r>
      <w:r w:rsidR="00ED10CC" w:rsidRPr="001A48D3">
        <w:t xml:space="preserve"> in the UN ECE regulations</w:t>
      </w:r>
      <w:r w:rsidR="00B10A07" w:rsidRPr="001A48D3">
        <w:t xml:space="preserve"> adopted in the ADRs</w:t>
      </w:r>
      <w:r w:rsidRPr="001A48D3">
        <w:t>.</w:t>
      </w:r>
      <w:r w:rsidR="00B10A07" w:rsidRPr="001A48D3">
        <w:t xml:space="preserve">  </w:t>
      </w:r>
      <w:r w:rsidR="005C76B2" w:rsidRPr="001A48D3">
        <w:rPr>
          <w:iCs/>
        </w:rPr>
        <w:t>The ADRs are also subject to a general review on a 10 year cycle.</w:t>
      </w:r>
    </w:p>
    <w:p w:rsidR="00DF0651" w:rsidRPr="001A48D3" w:rsidRDefault="00B10A07" w:rsidP="00C4701A">
      <w:pPr>
        <w:spacing w:after="120"/>
      </w:pPr>
      <w:r w:rsidRPr="001A48D3">
        <w:t xml:space="preserve">In the case of the emissions standards, </w:t>
      </w:r>
      <w:r w:rsidR="00EB4ACF" w:rsidRPr="001A48D3">
        <w:t xml:space="preserve">specific </w:t>
      </w:r>
      <w:r w:rsidRPr="001A48D3">
        <w:t xml:space="preserve">reviews (including this RIS) usually consider the merits of more stringent standards, as ECE regulations for emissions are progressively tightened in line with technology improvements to address potentially adverse impacts on urban air quality from increased vehicle use.  </w:t>
      </w:r>
    </w:p>
    <w:p w:rsidR="00DF0651" w:rsidRPr="001A48D3" w:rsidRDefault="00DF0651" w:rsidP="00C4701A">
      <w:pPr>
        <w:spacing w:after="120"/>
      </w:pPr>
      <w:r w:rsidRPr="001A48D3">
        <w:t xml:space="preserve">However, should it be demonstrated that technology or fuel changes render a new emissions related ADR necessary to deliver improved air quality outcomes, an earlier review would be considered by the Department of Infrastructure and Transport, as the agency responsible for the administration of the </w:t>
      </w:r>
      <w:r w:rsidR="00644284" w:rsidRPr="001A48D3">
        <w:t>Act</w:t>
      </w:r>
      <w:r w:rsidRPr="001A48D3">
        <w:t xml:space="preserve">.  </w:t>
      </w:r>
    </w:p>
    <w:p w:rsidR="00703A44" w:rsidRPr="001A48D3" w:rsidRDefault="00703A44" w:rsidP="00C4701A">
      <w:pPr>
        <w:spacing w:after="120"/>
        <w:rPr>
          <w:iCs/>
        </w:rPr>
      </w:pPr>
      <w:r w:rsidRPr="001A48D3">
        <w:rPr>
          <w:iCs/>
        </w:rPr>
        <w:t xml:space="preserve">The Department also </w:t>
      </w:r>
      <w:r w:rsidR="005C76B2" w:rsidRPr="001A48D3">
        <w:rPr>
          <w:iCs/>
        </w:rPr>
        <w:t xml:space="preserve">has standing committee arrangements to facilitate consultation with </w:t>
      </w:r>
      <w:r w:rsidRPr="001A48D3">
        <w:rPr>
          <w:iCs/>
        </w:rPr>
        <w:t xml:space="preserve">the key stakeholders </w:t>
      </w:r>
      <w:r w:rsidR="00EB4ACF" w:rsidRPr="001A48D3">
        <w:rPr>
          <w:iCs/>
        </w:rPr>
        <w:t xml:space="preserve">and </w:t>
      </w:r>
      <w:r w:rsidRPr="001A48D3">
        <w:rPr>
          <w:iCs/>
        </w:rPr>
        <w:t>identify</w:t>
      </w:r>
      <w:r w:rsidR="005C76B2" w:rsidRPr="001A48D3">
        <w:rPr>
          <w:iCs/>
        </w:rPr>
        <w:t xml:space="preserve"> any</w:t>
      </w:r>
      <w:r w:rsidRPr="001A48D3">
        <w:rPr>
          <w:iCs/>
        </w:rPr>
        <w:t xml:space="preserve"> </w:t>
      </w:r>
      <w:r w:rsidR="005C76B2" w:rsidRPr="001A48D3">
        <w:rPr>
          <w:iCs/>
        </w:rPr>
        <w:t xml:space="preserve">matters that may </w:t>
      </w:r>
      <w:r w:rsidRPr="001A48D3">
        <w:rPr>
          <w:iCs/>
        </w:rPr>
        <w:t xml:space="preserve">affect </w:t>
      </w:r>
      <w:r w:rsidR="005C76B2" w:rsidRPr="001A48D3">
        <w:rPr>
          <w:iCs/>
        </w:rPr>
        <w:t xml:space="preserve">the implementation of </w:t>
      </w:r>
      <w:r w:rsidRPr="001A48D3">
        <w:rPr>
          <w:iCs/>
        </w:rPr>
        <w:t>existing ADRs.</w:t>
      </w:r>
    </w:p>
    <w:p w:rsidR="00E94969" w:rsidRPr="001A48D3" w:rsidRDefault="00E94969" w:rsidP="00B52F7D">
      <w:pPr>
        <w:pStyle w:val="Heading1"/>
      </w:pPr>
      <w:r w:rsidRPr="001A48D3">
        <w:br w:type="page"/>
      </w:r>
      <w:bookmarkStart w:id="121" w:name="_Toc430182577"/>
      <w:r w:rsidRPr="001A48D3">
        <w:lastRenderedPageBreak/>
        <w:t>Appendix A</w:t>
      </w:r>
      <w:r w:rsidRPr="001A48D3">
        <w:tab/>
      </w:r>
      <w:r w:rsidR="00DF4665">
        <w:t>S</w:t>
      </w:r>
      <w:r w:rsidRPr="001A48D3">
        <w:t xml:space="preserve">upplementary </w:t>
      </w:r>
      <w:r w:rsidR="00DF4665">
        <w:t>I</w:t>
      </w:r>
      <w:r w:rsidRPr="001A48D3">
        <w:t xml:space="preserve">nformation on </w:t>
      </w:r>
      <w:r w:rsidR="00DF4665">
        <w:t>U</w:t>
      </w:r>
      <w:r w:rsidRPr="001A48D3">
        <w:t xml:space="preserve">rban </w:t>
      </w:r>
      <w:r w:rsidR="00DF4665">
        <w:t>A</w:t>
      </w:r>
      <w:r w:rsidRPr="001A48D3">
        <w:t xml:space="preserve">ir </w:t>
      </w:r>
      <w:r w:rsidR="00DF4665">
        <w:t>P</w:t>
      </w:r>
      <w:r w:rsidRPr="001A48D3">
        <w:t>ollution</w:t>
      </w:r>
      <w:bookmarkEnd w:id="121"/>
      <w:r w:rsidRPr="001A48D3">
        <w:t xml:space="preserve"> </w:t>
      </w:r>
    </w:p>
    <w:p w:rsidR="005272E6" w:rsidRPr="001A48D3" w:rsidRDefault="005272E6" w:rsidP="00B52F7D">
      <w:pPr>
        <w:pStyle w:val="Heading2"/>
      </w:pPr>
      <w:bookmarkStart w:id="122" w:name="_Toc430182578"/>
      <w:r w:rsidRPr="001A48D3">
        <w:t>Health Impacts of Key Urban Air Pollutants</w:t>
      </w:r>
      <w:bookmarkEnd w:id="122"/>
    </w:p>
    <w:p w:rsidR="00E13105" w:rsidRPr="001A48D3" w:rsidRDefault="00E13105" w:rsidP="00C4701A">
      <w:pPr>
        <w:spacing w:after="120"/>
      </w:pPr>
      <w:r w:rsidRPr="001A48D3">
        <w:t xml:space="preserve">While urban air quality in Australia is generally good, there are still significant health concerns in relation to the concentrations of air pollutants.  The air pollutants relevant to this RIS are particulate matter (PM) - especially fine and ultrafine particles - nitrogen oxides, and ground level ozone - an indicator of photochemical smog.  Motor vehicles are a major contributor to these pollutants in urban air, and vehicle numbers and usage continue to rise. </w:t>
      </w:r>
    </w:p>
    <w:p w:rsidR="00E94969" w:rsidRPr="001A48D3" w:rsidRDefault="00E94969" w:rsidP="00C4701A">
      <w:pPr>
        <w:spacing w:after="120"/>
      </w:pPr>
      <w:r w:rsidRPr="001A48D3">
        <w:t>Studies conducted in cities in the US, Europe, Australia and New Zealand</w:t>
      </w:r>
      <w:r w:rsidRPr="001A48D3">
        <w:rPr>
          <w:rStyle w:val="FootnoteReference"/>
        </w:rPr>
        <w:footnoteReference w:id="51"/>
      </w:r>
      <w:r w:rsidRPr="001A48D3">
        <w:rPr>
          <w:vertAlign w:val="superscript"/>
        </w:rPr>
        <w:t>,</w:t>
      </w:r>
      <w:r w:rsidRPr="001A48D3">
        <w:rPr>
          <w:rStyle w:val="FootnoteReference"/>
        </w:rPr>
        <w:footnoteReference w:id="52"/>
      </w:r>
      <w:r w:rsidRPr="001A48D3">
        <w:rPr>
          <w:vertAlign w:val="superscript"/>
        </w:rPr>
        <w:t>,</w:t>
      </w:r>
      <w:r w:rsidRPr="001A48D3">
        <w:rPr>
          <w:rStyle w:val="FootnoteReference"/>
        </w:rPr>
        <w:footnoteReference w:id="53"/>
      </w:r>
      <w:r w:rsidRPr="001A48D3">
        <w:rPr>
          <w:vertAlign w:val="superscript"/>
        </w:rPr>
        <w:t>,</w:t>
      </w:r>
      <w:r w:rsidRPr="001A48D3">
        <w:rPr>
          <w:rStyle w:val="FootnoteReference"/>
        </w:rPr>
        <w:footnoteReference w:id="54"/>
      </w:r>
      <w:r w:rsidRPr="001A48D3">
        <w:rPr>
          <w:vertAlign w:val="superscript"/>
        </w:rPr>
        <w:t>,</w:t>
      </w:r>
      <w:r w:rsidRPr="001A48D3">
        <w:rPr>
          <w:rStyle w:val="FootnoteReference"/>
        </w:rPr>
        <w:footnoteReference w:id="55"/>
      </w:r>
      <w:r w:rsidRPr="001A48D3">
        <w:rPr>
          <w:vertAlign w:val="superscript"/>
        </w:rPr>
        <w:t>,</w:t>
      </w:r>
      <w:r w:rsidRPr="001A48D3">
        <w:rPr>
          <w:rStyle w:val="FootnoteReference"/>
        </w:rPr>
        <w:footnoteReference w:id="56"/>
      </w:r>
      <w:r w:rsidRPr="001A48D3">
        <w:t xml:space="preserve"> have repeatedly found associations between short-term increases in ambient levels of PM</w:t>
      </w:r>
      <w:r w:rsidRPr="001A48D3">
        <w:rPr>
          <w:vertAlign w:val="subscript"/>
        </w:rPr>
        <w:t>10</w:t>
      </w:r>
      <w:r w:rsidRPr="001A48D3">
        <w:t xml:space="preserve"> and PM</w:t>
      </w:r>
      <w:r w:rsidRPr="001A48D3">
        <w:rPr>
          <w:vertAlign w:val="subscript"/>
        </w:rPr>
        <w:t>2.5</w:t>
      </w:r>
      <w:r w:rsidRPr="001A48D3">
        <w:rPr>
          <w:rStyle w:val="FootnoteReference"/>
        </w:rPr>
        <w:footnoteReference w:id="57"/>
      </w:r>
      <w:r w:rsidRPr="001A48D3">
        <w:t xml:space="preserve"> and daily mortality, and cardiovascular and respiratory morbidity.  The risk of these effects increases with each 10μg/m</w:t>
      </w:r>
      <w:r w:rsidRPr="001A48D3">
        <w:rPr>
          <w:vertAlign w:val="superscript"/>
        </w:rPr>
        <w:t>3</w:t>
      </w:r>
      <w:r w:rsidRPr="001A48D3">
        <w:t xml:space="preserve"> increase in PM levels.  These associations are observed even when air pollutant concentrations are below national standards. </w:t>
      </w:r>
    </w:p>
    <w:p w:rsidR="003007DB" w:rsidRPr="001A48D3" w:rsidRDefault="003007DB" w:rsidP="00C4701A">
      <w:pPr>
        <w:spacing w:after="120"/>
      </w:pPr>
      <w:r w:rsidRPr="001A48D3">
        <w:t xml:space="preserve">While most research has been conducted using </w:t>
      </w:r>
      <w:r w:rsidR="00447172" w:rsidRPr="001A48D3">
        <w:t>PM</w:t>
      </w:r>
      <w:r w:rsidR="00447172" w:rsidRPr="001A48D3">
        <w:rPr>
          <w:vertAlign w:val="subscript"/>
        </w:rPr>
        <w:t>10</w:t>
      </w:r>
      <w:r w:rsidR="00447172" w:rsidRPr="001A48D3">
        <w:t xml:space="preserve"> </w:t>
      </w:r>
      <w:r w:rsidRPr="001A48D3">
        <w:t>as an indicator, recent research indicates that short-term exposure to PM</w:t>
      </w:r>
      <w:r w:rsidRPr="001A48D3">
        <w:rPr>
          <w:vertAlign w:val="subscript"/>
        </w:rPr>
        <w:t>2.5</w:t>
      </w:r>
      <w:r w:rsidRPr="001A48D3">
        <w:t xml:space="preserve"> in urban air is associated with mortality from cardiopulmonary diseases, hospitalization and emergency department visits for cardiopulmonary diseases, increased respiratory symptoms, decreased lung function, and physiological changes or biomarkers for cardiac changes.  Long-term exposure to PM</w:t>
      </w:r>
      <w:r w:rsidRPr="001A48D3">
        <w:rPr>
          <w:vertAlign w:val="subscript"/>
        </w:rPr>
        <w:t>2.5</w:t>
      </w:r>
      <w:r w:rsidRPr="001A48D3">
        <w:t xml:space="preserve"> is associated with mortality from cardiopulmonary diseases and lung cancer, and effects on the respiratory system such as decreased lung function or the development of chronic respiratory disease.</w:t>
      </w:r>
    </w:p>
    <w:p w:rsidR="003007DB" w:rsidRPr="001A48D3" w:rsidRDefault="003007DB" w:rsidP="00C4701A">
      <w:pPr>
        <w:spacing w:after="120"/>
      </w:pPr>
      <w:r w:rsidRPr="001A48D3">
        <w:t xml:space="preserve">PM from motor vehicle exhaust in particular is the subject of increasing concern amongst health researchers, with linkages between adverse health effects and exposure being demonstrated at increasingly lower levels of PM in the atmosphere.  </w:t>
      </w:r>
      <w:r w:rsidRPr="001A48D3">
        <w:lastRenderedPageBreak/>
        <w:t>New research suggests the risks of cardiovascular effects may be particularly great for exposure to fine (&lt;2.5</w:t>
      </w:r>
      <w:r w:rsidRPr="001A48D3">
        <w:rPr>
          <w:szCs w:val="24"/>
        </w:rPr>
        <w:sym w:font="Symbol" w:char="F06D"/>
      </w:r>
      <w:r w:rsidRPr="001A48D3">
        <w:t>m) and ultrafine (&lt;0.1</w:t>
      </w:r>
      <w:r w:rsidRPr="001A48D3">
        <w:rPr>
          <w:szCs w:val="24"/>
        </w:rPr>
        <w:sym w:font="Symbol" w:char="F06D"/>
      </w:r>
      <w:r w:rsidRPr="001A48D3">
        <w:t>m)</w:t>
      </w:r>
      <w:r w:rsidRPr="001A48D3">
        <w:rPr>
          <w:rFonts w:cs="Trebuchet MS"/>
        </w:rPr>
        <w:t xml:space="preserve"> </w:t>
      </w:r>
      <w:r w:rsidRPr="001A48D3">
        <w:t xml:space="preserve">exhaust </w:t>
      </w:r>
      <w:r w:rsidRPr="001A48D3">
        <w:rPr>
          <w:rFonts w:cs="Trebuchet MS"/>
        </w:rPr>
        <w:t>particles</w:t>
      </w:r>
      <w:r w:rsidRPr="001A48D3">
        <w:rPr>
          <w:rStyle w:val="FootnoteReference"/>
          <w:rFonts w:cs="Trebuchet MS"/>
        </w:rPr>
        <w:footnoteReference w:id="58"/>
      </w:r>
      <w:r w:rsidRPr="001A48D3">
        <w:t>.</w:t>
      </w:r>
    </w:p>
    <w:p w:rsidR="00E94969" w:rsidRPr="001A48D3" w:rsidRDefault="00E94969" w:rsidP="00C4701A">
      <w:pPr>
        <w:spacing w:after="120"/>
      </w:pPr>
      <w:r w:rsidRPr="001A48D3">
        <w:t>While the number of studies of exposure to ultrafine particulate (UFPs) is still limited, there is a large body of evidence from controlled human exposure studies using fresh exhaust from diesel engines which demonstrates effects on the cardiovascular system</w:t>
      </w:r>
      <w:r w:rsidRPr="001A48D3">
        <w:rPr>
          <w:rStyle w:val="FootnoteReference"/>
        </w:rPr>
        <w:footnoteReference w:id="59"/>
      </w:r>
      <w:r w:rsidRPr="001A48D3">
        <w:t>.  Diesel exhaust PM is dominated by UFPs.  These studies</w:t>
      </w:r>
      <w:r w:rsidRPr="001A48D3">
        <w:rPr>
          <w:rStyle w:val="FootnoteReference"/>
        </w:rPr>
        <w:footnoteReference w:id="60"/>
      </w:r>
      <w:r w:rsidRPr="001A48D3">
        <w:rPr>
          <w:vertAlign w:val="superscript"/>
        </w:rPr>
        <w:t>,</w:t>
      </w:r>
      <w:r w:rsidRPr="001A48D3">
        <w:rPr>
          <w:rStyle w:val="FootnoteReference"/>
        </w:rPr>
        <w:footnoteReference w:id="61"/>
      </w:r>
      <w:r w:rsidRPr="001A48D3">
        <w:rPr>
          <w:vertAlign w:val="superscript"/>
        </w:rPr>
        <w:t>,</w:t>
      </w:r>
      <w:r w:rsidRPr="001A48D3">
        <w:rPr>
          <w:rStyle w:val="FootnoteReference"/>
        </w:rPr>
        <w:footnoteReference w:id="62"/>
      </w:r>
      <w:r w:rsidRPr="001A48D3">
        <w:rPr>
          <w:vertAlign w:val="superscript"/>
        </w:rPr>
        <w:t>,</w:t>
      </w:r>
      <w:r w:rsidRPr="001A48D3">
        <w:rPr>
          <w:rStyle w:val="FootnoteReference"/>
        </w:rPr>
        <w:footnoteReference w:id="63"/>
      </w:r>
      <w:r w:rsidRPr="001A48D3">
        <w:rPr>
          <w:vertAlign w:val="superscript"/>
        </w:rPr>
        <w:t>,</w:t>
      </w:r>
      <w:r w:rsidRPr="001A48D3">
        <w:rPr>
          <w:rStyle w:val="FootnoteReference"/>
        </w:rPr>
        <w:footnoteReference w:id="64"/>
      </w:r>
      <w:r w:rsidRPr="001A48D3">
        <w:rPr>
          <w:vertAlign w:val="superscript"/>
        </w:rPr>
        <w:t>,</w:t>
      </w:r>
      <w:r w:rsidRPr="001A48D3">
        <w:rPr>
          <w:rStyle w:val="FootnoteReference"/>
        </w:rPr>
        <w:footnoteReference w:id="65"/>
      </w:r>
      <w:r w:rsidRPr="001A48D3">
        <w:t xml:space="preserve"> suggest that exhaust particles affect vascular function in both healthy individuals and those with pre-existing cardiovascular disease. </w:t>
      </w:r>
    </w:p>
    <w:p w:rsidR="00E94969" w:rsidRPr="001A48D3" w:rsidRDefault="00E94969" w:rsidP="00C4701A">
      <w:pPr>
        <w:spacing w:after="120"/>
      </w:pPr>
      <w:r w:rsidRPr="001A48D3">
        <w:t>Many studies also suggest that the surface of particles or substances released from the surface (e.g. transition metals, organics) interact with biological substrates, and that surface-associated free radicals or free radical-generating systems may be responsible for toxicity, resulting in greater toxicity of UFPs per particle surface area than larger particles.  Additionally, smaller particles may have greater potential to cross cell membranes and epithelial barriers</w:t>
      </w:r>
      <w:r w:rsidRPr="001A48D3">
        <w:rPr>
          <w:rStyle w:val="FootnoteReference"/>
        </w:rPr>
        <w:footnoteReference w:id="66"/>
      </w:r>
      <w:r w:rsidRPr="001A48D3">
        <w:t>.  For a given mass, the enormous number and large surface area of UFPs highlight the importance of considering the size of the particle in assessing response.  For example, UFPs with a diameter of 20 nm, when inhaled at the same mass concentration, have a number concentration that is approximately 6 orders of magnitude higher than for a 2.5-μm diameter particle.  Particle surface area is also greatly increased with ultrafine PM</w:t>
      </w:r>
      <w:r w:rsidRPr="001A48D3">
        <w:rPr>
          <w:rStyle w:val="FootnoteReference"/>
        </w:rPr>
        <w:footnoteReference w:id="67"/>
      </w:r>
      <w:r w:rsidRPr="001A48D3">
        <w:t xml:space="preserve">. </w:t>
      </w:r>
    </w:p>
    <w:p w:rsidR="00E94969" w:rsidRPr="001A48D3" w:rsidRDefault="00E94969" w:rsidP="00C4701A">
      <w:pPr>
        <w:spacing w:after="120"/>
      </w:pPr>
      <w:r w:rsidRPr="001A48D3">
        <w:t xml:space="preserve">In recent years there has been an increased focus among the international scientific community on gaining a better understanding of the potential health effects associated with exposure to UFPs, especially from traffic exhaust, and more research is being conducted that examines associations between particle number concentrations and health effects. </w:t>
      </w:r>
    </w:p>
    <w:p w:rsidR="00E94969" w:rsidRPr="001A48D3" w:rsidRDefault="00E94969" w:rsidP="00C4701A">
      <w:pPr>
        <w:spacing w:after="120"/>
      </w:pPr>
      <w:r w:rsidRPr="001A48D3">
        <w:lastRenderedPageBreak/>
        <w:t>The current consensus is that there is no safe level of exposure to PM and that any reduction in particle concentrations would improve population health outcomes</w:t>
      </w:r>
      <w:r w:rsidRPr="001A48D3">
        <w:rPr>
          <w:rStyle w:val="FootnoteReference"/>
        </w:rPr>
        <w:footnoteReference w:id="68"/>
      </w:r>
      <w:r w:rsidRPr="001A48D3">
        <w:rPr>
          <w:vertAlign w:val="superscript"/>
        </w:rPr>
        <w:t>,</w:t>
      </w:r>
      <w:r w:rsidRPr="001A48D3">
        <w:rPr>
          <w:rStyle w:val="FootnoteReference"/>
        </w:rPr>
        <w:footnoteReference w:id="69"/>
      </w:r>
      <w:r w:rsidRPr="001A48D3">
        <w:rPr>
          <w:vertAlign w:val="superscript"/>
        </w:rPr>
        <w:t>,</w:t>
      </w:r>
      <w:r w:rsidRPr="001A48D3">
        <w:rPr>
          <w:rStyle w:val="FootnoteReference"/>
        </w:rPr>
        <w:footnoteReference w:id="70"/>
      </w:r>
      <w:r w:rsidRPr="001A48D3">
        <w:rPr>
          <w:vertAlign w:val="superscript"/>
        </w:rPr>
        <w:t>,</w:t>
      </w:r>
      <w:r w:rsidRPr="001A48D3">
        <w:rPr>
          <w:rStyle w:val="FootnoteReference"/>
        </w:rPr>
        <w:footnoteReference w:id="71"/>
      </w:r>
      <w:r w:rsidRPr="001A48D3">
        <w:t>.</w:t>
      </w:r>
    </w:p>
    <w:p w:rsidR="00E94969" w:rsidRPr="001A48D3" w:rsidRDefault="00E94969" w:rsidP="00C4701A">
      <w:pPr>
        <w:spacing w:after="120"/>
      </w:pPr>
      <w:r w:rsidRPr="001A48D3">
        <w:t>Ozone is a secondary pollutant formed from the interaction of hydrocarbons (HCs), often referred to as volatile organic compounds (VOCs), and NOx.  Ambient levels of ozone, below the current standards, are linked with increases in mortality and morbidity, including hospital admissions and emergency department attendances, exacerbation of asthma, decreases in lung function and increases in respiratory symptoms</w:t>
      </w:r>
      <w:r w:rsidRPr="001A48D3">
        <w:rPr>
          <w:rStyle w:val="FootnoteReference"/>
        </w:rPr>
        <w:footnoteReference w:id="72"/>
      </w:r>
      <w:r w:rsidRPr="001A48D3">
        <w:rPr>
          <w:vertAlign w:val="superscript"/>
        </w:rPr>
        <w:t>,</w:t>
      </w:r>
      <w:r w:rsidRPr="001A48D3">
        <w:rPr>
          <w:rStyle w:val="FootnoteReference"/>
        </w:rPr>
        <w:footnoteReference w:id="73"/>
      </w:r>
      <w:r w:rsidRPr="001A48D3">
        <w:rPr>
          <w:vertAlign w:val="superscript"/>
        </w:rPr>
        <w:t>,</w:t>
      </w:r>
      <w:r w:rsidRPr="001A48D3">
        <w:rPr>
          <w:rStyle w:val="FootnoteReference"/>
        </w:rPr>
        <w:footnoteReference w:id="74"/>
      </w:r>
      <w:r w:rsidRPr="001A48D3">
        <w:rPr>
          <w:vertAlign w:val="superscript"/>
        </w:rPr>
        <w:t>,</w:t>
      </w:r>
      <w:r w:rsidRPr="001A48D3">
        <w:rPr>
          <w:rStyle w:val="FootnoteReference"/>
        </w:rPr>
        <w:footnoteReference w:id="75"/>
      </w:r>
      <w:r w:rsidRPr="001A48D3">
        <w:rPr>
          <w:vertAlign w:val="superscript"/>
        </w:rPr>
        <w:t xml:space="preserve"> </w:t>
      </w:r>
      <w:r w:rsidRPr="001A48D3">
        <w:t>.  As with particulates, it is not possible to detect a distinct threshold for ozone, below which no individual would experience a given adverse health effect, especially given some members of a population are sensitive even at very low concentrations</w:t>
      </w:r>
      <w:r w:rsidRPr="001A48D3">
        <w:rPr>
          <w:rStyle w:val="FootnoteReference"/>
        </w:rPr>
        <w:footnoteReference w:id="76"/>
      </w:r>
      <w:r w:rsidRPr="001A48D3">
        <w:t>.</w:t>
      </w:r>
    </w:p>
    <w:p w:rsidR="003007DB" w:rsidRPr="001A48D3" w:rsidRDefault="003007DB" w:rsidP="00C4701A">
      <w:pPr>
        <w:spacing w:after="120"/>
      </w:pPr>
      <w:r w:rsidRPr="001A48D3">
        <w:t>Nitrogen oxides (NOx) emitted from motor vehicles contribute to the formation of both ozone and fine particles. The nitrogen oxides (NOx) are comprised mainly of nitric oxide (NO, approximately 95%) and nitrogen dioxide (NO</w:t>
      </w:r>
      <w:r w:rsidRPr="001A48D3">
        <w:rPr>
          <w:vertAlign w:val="subscript"/>
        </w:rPr>
        <w:t>2</w:t>
      </w:r>
      <w:r w:rsidRPr="001A48D3">
        <w:t xml:space="preserve">, approximately 5%).  In the atmosphere, nitric oxide oxidises to the more toxic nitrogen dioxide. </w:t>
      </w:r>
    </w:p>
    <w:p w:rsidR="00E94969" w:rsidRPr="001A48D3" w:rsidRDefault="003007DB" w:rsidP="00C4701A">
      <w:pPr>
        <w:spacing w:after="120"/>
      </w:pPr>
      <w:r w:rsidRPr="001A48D3">
        <w:t xml:space="preserve">There are strong associations between levels of nitrogen dioxide in the air and daily mortality, hospital admissions for asthma, chronic obstructive pulmonary disease and heart disease.  </w:t>
      </w:r>
      <w:r w:rsidR="00E94969" w:rsidRPr="001A48D3">
        <w:t>Numerous studies</w:t>
      </w:r>
      <w:r w:rsidR="00E94969" w:rsidRPr="001A48D3">
        <w:rPr>
          <w:rStyle w:val="FootnoteReference"/>
        </w:rPr>
        <w:footnoteReference w:id="77"/>
      </w:r>
      <w:r w:rsidR="00E94969" w:rsidRPr="001A48D3">
        <w:rPr>
          <w:vertAlign w:val="superscript"/>
        </w:rPr>
        <w:t>,</w:t>
      </w:r>
      <w:r w:rsidR="00E94969" w:rsidRPr="001A48D3">
        <w:rPr>
          <w:rStyle w:val="FootnoteReference"/>
        </w:rPr>
        <w:footnoteReference w:id="78"/>
      </w:r>
      <w:r w:rsidR="00E94969" w:rsidRPr="001A48D3">
        <w:rPr>
          <w:vertAlign w:val="superscript"/>
        </w:rPr>
        <w:t>,</w:t>
      </w:r>
      <w:r w:rsidR="00E94969" w:rsidRPr="001A48D3">
        <w:rPr>
          <w:rStyle w:val="FootnoteReference"/>
        </w:rPr>
        <w:footnoteReference w:id="79"/>
      </w:r>
      <w:r w:rsidR="00E94969" w:rsidRPr="001A48D3">
        <w:t xml:space="preserve"> in Australian cities have found increases in NO</w:t>
      </w:r>
      <w:r w:rsidR="00E94969" w:rsidRPr="001A48D3">
        <w:rPr>
          <w:vertAlign w:val="subscript"/>
        </w:rPr>
        <w:t>2</w:t>
      </w:r>
      <w:r w:rsidR="00E94969" w:rsidRPr="001A48D3">
        <w:t xml:space="preserve"> are associated with increased </w:t>
      </w:r>
      <w:r w:rsidRPr="001A48D3">
        <w:t xml:space="preserve">daily mortality, </w:t>
      </w:r>
      <w:r w:rsidR="00E94969" w:rsidRPr="001A48D3">
        <w:t xml:space="preserve">hospital admissions of children </w:t>
      </w:r>
      <w:r w:rsidR="00E94969" w:rsidRPr="001A48D3">
        <w:lastRenderedPageBreak/>
        <w:t>for respiratory disease and of the elderly (&gt;65 years) for cardiovascular disease</w:t>
      </w:r>
      <w:r w:rsidR="00E94969" w:rsidRPr="001A48D3">
        <w:rPr>
          <w:rStyle w:val="FootnoteReference"/>
        </w:rPr>
        <w:footnoteReference w:id="80"/>
      </w:r>
      <w:r w:rsidR="00E94969" w:rsidRPr="001A48D3">
        <w:t>.  These effects are reported at levels below the current air quality standards.  A 2004 study in Perth</w:t>
      </w:r>
      <w:r w:rsidR="00E94969" w:rsidRPr="001A48D3">
        <w:rPr>
          <w:rStyle w:val="FootnoteReference"/>
        </w:rPr>
        <w:footnoteReference w:id="81"/>
      </w:r>
      <w:r w:rsidR="00E94969" w:rsidRPr="001A48D3">
        <w:t xml:space="preserve"> reported increases in cardiovascular mortality with each 1 ppb increase in NO</w:t>
      </w:r>
      <w:r w:rsidR="00E94969" w:rsidRPr="001A48D3">
        <w:rPr>
          <w:vertAlign w:val="subscript"/>
        </w:rPr>
        <w:t>2</w:t>
      </w:r>
      <w:r w:rsidR="00E94969" w:rsidRPr="001A48D3">
        <w:t xml:space="preserve">. </w:t>
      </w:r>
    </w:p>
    <w:p w:rsidR="00E94969" w:rsidRPr="001A48D3" w:rsidRDefault="005272E6" w:rsidP="00B52F7D">
      <w:pPr>
        <w:pStyle w:val="Heading2"/>
      </w:pPr>
      <w:bookmarkStart w:id="123" w:name="_Toc430182579"/>
      <w:r w:rsidRPr="001A48D3">
        <w:t xml:space="preserve">Australia’s </w:t>
      </w:r>
      <w:r w:rsidR="00E94969" w:rsidRPr="001A48D3">
        <w:t>Ambient Air Quality Standards</w:t>
      </w:r>
      <w:bookmarkEnd w:id="123"/>
    </w:p>
    <w:p w:rsidR="00E94969" w:rsidRPr="001A48D3" w:rsidRDefault="00E94969" w:rsidP="00C4701A">
      <w:pPr>
        <w:spacing w:after="120"/>
      </w:pPr>
      <w:r w:rsidRPr="001A48D3">
        <w:t>In June 1998, the NEPC made the National Environment Protection Measure for Ambient Air Quality (the AAQ NEPM), which set Australia’s first national ambient air quality standards.  The AAQ NEPM sets national standards for the six criteria pollutants specified in Table </w:t>
      </w:r>
      <w:r w:rsidR="00244954" w:rsidRPr="001A48D3">
        <w:t>A</w:t>
      </w:r>
      <w:r w:rsidRPr="001A48D3">
        <w:t xml:space="preserve">1.  The goals for each pollutant set out in Table </w:t>
      </w:r>
      <w:r w:rsidR="00244954" w:rsidRPr="001A48D3">
        <w:t>A</w:t>
      </w:r>
      <w:r w:rsidRPr="001A48D3">
        <w:t>1 apply in the Commonwealth and each State and Territory of Australia and must be met by the year 2008.</w:t>
      </w:r>
    </w:p>
    <w:p w:rsidR="00E94969" w:rsidRPr="001A48D3" w:rsidRDefault="00244954" w:rsidP="00C4701A">
      <w:pPr>
        <w:spacing w:afterLines="80" w:after="192"/>
      </w:pPr>
      <w:r w:rsidRPr="001A48D3">
        <w:br w:type="page"/>
      </w:r>
    </w:p>
    <w:p w:rsidR="00E94969" w:rsidRPr="001A48D3" w:rsidRDefault="00E94969" w:rsidP="00C4701A">
      <w:pPr>
        <w:pStyle w:val="Heading3"/>
        <w:spacing w:after="120"/>
      </w:pPr>
      <w:bookmarkStart w:id="124" w:name="_Toc430182580"/>
      <w:r w:rsidRPr="001A48D3">
        <w:lastRenderedPageBreak/>
        <w:t xml:space="preserve">Table </w:t>
      </w:r>
      <w:r w:rsidR="00244954" w:rsidRPr="001A48D3">
        <w:t>A</w:t>
      </w:r>
      <w:r w:rsidRPr="001A48D3">
        <w:t>1</w:t>
      </w:r>
      <w:r w:rsidRPr="001A48D3">
        <w:tab/>
        <w:t>Australia’s Ambient Air Quality NEPM Standards</w:t>
      </w:r>
      <w:bookmarkEnd w:id="124"/>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20" w:firstRow="1" w:lastRow="0" w:firstColumn="0" w:lastColumn="0" w:noHBand="0" w:noVBand="0"/>
      </w:tblPr>
      <w:tblGrid>
        <w:gridCol w:w="2325"/>
        <w:gridCol w:w="1452"/>
        <w:gridCol w:w="2379"/>
        <w:gridCol w:w="3282"/>
      </w:tblGrid>
      <w:tr w:rsidR="00E94969" w:rsidRPr="001A48D3" w:rsidTr="00153F3E">
        <w:trPr>
          <w:tblHeader/>
        </w:trPr>
        <w:tc>
          <w:tcPr>
            <w:tcW w:w="2325" w:type="dxa"/>
            <w:shd w:val="clear" w:color="auto" w:fill="FFC000"/>
            <w:vAlign w:val="center"/>
          </w:tcPr>
          <w:p w:rsidR="00E94969" w:rsidRPr="001A48D3" w:rsidRDefault="00E94969" w:rsidP="00C4701A">
            <w:pPr>
              <w:keepNext/>
              <w:keepLines/>
              <w:spacing w:before="120" w:after="120"/>
              <w:jc w:val="center"/>
              <w:rPr>
                <w:rFonts w:eastAsia="Arial Unicode MS"/>
                <w:b/>
                <w:sz w:val="22"/>
                <w:szCs w:val="22"/>
              </w:rPr>
            </w:pPr>
            <w:r w:rsidRPr="001A48D3">
              <w:rPr>
                <w:b/>
                <w:sz w:val="22"/>
                <w:szCs w:val="22"/>
              </w:rPr>
              <w:t>Criteria Pollutant</w:t>
            </w:r>
          </w:p>
        </w:tc>
        <w:tc>
          <w:tcPr>
            <w:tcW w:w="1452" w:type="dxa"/>
            <w:shd w:val="clear" w:color="auto" w:fill="FFC000"/>
            <w:vAlign w:val="center"/>
          </w:tcPr>
          <w:p w:rsidR="00E94969" w:rsidRPr="001A48D3" w:rsidRDefault="00E94969" w:rsidP="00C4701A">
            <w:pPr>
              <w:keepNext/>
              <w:keepLines/>
              <w:spacing w:before="120" w:after="120"/>
              <w:jc w:val="center"/>
              <w:rPr>
                <w:rFonts w:eastAsia="Arial Unicode MS"/>
                <w:b/>
                <w:sz w:val="22"/>
                <w:szCs w:val="22"/>
              </w:rPr>
            </w:pPr>
            <w:r w:rsidRPr="001A48D3">
              <w:rPr>
                <w:b/>
                <w:sz w:val="22"/>
                <w:szCs w:val="22"/>
              </w:rPr>
              <w:t>Averaging Period</w:t>
            </w:r>
          </w:p>
        </w:tc>
        <w:tc>
          <w:tcPr>
            <w:tcW w:w="2379" w:type="dxa"/>
            <w:shd w:val="clear" w:color="auto" w:fill="FFC000"/>
            <w:vAlign w:val="center"/>
          </w:tcPr>
          <w:p w:rsidR="00E94969" w:rsidRPr="001A48D3" w:rsidRDefault="00E94969" w:rsidP="00C4701A">
            <w:pPr>
              <w:keepNext/>
              <w:keepLines/>
              <w:spacing w:before="120" w:after="120"/>
              <w:jc w:val="center"/>
              <w:rPr>
                <w:rFonts w:eastAsia="Arial Unicode MS"/>
                <w:b/>
                <w:sz w:val="22"/>
                <w:szCs w:val="22"/>
              </w:rPr>
            </w:pPr>
            <w:r w:rsidRPr="001A48D3">
              <w:rPr>
                <w:b/>
                <w:sz w:val="22"/>
                <w:szCs w:val="22"/>
              </w:rPr>
              <w:t>Maximum (ambient) Concentration</w:t>
            </w:r>
          </w:p>
        </w:tc>
        <w:tc>
          <w:tcPr>
            <w:tcW w:w="3282" w:type="dxa"/>
            <w:shd w:val="clear" w:color="auto" w:fill="FFC000"/>
            <w:vAlign w:val="center"/>
          </w:tcPr>
          <w:p w:rsidR="00E94969" w:rsidRPr="001A48D3" w:rsidRDefault="00E94969" w:rsidP="00C4701A">
            <w:pPr>
              <w:keepNext/>
              <w:keepLines/>
              <w:spacing w:before="120" w:after="120"/>
              <w:jc w:val="center"/>
              <w:rPr>
                <w:rFonts w:eastAsia="Arial Unicode MS"/>
                <w:b/>
                <w:sz w:val="22"/>
                <w:szCs w:val="22"/>
              </w:rPr>
            </w:pPr>
            <w:r w:rsidRPr="001A48D3">
              <w:rPr>
                <w:b/>
                <w:sz w:val="22"/>
                <w:szCs w:val="22"/>
              </w:rPr>
              <w:t xml:space="preserve">Air Quality Goal </w:t>
            </w:r>
            <w:r w:rsidRPr="001A48D3">
              <w:rPr>
                <w:b/>
                <w:sz w:val="22"/>
                <w:szCs w:val="22"/>
              </w:rPr>
              <w:br/>
              <w:t xml:space="preserve">(maximum allowable </w:t>
            </w:r>
            <w:proofErr w:type="spellStart"/>
            <w:r w:rsidRPr="001A48D3">
              <w:rPr>
                <w:b/>
                <w:sz w:val="22"/>
                <w:szCs w:val="22"/>
              </w:rPr>
              <w:t>exceedences</w:t>
            </w:r>
            <w:proofErr w:type="spellEnd"/>
            <w:r w:rsidRPr="001A48D3">
              <w:rPr>
                <w:b/>
                <w:sz w:val="22"/>
                <w:szCs w:val="22"/>
              </w:rPr>
              <w:t>)</w:t>
            </w:r>
          </w:p>
        </w:tc>
      </w:tr>
      <w:tr w:rsidR="00E94969" w:rsidRPr="001A48D3" w:rsidTr="00153F3E">
        <w:tc>
          <w:tcPr>
            <w:tcW w:w="2325" w:type="dxa"/>
            <w:vAlign w:val="center"/>
          </w:tcPr>
          <w:p w:rsidR="00E94969" w:rsidRPr="001A48D3" w:rsidRDefault="00E94969" w:rsidP="00C4701A">
            <w:pPr>
              <w:keepNext/>
              <w:spacing w:before="40" w:after="120"/>
              <w:rPr>
                <w:rFonts w:eastAsia="Arial Unicode MS"/>
                <w:sz w:val="22"/>
                <w:szCs w:val="22"/>
              </w:rPr>
            </w:pPr>
            <w:r w:rsidRPr="001A48D3">
              <w:rPr>
                <w:sz w:val="22"/>
                <w:szCs w:val="22"/>
              </w:rPr>
              <w:t>Carbon monoxide (CO)</w:t>
            </w:r>
          </w:p>
        </w:tc>
        <w:tc>
          <w:tcPr>
            <w:tcW w:w="1452" w:type="dxa"/>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8 hours</w:t>
            </w:r>
          </w:p>
        </w:tc>
        <w:tc>
          <w:tcPr>
            <w:tcW w:w="2379" w:type="dxa"/>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9.0ppm</w:t>
            </w:r>
          </w:p>
        </w:tc>
        <w:tc>
          <w:tcPr>
            <w:tcW w:w="3282" w:type="dxa"/>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day a year</w:t>
            </w:r>
          </w:p>
        </w:tc>
      </w:tr>
      <w:tr w:rsidR="00E94969" w:rsidRPr="001A48D3" w:rsidTr="00153F3E">
        <w:trPr>
          <w:cantSplit/>
        </w:trPr>
        <w:tc>
          <w:tcPr>
            <w:tcW w:w="2325" w:type="dxa"/>
            <w:vMerge w:val="restart"/>
            <w:vAlign w:val="center"/>
          </w:tcPr>
          <w:p w:rsidR="00E94969" w:rsidRPr="001A48D3" w:rsidRDefault="00E94969" w:rsidP="00C4701A">
            <w:pPr>
              <w:keepNext/>
              <w:spacing w:before="40" w:after="120"/>
              <w:rPr>
                <w:rFonts w:eastAsia="Arial Unicode MS"/>
                <w:sz w:val="22"/>
                <w:szCs w:val="22"/>
              </w:rPr>
            </w:pPr>
            <w:r w:rsidRPr="001A48D3">
              <w:rPr>
                <w:sz w:val="22"/>
                <w:szCs w:val="22"/>
              </w:rPr>
              <w:t>Nitrogen dioxide (NO</w:t>
            </w:r>
            <w:r w:rsidRPr="001A48D3">
              <w:rPr>
                <w:sz w:val="22"/>
                <w:szCs w:val="22"/>
                <w:vertAlign w:val="subscript"/>
              </w:rPr>
              <w:t>2</w:t>
            </w:r>
            <w:r w:rsidRPr="001A48D3">
              <w:rPr>
                <w:sz w:val="22"/>
                <w:szCs w:val="22"/>
              </w:rPr>
              <w:t>)</w:t>
            </w:r>
          </w:p>
        </w:tc>
        <w:tc>
          <w:tcPr>
            <w:tcW w:w="1452" w:type="dxa"/>
            <w:tcBorders>
              <w:bottom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hour</w:t>
            </w:r>
          </w:p>
        </w:tc>
        <w:tc>
          <w:tcPr>
            <w:tcW w:w="2379" w:type="dxa"/>
            <w:tcBorders>
              <w:bottom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0.12ppm</w:t>
            </w:r>
          </w:p>
        </w:tc>
        <w:tc>
          <w:tcPr>
            <w:tcW w:w="3282" w:type="dxa"/>
            <w:tcBorders>
              <w:bottom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day a year</w:t>
            </w:r>
          </w:p>
        </w:tc>
      </w:tr>
      <w:tr w:rsidR="00E94969" w:rsidRPr="001A48D3" w:rsidTr="00153F3E">
        <w:trPr>
          <w:cantSplit/>
        </w:trPr>
        <w:tc>
          <w:tcPr>
            <w:tcW w:w="2325" w:type="dxa"/>
            <w:vMerge/>
            <w:vAlign w:val="center"/>
          </w:tcPr>
          <w:p w:rsidR="00E94969" w:rsidRPr="001A48D3" w:rsidRDefault="00E94969" w:rsidP="00C4701A">
            <w:pPr>
              <w:keepNext/>
              <w:spacing w:before="40" w:after="120"/>
              <w:rPr>
                <w:rFonts w:eastAsia="Arial Unicode MS"/>
                <w:sz w:val="22"/>
                <w:szCs w:val="22"/>
              </w:rPr>
            </w:pPr>
          </w:p>
        </w:tc>
        <w:tc>
          <w:tcPr>
            <w:tcW w:w="1452" w:type="dxa"/>
            <w:tcBorders>
              <w:top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year</w:t>
            </w:r>
          </w:p>
        </w:tc>
        <w:tc>
          <w:tcPr>
            <w:tcW w:w="2379" w:type="dxa"/>
            <w:tcBorders>
              <w:top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0.03ppm</w:t>
            </w:r>
          </w:p>
        </w:tc>
        <w:tc>
          <w:tcPr>
            <w:tcW w:w="3282" w:type="dxa"/>
            <w:tcBorders>
              <w:top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None</w:t>
            </w:r>
          </w:p>
        </w:tc>
      </w:tr>
      <w:tr w:rsidR="00E94969" w:rsidRPr="001A48D3" w:rsidTr="00153F3E">
        <w:trPr>
          <w:cantSplit/>
        </w:trPr>
        <w:tc>
          <w:tcPr>
            <w:tcW w:w="2325" w:type="dxa"/>
            <w:vMerge w:val="restart"/>
            <w:vAlign w:val="center"/>
          </w:tcPr>
          <w:p w:rsidR="00E94969" w:rsidRPr="001A48D3" w:rsidRDefault="00E94969" w:rsidP="00C4701A">
            <w:pPr>
              <w:keepNext/>
              <w:spacing w:before="40" w:after="120"/>
              <w:rPr>
                <w:rFonts w:eastAsia="Arial Unicode MS"/>
                <w:sz w:val="22"/>
                <w:szCs w:val="22"/>
              </w:rPr>
            </w:pPr>
            <w:r w:rsidRPr="001A48D3">
              <w:rPr>
                <w:sz w:val="22"/>
                <w:szCs w:val="22"/>
              </w:rPr>
              <w:t>Photochemical oxidants (as ozone)</w:t>
            </w:r>
          </w:p>
        </w:tc>
        <w:tc>
          <w:tcPr>
            <w:tcW w:w="1452" w:type="dxa"/>
            <w:tcBorders>
              <w:bottom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hour</w:t>
            </w:r>
          </w:p>
        </w:tc>
        <w:tc>
          <w:tcPr>
            <w:tcW w:w="2379" w:type="dxa"/>
            <w:tcBorders>
              <w:bottom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0.10ppm</w:t>
            </w:r>
          </w:p>
        </w:tc>
        <w:tc>
          <w:tcPr>
            <w:tcW w:w="3282" w:type="dxa"/>
            <w:tcBorders>
              <w:bottom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day a year</w:t>
            </w:r>
          </w:p>
        </w:tc>
      </w:tr>
      <w:tr w:rsidR="00E94969" w:rsidRPr="001A48D3" w:rsidTr="00153F3E">
        <w:trPr>
          <w:cantSplit/>
        </w:trPr>
        <w:tc>
          <w:tcPr>
            <w:tcW w:w="2325" w:type="dxa"/>
            <w:vMerge/>
            <w:vAlign w:val="center"/>
          </w:tcPr>
          <w:p w:rsidR="00E94969" w:rsidRPr="001A48D3" w:rsidRDefault="00E94969" w:rsidP="00C4701A">
            <w:pPr>
              <w:keepNext/>
              <w:spacing w:before="40" w:after="120"/>
              <w:rPr>
                <w:rFonts w:eastAsia="Arial Unicode MS"/>
                <w:sz w:val="22"/>
                <w:szCs w:val="22"/>
              </w:rPr>
            </w:pPr>
          </w:p>
        </w:tc>
        <w:tc>
          <w:tcPr>
            <w:tcW w:w="1452" w:type="dxa"/>
            <w:tcBorders>
              <w:top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4 hours</w:t>
            </w:r>
          </w:p>
        </w:tc>
        <w:tc>
          <w:tcPr>
            <w:tcW w:w="2379" w:type="dxa"/>
            <w:tcBorders>
              <w:top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0.08ppm</w:t>
            </w:r>
          </w:p>
        </w:tc>
        <w:tc>
          <w:tcPr>
            <w:tcW w:w="3282" w:type="dxa"/>
            <w:tcBorders>
              <w:top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day a year</w:t>
            </w:r>
          </w:p>
        </w:tc>
      </w:tr>
      <w:tr w:rsidR="00E94969" w:rsidRPr="001A48D3" w:rsidTr="00153F3E">
        <w:trPr>
          <w:cantSplit/>
        </w:trPr>
        <w:tc>
          <w:tcPr>
            <w:tcW w:w="2325" w:type="dxa"/>
            <w:vMerge w:val="restart"/>
            <w:vAlign w:val="center"/>
          </w:tcPr>
          <w:p w:rsidR="00E94969" w:rsidRPr="001A48D3" w:rsidRDefault="00E94969" w:rsidP="00C4701A">
            <w:pPr>
              <w:keepNext/>
              <w:spacing w:before="40" w:after="120"/>
              <w:rPr>
                <w:rFonts w:eastAsia="Arial Unicode MS"/>
                <w:sz w:val="22"/>
                <w:szCs w:val="22"/>
              </w:rPr>
            </w:pPr>
            <w:proofErr w:type="spellStart"/>
            <w:r w:rsidRPr="001A48D3">
              <w:rPr>
                <w:sz w:val="22"/>
                <w:szCs w:val="22"/>
              </w:rPr>
              <w:t>Sulfur</w:t>
            </w:r>
            <w:proofErr w:type="spellEnd"/>
            <w:r w:rsidRPr="001A48D3">
              <w:rPr>
                <w:sz w:val="22"/>
                <w:szCs w:val="22"/>
              </w:rPr>
              <w:t xml:space="preserve"> dioxide (SO</w:t>
            </w:r>
            <w:r w:rsidRPr="001A48D3">
              <w:rPr>
                <w:sz w:val="22"/>
                <w:szCs w:val="22"/>
                <w:vertAlign w:val="subscript"/>
              </w:rPr>
              <w:t>2</w:t>
            </w:r>
            <w:r w:rsidRPr="001A48D3">
              <w:rPr>
                <w:sz w:val="22"/>
                <w:szCs w:val="22"/>
              </w:rPr>
              <w:t>)</w:t>
            </w:r>
          </w:p>
        </w:tc>
        <w:tc>
          <w:tcPr>
            <w:tcW w:w="1452" w:type="dxa"/>
            <w:tcBorders>
              <w:bottom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hour</w:t>
            </w:r>
          </w:p>
        </w:tc>
        <w:tc>
          <w:tcPr>
            <w:tcW w:w="2379" w:type="dxa"/>
            <w:tcBorders>
              <w:bottom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0.20ppm</w:t>
            </w:r>
          </w:p>
        </w:tc>
        <w:tc>
          <w:tcPr>
            <w:tcW w:w="3282" w:type="dxa"/>
            <w:tcBorders>
              <w:bottom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day a year</w:t>
            </w:r>
          </w:p>
        </w:tc>
      </w:tr>
      <w:tr w:rsidR="00E94969" w:rsidRPr="001A48D3" w:rsidTr="00153F3E">
        <w:trPr>
          <w:cantSplit/>
        </w:trPr>
        <w:tc>
          <w:tcPr>
            <w:tcW w:w="2325" w:type="dxa"/>
            <w:vMerge/>
            <w:vAlign w:val="center"/>
          </w:tcPr>
          <w:p w:rsidR="00E94969" w:rsidRPr="001A48D3" w:rsidRDefault="00E94969" w:rsidP="00C4701A">
            <w:pPr>
              <w:keepNext/>
              <w:spacing w:before="40" w:after="120"/>
              <w:rPr>
                <w:rFonts w:eastAsia="Arial Unicode MS"/>
                <w:sz w:val="22"/>
                <w:szCs w:val="22"/>
              </w:rPr>
            </w:pPr>
          </w:p>
        </w:tc>
        <w:tc>
          <w:tcPr>
            <w:tcW w:w="1452" w:type="dxa"/>
            <w:tcBorders>
              <w:top w:val="nil"/>
              <w:bottom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day</w:t>
            </w:r>
          </w:p>
        </w:tc>
        <w:tc>
          <w:tcPr>
            <w:tcW w:w="2379" w:type="dxa"/>
            <w:tcBorders>
              <w:top w:val="nil"/>
              <w:bottom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0.08ppm</w:t>
            </w:r>
          </w:p>
        </w:tc>
        <w:tc>
          <w:tcPr>
            <w:tcW w:w="3282" w:type="dxa"/>
            <w:tcBorders>
              <w:top w:val="nil"/>
              <w:bottom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day a year</w:t>
            </w:r>
          </w:p>
        </w:tc>
      </w:tr>
      <w:tr w:rsidR="00E94969" w:rsidRPr="001A48D3" w:rsidTr="00153F3E">
        <w:trPr>
          <w:cantSplit/>
        </w:trPr>
        <w:tc>
          <w:tcPr>
            <w:tcW w:w="2325" w:type="dxa"/>
            <w:vMerge/>
            <w:vAlign w:val="center"/>
          </w:tcPr>
          <w:p w:rsidR="00E94969" w:rsidRPr="001A48D3" w:rsidRDefault="00E94969" w:rsidP="00C4701A">
            <w:pPr>
              <w:keepNext/>
              <w:spacing w:before="40" w:after="120"/>
              <w:rPr>
                <w:rFonts w:eastAsia="Arial Unicode MS"/>
                <w:sz w:val="22"/>
                <w:szCs w:val="22"/>
              </w:rPr>
            </w:pPr>
          </w:p>
        </w:tc>
        <w:tc>
          <w:tcPr>
            <w:tcW w:w="1452" w:type="dxa"/>
            <w:tcBorders>
              <w:top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year</w:t>
            </w:r>
          </w:p>
        </w:tc>
        <w:tc>
          <w:tcPr>
            <w:tcW w:w="2379" w:type="dxa"/>
            <w:tcBorders>
              <w:top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0.02ppm</w:t>
            </w:r>
          </w:p>
        </w:tc>
        <w:tc>
          <w:tcPr>
            <w:tcW w:w="3282" w:type="dxa"/>
            <w:tcBorders>
              <w:top w:val="nil"/>
            </w:tcBorders>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None</w:t>
            </w:r>
          </w:p>
        </w:tc>
      </w:tr>
      <w:tr w:rsidR="00E94969" w:rsidRPr="001A48D3" w:rsidTr="00153F3E">
        <w:tc>
          <w:tcPr>
            <w:tcW w:w="2325" w:type="dxa"/>
            <w:vAlign w:val="center"/>
          </w:tcPr>
          <w:p w:rsidR="00E94969" w:rsidRPr="001A48D3" w:rsidRDefault="00E94969" w:rsidP="00C4701A">
            <w:pPr>
              <w:keepNext/>
              <w:spacing w:before="40" w:after="120"/>
              <w:rPr>
                <w:rFonts w:eastAsia="Arial Unicode MS"/>
                <w:sz w:val="22"/>
                <w:szCs w:val="22"/>
              </w:rPr>
            </w:pPr>
            <w:r w:rsidRPr="001A48D3">
              <w:rPr>
                <w:sz w:val="22"/>
                <w:szCs w:val="22"/>
              </w:rPr>
              <w:t>Lead</w:t>
            </w:r>
          </w:p>
        </w:tc>
        <w:tc>
          <w:tcPr>
            <w:tcW w:w="1452" w:type="dxa"/>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year</w:t>
            </w:r>
          </w:p>
        </w:tc>
        <w:tc>
          <w:tcPr>
            <w:tcW w:w="2379" w:type="dxa"/>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0.50 µg/m3</w:t>
            </w:r>
          </w:p>
        </w:tc>
        <w:tc>
          <w:tcPr>
            <w:tcW w:w="3282" w:type="dxa"/>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None</w:t>
            </w:r>
          </w:p>
        </w:tc>
      </w:tr>
      <w:tr w:rsidR="00E94969" w:rsidRPr="001A48D3" w:rsidTr="00153F3E">
        <w:tc>
          <w:tcPr>
            <w:tcW w:w="2325" w:type="dxa"/>
            <w:vAlign w:val="center"/>
          </w:tcPr>
          <w:p w:rsidR="00E94969" w:rsidRPr="001A48D3" w:rsidRDefault="00E94969" w:rsidP="00C4701A">
            <w:pPr>
              <w:keepNext/>
              <w:spacing w:before="40" w:after="120"/>
              <w:rPr>
                <w:rFonts w:eastAsia="Arial Unicode MS"/>
                <w:sz w:val="22"/>
                <w:szCs w:val="22"/>
              </w:rPr>
            </w:pPr>
            <w:r w:rsidRPr="001A48D3">
              <w:rPr>
                <w:sz w:val="22"/>
                <w:szCs w:val="22"/>
              </w:rPr>
              <w:t>Particles as PM</w:t>
            </w:r>
            <w:r w:rsidRPr="001A48D3">
              <w:rPr>
                <w:sz w:val="22"/>
                <w:szCs w:val="22"/>
                <w:vertAlign w:val="subscript"/>
              </w:rPr>
              <w:t>10</w:t>
            </w:r>
            <w:r w:rsidRPr="001A48D3">
              <w:rPr>
                <w:sz w:val="22"/>
                <w:szCs w:val="22"/>
              </w:rPr>
              <w:t xml:space="preserve"> </w:t>
            </w:r>
          </w:p>
        </w:tc>
        <w:tc>
          <w:tcPr>
            <w:tcW w:w="1452" w:type="dxa"/>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1 day</w:t>
            </w:r>
          </w:p>
        </w:tc>
        <w:tc>
          <w:tcPr>
            <w:tcW w:w="2379" w:type="dxa"/>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50 µg/m3</w:t>
            </w:r>
          </w:p>
        </w:tc>
        <w:tc>
          <w:tcPr>
            <w:tcW w:w="3282" w:type="dxa"/>
            <w:vAlign w:val="center"/>
          </w:tcPr>
          <w:p w:rsidR="00E94969" w:rsidRPr="001A48D3" w:rsidRDefault="00E94969" w:rsidP="00C4701A">
            <w:pPr>
              <w:keepNext/>
              <w:spacing w:before="40" w:after="120"/>
              <w:jc w:val="center"/>
              <w:rPr>
                <w:rFonts w:eastAsia="Arial Unicode MS"/>
                <w:sz w:val="22"/>
                <w:szCs w:val="22"/>
              </w:rPr>
            </w:pPr>
            <w:r w:rsidRPr="001A48D3">
              <w:rPr>
                <w:sz w:val="22"/>
                <w:szCs w:val="22"/>
              </w:rPr>
              <w:t>5 days a year</w:t>
            </w:r>
          </w:p>
        </w:tc>
      </w:tr>
      <w:tr w:rsidR="00E94969" w:rsidRPr="001A48D3" w:rsidTr="00153F3E">
        <w:tc>
          <w:tcPr>
            <w:tcW w:w="2325" w:type="dxa"/>
            <w:vAlign w:val="center"/>
          </w:tcPr>
          <w:p w:rsidR="00E94969" w:rsidRPr="001A48D3" w:rsidRDefault="00E94969" w:rsidP="00C4701A">
            <w:pPr>
              <w:keepNext/>
              <w:spacing w:before="40" w:after="120"/>
              <w:rPr>
                <w:sz w:val="22"/>
                <w:szCs w:val="22"/>
              </w:rPr>
            </w:pPr>
            <w:r w:rsidRPr="001A48D3">
              <w:rPr>
                <w:sz w:val="22"/>
                <w:szCs w:val="22"/>
              </w:rPr>
              <w:t>Particles as PM</w:t>
            </w:r>
            <w:r w:rsidRPr="001A48D3">
              <w:rPr>
                <w:sz w:val="22"/>
                <w:szCs w:val="22"/>
                <w:vertAlign w:val="subscript"/>
              </w:rPr>
              <w:t>2.5</w:t>
            </w:r>
          </w:p>
        </w:tc>
        <w:tc>
          <w:tcPr>
            <w:tcW w:w="1452" w:type="dxa"/>
            <w:vAlign w:val="center"/>
          </w:tcPr>
          <w:p w:rsidR="00E94969" w:rsidRPr="001A48D3" w:rsidRDefault="00E94969" w:rsidP="00C4701A">
            <w:pPr>
              <w:keepNext/>
              <w:spacing w:before="40" w:after="120"/>
              <w:jc w:val="center"/>
              <w:rPr>
                <w:sz w:val="22"/>
                <w:szCs w:val="22"/>
              </w:rPr>
            </w:pPr>
            <w:r w:rsidRPr="001A48D3">
              <w:rPr>
                <w:sz w:val="22"/>
                <w:szCs w:val="22"/>
              </w:rPr>
              <w:t>1 day</w:t>
            </w:r>
            <w:r w:rsidRPr="001A48D3">
              <w:rPr>
                <w:sz w:val="22"/>
                <w:szCs w:val="22"/>
              </w:rPr>
              <w:br/>
              <w:t>1 year</w:t>
            </w:r>
          </w:p>
        </w:tc>
        <w:tc>
          <w:tcPr>
            <w:tcW w:w="2379" w:type="dxa"/>
            <w:vAlign w:val="center"/>
          </w:tcPr>
          <w:p w:rsidR="00E94969" w:rsidRPr="001A48D3" w:rsidRDefault="00E94969" w:rsidP="00C4701A">
            <w:pPr>
              <w:keepNext/>
              <w:spacing w:before="40" w:after="120"/>
              <w:jc w:val="center"/>
              <w:rPr>
                <w:sz w:val="22"/>
                <w:szCs w:val="22"/>
              </w:rPr>
            </w:pPr>
            <w:r w:rsidRPr="001A48D3">
              <w:rPr>
                <w:sz w:val="22"/>
                <w:szCs w:val="22"/>
              </w:rPr>
              <w:t>25 µg/m3</w:t>
            </w:r>
            <w:r w:rsidRPr="001A48D3">
              <w:rPr>
                <w:sz w:val="22"/>
                <w:szCs w:val="22"/>
              </w:rPr>
              <w:br/>
              <w:t>8 µg/m3</w:t>
            </w:r>
          </w:p>
        </w:tc>
        <w:tc>
          <w:tcPr>
            <w:tcW w:w="3282" w:type="dxa"/>
            <w:vAlign w:val="center"/>
          </w:tcPr>
          <w:p w:rsidR="00E94969" w:rsidRPr="001A48D3" w:rsidRDefault="00E94969" w:rsidP="00C4701A">
            <w:pPr>
              <w:pStyle w:val="xl23"/>
              <w:keepNext/>
              <w:pBdr>
                <w:bottom w:val="none" w:sz="0" w:space="0" w:color="auto"/>
              </w:pBdr>
              <w:spacing w:before="40" w:beforeAutospacing="0" w:after="120" w:afterAutospacing="0"/>
              <w:rPr>
                <w:rFonts w:ascii="Calibri" w:hAnsi="Calibri" w:cs="Times New Roman"/>
                <w:sz w:val="22"/>
                <w:szCs w:val="22"/>
                <w:lang w:val="en-AU"/>
              </w:rPr>
            </w:pPr>
            <w:r w:rsidRPr="001A48D3">
              <w:rPr>
                <w:rFonts w:ascii="Calibri" w:hAnsi="Calibri" w:cs="Times New Roman"/>
                <w:sz w:val="22"/>
                <w:szCs w:val="22"/>
                <w:lang w:val="en-AU"/>
              </w:rPr>
              <w:t>Goal is to gather sufficient data nationally to facilitate a review of the standard as part of the review of this Measure, which commenced in 2005.</w:t>
            </w:r>
          </w:p>
        </w:tc>
      </w:tr>
    </w:tbl>
    <w:p w:rsidR="00E94969" w:rsidRPr="001A48D3" w:rsidRDefault="00E94969" w:rsidP="00C4701A">
      <w:pPr>
        <w:spacing w:after="120"/>
      </w:pPr>
      <w:r w:rsidRPr="001A48D3">
        <w:t xml:space="preserve">A review of the AAQ NEPM standards is underway.  </w:t>
      </w:r>
    </w:p>
    <w:p w:rsidR="00E94969" w:rsidRPr="001A48D3" w:rsidRDefault="00E94969" w:rsidP="00B52F7D">
      <w:pPr>
        <w:pStyle w:val="Heading2"/>
      </w:pPr>
      <w:bookmarkStart w:id="125" w:name="_Toc430182581"/>
      <w:r w:rsidRPr="001A48D3">
        <w:t>Current Status of Urban Air Quality in Australia</w:t>
      </w:r>
      <w:bookmarkEnd w:id="125"/>
    </w:p>
    <w:p w:rsidR="00E94969" w:rsidRPr="001A48D3" w:rsidRDefault="00E94969" w:rsidP="00C4701A">
      <w:pPr>
        <w:spacing w:after="120"/>
      </w:pPr>
      <w:r w:rsidRPr="001A48D3">
        <w:t>As noted earlier, the quality of air in Australian cities is generally good, but some pollutants remain a concern, including some of those derived from motor vehicle emissions.  The status of those AAQ NEPM criteria pollutants which are relevant to the standards being considered in this RIS (</w:t>
      </w:r>
      <w:proofErr w:type="spellStart"/>
      <w:r w:rsidRPr="001A48D3">
        <w:rPr>
          <w:i/>
        </w:rPr>
        <w:t>viz</w:t>
      </w:r>
      <w:proofErr w:type="spellEnd"/>
      <w:r w:rsidRPr="001A48D3">
        <w:t xml:space="preserve"> ozone and PM) are summarised below.  </w:t>
      </w:r>
    </w:p>
    <w:p w:rsidR="00E94969" w:rsidRPr="001A48D3" w:rsidRDefault="00E94969" w:rsidP="00B52F7D">
      <w:pPr>
        <w:pStyle w:val="Heading4"/>
      </w:pPr>
      <w:bookmarkStart w:id="126" w:name="_Toc430182582"/>
      <w:r w:rsidRPr="001A48D3">
        <w:t>Ozone</w:t>
      </w:r>
      <w:bookmarkEnd w:id="126"/>
    </w:p>
    <w:p w:rsidR="00E94969" w:rsidRPr="001A48D3" w:rsidRDefault="00E94969" w:rsidP="00C4701A">
      <w:pPr>
        <w:spacing w:after="120"/>
      </w:pPr>
      <w:r w:rsidRPr="001A48D3">
        <w:t xml:space="preserve">High solar radiation levels, high summer temperatures and location in coastal basins surrounded by hills make Australia’s largest urban areas susceptible to photochemical smog and to its recirculation over areas of the </w:t>
      </w:r>
      <w:proofErr w:type="spellStart"/>
      <w:r w:rsidRPr="001A48D3">
        <w:t>airshed</w:t>
      </w:r>
      <w:proofErr w:type="spellEnd"/>
      <w:r w:rsidRPr="001A48D3">
        <w:t>.  Ozone concentrations are monitored under the AAQ NEPM as an indicator of photochemical smog.  Ozone is not directly emitted from motor vehicles, but direct emissions of HCs and NOx react in the presence of sunlight to form ozone.  Ozone levels remain a problem in Sydney and represent a potential problem in some of our other larger cities.</w:t>
      </w:r>
    </w:p>
    <w:p w:rsidR="00E94969" w:rsidRPr="001A48D3" w:rsidRDefault="00E94969" w:rsidP="00C4701A">
      <w:pPr>
        <w:spacing w:after="120"/>
      </w:pPr>
      <w:r w:rsidRPr="001A48D3">
        <w:t>Compliance with the AAQ NEPM goal for ozone requires that from 2008, the 1</w:t>
      </w:r>
      <w:r w:rsidRPr="001A48D3">
        <w:noBreakHyphen/>
        <w:t>hour and 4</w:t>
      </w:r>
      <w:r w:rsidRPr="001A48D3">
        <w:noBreakHyphen/>
        <w:t xml:space="preserve">hour standards are exceeded on no more than one day per year.  To a large extent, the frequency of </w:t>
      </w:r>
      <w:proofErr w:type="spellStart"/>
      <w:r w:rsidRPr="001A48D3">
        <w:t>exceedences</w:t>
      </w:r>
      <w:proofErr w:type="spellEnd"/>
      <w:r w:rsidRPr="001A48D3">
        <w:t xml:space="preserve"> from year to year is dependent on the seasonal summer conditions.  Hot stable weather will produce higher ozone levels, </w:t>
      </w:r>
      <w:r w:rsidRPr="001A48D3">
        <w:lastRenderedPageBreak/>
        <w:t xml:space="preserve">while cooler wetter summers lead to reduced levels.  Under unfavourable meteorological conditions, Sydney, Melbourne, Brisbane and Perth can experience ozone levels above the NEPM standards.  </w:t>
      </w:r>
    </w:p>
    <w:p w:rsidR="00DF4665" w:rsidRDefault="00E94969" w:rsidP="00C4701A">
      <w:pPr>
        <w:spacing w:after="120"/>
      </w:pPr>
      <w:r w:rsidRPr="001A48D3">
        <w:t>The Sydney region in particular faces a significant challenge in complying with the NEPM goal for ozone, as it has exceeded either or both of the 1</w:t>
      </w:r>
      <w:r w:rsidRPr="001A48D3">
        <w:noBreakHyphen/>
        <w:t>hour and 4</w:t>
      </w:r>
      <w:r w:rsidRPr="001A48D3">
        <w:noBreakHyphen/>
        <w:t xml:space="preserve">hour standards every summer since 1996 (see Figures </w:t>
      </w:r>
      <w:r w:rsidR="00244954" w:rsidRPr="001A48D3">
        <w:t>A</w:t>
      </w:r>
      <w:r w:rsidRPr="001A48D3">
        <w:t xml:space="preserve">1 and </w:t>
      </w:r>
      <w:r w:rsidR="00244954" w:rsidRPr="001A48D3">
        <w:t>A</w:t>
      </w:r>
      <w:r w:rsidRPr="001A48D3">
        <w:t>2).  In a 2007 report</w:t>
      </w:r>
      <w:r w:rsidRPr="001A48D3">
        <w:rPr>
          <w:rStyle w:val="FootnoteReference"/>
        </w:rPr>
        <w:footnoteReference w:id="82"/>
      </w:r>
      <w:r w:rsidRPr="001A48D3">
        <w:t xml:space="preserve">, the then NSW Department of Environment and Climate Change (DECC) noted that severe bushfire events clearly contribute to ozone </w:t>
      </w:r>
      <w:proofErr w:type="spellStart"/>
      <w:r w:rsidRPr="001A48D3">
        <w:t>exceedences</w:t>
      </w:r>
      <w:proofErr w:type="spellEnd"/>
      <w:r w:rsidRPr="001A48D3">
        <w:t xml:space="preserve">, but also notes that even in years of little bushfire activity, significant ozone </w:t>
      </w:r>
      <w:proofErr w:type="spellStart"/>
      <w:r w:rsidRPr="001A48D3">
        <w:t>exceedences</w:t>
      </w:r>
      <w:proofErr w:type="spellEnd"/>
      <w:r w:rsidRPr="001A48D3">
        <w:t xml:space="preserve"> can still occur.  DECC concluded that “...anthropogenic emissions alone are sufficient to cause regular, widespread </w:t>
      </w:r>
      <w:proofErr w:type="spellStart"/>
      <w:r w:rsidRPr="001A48D3">
        <w:t>exceedences</w:t>
      </w:r>
      <w:proofErr w:type="spellEnd"/>
      <w:r w:rsidRPr="001A48D3">
        <w:t xml:space="preserve"> of the Air NEPM standards (e.g. the 2000-01 and 2006-07 seasons)”.  The report also noted that there had been no improvement in ozone since 1998, and that a large area within the Sydney region is susceptible to ozone level </w:t>
      </w:r>
      <w:proofErr w:type="spellStart"/>
      <w:r w:rsidRPr="001A48D3">
        <w:t>exceedences</w:t>
      </w:r>
      <w:proofErr w:type="spellEnd"/>
      <w:r w:rsidRPr="001A48D3">
        <w:t>.</w:t>
      </w:r>
    </w:p>
    <w:p w:rsidR="00DF4665" w:rsidRDefault="00DF4665">
      <w:r>
        <w:br w:type="page"/>
      </w:r>
    </w:p>
    <w:p w:rsidR="00E94969" w:rsidRPr="001A48D3" w:rsidRDefault="00836FFF" w:rsidP="00C4701A">
      <w:pPr>
        <w:spacing w:afterLines="80" w:after="192"/>
        <w:ind w:left="1440" w:hanging="1440"/>
        <w:rPr>
          <w:b/>
          <w:sz w:val="22"/>
        </w:rPr>
      </w:pPr>
      <w:r>
        <w:rPr>
          <w:noProof/>
        </w:rPr>
        <w:lastRenderedPageBreak/>
        <w:drawing>
          <wp:inline distT="0" distB="0" distL="0" distR="0" wp14:anchorId="563FE675" wp14:editId="6C78FA75">
            <wp:extent cx="5248275" cy="3390900"/>
            <wp:effectExtent l="0" t="0" r="9525" b="0"/>
            <wp:docPr id="11" name="Picture 11" descr="The diagram is a technical diagram. If you are unable to view this image, please contact the Department of Infrastructure &amp; Regional Development for a hard copy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diagram is a technical diagram. If you are unable to view this image, please contact the Department of Infrastructure &amp; Regional Development for a hard copy of this docum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8275" cy="3390900"/>
                    </a:xfrm>
                    <a:prstGeom prst="rect">
                      <a:avLst/>
                    </a:prstGeom>
                    <a:noFill/>
                    <a:ln>
                      <a:noFill/>
                    </a:ln>
                  </pic:spPr>
                </pic:pic>
              </a:graphicData>
            </a:graphic>
          </wp:inline>
        </w:drawing>
      </w:r>
    </w:p>
    <w:p w:rsidR="00E94969" w:rsidRDefault="00E94969" w:rsidP="00B52F7D">
      <w:pPr>
        <w:pStyle w:val="Heading3"/>
      </w:pPr>
      <w:bookmarkStart w:id="127" w:name="_Toc430182583"/>
      <w:r w:rsidRPr="001A48D3">
        <w:t xml:space="preserve">Figure </w:t>
      </w:r>
      <w:r w:rsidR="00244954" w:rsidRPr="001A48D3">
        <w:t>A</w:t>
      </w:r>
      <w:r w:rsidRPr="001A48D3">
        <w:t>1</w:t>
      </w:r>
      <w:r w:rsidRPr="001A48D3">
        <w:tab/>
        <w:t>Number of Days NEPM 1hr Ozone Standard (0.10ppm) Exceeded in Four Australian Cities</w:t>
      </w:r>
      <w:bookmarkEnd w:id="127"/>
    </w:p>
    <w:p w:rsidR="00DF4665" w:rsidRPr="00DF4665" w:rsidRDefault="00DF4665" w:rsidP="00B52F7D"/>
    <w:p w:rsidR="00E94969" w:rsidRPr="001A48D3" w:rsidRDefault="00836FFF" w:rsidP="00C4701A">
      <w:pPr>
        <w:keepNext/>
        <w:keepLines/>
        <w:spacing w:afterLines="80" w:after="192"/>
        <w:ind w:left="1440" w:hanging="1440"/>
        <w:rPr>
          <w:b/>
        </w:rPr>
      </w:pPr>
      <w:r>
        <w:rPr>
          <w:noProof/>
        </w:rPr>
        <w:drawing>
          <wp:inline distT="0" distB="0" distL="0" distR="0" wp14:anchorId="3BDECB31" wp14:editId="6D25F8CE">
            <wp:extent cx="5219700" cy="3495675"/>
            <wp:effectExtent l="0" t="0" r="0" b="9525"/>
            <wp:docPr id="12" name="Picture 12" descr="The diagram is a technical diagram. If you are unable to view this image, please contact the Department of Infrastructure &amp; Regional Development for a hard copy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diagram is a technical diagram. If you are unable to view this image, please contact the Department of Infrastructure &amp; Regional Development for a hard copy of this docum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9700" cy="3495675"/>
                    </a:xfrm>
                    <a:prstGeom prst="rect">
                      <a:avLst/>
                    </a:prstGeom>
                    <a:noFill/>
                    <a:ln>
                      <a:noFill/>
                    </a:ln>
                  </pic:spPr>
                </pic:pic>
              </a:graphicData>
            </a:graphic>
          </wp:inline>
        </w:drawing>
      </w:r>
    </w:p>
    <w:p w:rsidR="00E94969" w:rsidRPr="001A48D3" w:rsidRDefault="00E94969" w:rsidP="00B52F7D">
      <w:pPr>
        <w:pStyle w:val="Heading3"/>
      </w:pPr>
      <w:bookmarkStart w:id="128" w:name="_Toc430182584"/>
      <w:r w:rsidRPr="001A48D3">
        <w:t xml:space="preserve">Figure </w:t>
      </w:r>
      <w:r w:rsidR="00244954" w:rsidRPr="001A48D3">
        <w:t>A</w:t>
      </w:r>
      <w:r w:rsidRPr="001A48D3">
        <w:t>2</w:t>
      </w:r>
      <w:r w:rsidRPr="001A48D3">
        <w:tab/>
        <w:t>Number of Days NEPM 4hr Ozone Standard (0.08ppm) Exceeded in Four Australian Cities</w:t>
      </w:r>
      <w:bookmarkEnd w:id="128"/>
      <w:r w:rsidRPr="001A48D3">
        <w:t xml:space="preserve"> </w:t>
      </w:r>
    </w:p>
    <w:p w:rsidR="00DF4665" w:rsidRDefault="00DF4665">
      <w:r>
        <w:br w:type="page"/>
      </w:r>
    </w:p>
    <w:p w:rsidR="00E94969" w:rsidRPr="001A48D3" w:rsidRDefault="00E94969" w:rsidP="00C4701A">
      <w:pPr>
        <w:spacing w:after="120"/>
      </w:pPr>
      <w:r w:rsidRPr="001A48D3">
        <w:lastRenderedPageBreak/>
        <w:t>Data from Melbourne indicate that while the number of days on which the 4</w:t>
      </w:r>
      <w:r w:rsidRPr="001A48D3">
        <w:noBreakHyphen/>
        <w:t xml:space="preserve">hour standard is exceeded is relatively low compared to Sydney there can be a significantly higher number of days in the summer months where the peak ozone levels approach the 4 hour standard, even in years where the standard is not actually exceeded.  In 2001 in South East Queensland, the ozone standards were met, but maximum concentrations were up to 94% of the standard.  These results highlight the ozone potential of these cities and point to the likelihood of </w:t>
      </w:r>
      <w:proofErr w:type="spellStart"/>
      <w:r w:rsidRPr="001A48D3">
        <w:t>exceedences</w:t>
      </w:r>
      <w:proofErr w:type="spellEnd"/>
      <w:r w:rsidRPr="001A48D3">
        <w:t xml:space="preserve"> in future summers where the meteorological conditions are favourable to ozone formation.</w:t>
      </w:r>
    </w:p>
    <w:p w:rsidR="00E94969" w:rsidRPr="001A48D3" w:rsidRDefault="00E94969" w:rsidP="00B52F7D">
      <w:pPr>
        <w:pStyle w:val="Heading4"/>
      </w:pPr>
      <w:bookmarkStart w:id="129" w:name="_Toc430182585"/>
      <w:r w:rsidRPr="001A48D3">
        <w:t>Particulates</w:t>
      </w:r>
      <w:bookmarkEnd w:id="129"/>
    </w:p>
    <w:p w:rsidR="00E94969" w:rsidRPr="001A48D3" w:rsidRDefault="00E94969" w:rsidP="00C4701A">
      <w:pPr>
        <w:spacing w:after="120"/>
      </w:pPr>
      <w:r w:rsidRPr="001A48D3">
        <w:t>Particle emissions are monitored in Australian cities, and some regional areas (as both PM</w:t>
      </w:r>
      <w:r w:rsidRPr="001A48D3">
        <w:rPr>
          <w:vertAlign w:val="subscript"/>
        </w:rPr>
        <w:t>10</w:t>
      </w:r>
      <w:r w:rsidRPr="001A48D3">
        <w:t xml:space="preserve"> and PM</w:t>
      </w:r>
      <w:r w:rsidRPr="001A48D3">
        <w:rPr>
          <w:vertAlign w:val="subscript"/>
        </w:rPr>
        <w:t>2.5</w:t>
      </w:r>
      <w:r w:rsidRPr="001A48D3">
        <w:t xml:space="preserve">).  Multiple </w:t>
      </w:r>
      <w:proofErr w:type="spellStart"/>
      <w:r w:rsidRPr="001A48D3">
        <w:t>exceedences</w:t>
      </w:r>
      <w:proofErr w:type="spellEnd"/>
      <w:r w:rsidRPr="001A48D3">
        <w:t xml:space="preserve"> of the PM</w:t>
      </w:r>
      <w:r w:rsidRPr="001A48D3">
        <w:rPr>
          <w:vertAlign w:val="subscript"/>
        </w:rPr>
        <w:t>10</w:t>
      </w:r>
      <w:r w:rsidRPr="001A48D3">
        <w:t xml:space="preserve"> standard occur every year in many cities in Australia.  In most cases vehicles are not the principal contributors to the </w:t>
      </w:r>
      <w:proofErr w:type="spellStart"/>
      <w:r w:rsidRPr="001A48D3">
        <w:t>exceedences</w:t>
      </w:r>
      <w:proofErr w:type="spellEnd"/>
      <w:r w:rsidRPr="001A48D3">
        <w:t xml:space="preserve">, which are triggered by extreme weather events such as bushfires and dust storms.  Nevertheless, vehicle emissions, particularly from diesel vehicles, significantly elevate the background level of particulates in the urban atmosphere and can be a significant contributing factor to </w:t>
      </w:r>
      <w:proofErr w:type="spellStart"/>
      <w:r w:rsidRPr="001A48D3">
        <w:t>exceedences</w:t>
      </w:r>
      <w:proofErr w:type="spellEnd"/>
      <w:r w:rsidRPr="001A48D3">
        <w:t xml:space="preserve"> of the standards.  </w:t>
      </w:r>
    </w:p>
    <w:p w:rsidR="00E94969" w:rsidRPr="001A48D3" w:rsidRDefault="00E94969" w:rsidP="00C4701A">
      <w:pPr>
        <w:spacing w:after="120"/>
      </w:pPr>
      <w:r w:rsidRPr="001A48D3">
        <w:t>There are no Australian standards for ultrafine particles. UFPs are best measured in terms of their number concentration, because their particles numbers are large (usually &gt;10,000/m</w:t>
      </w:r>
      <w:r w:rsidRPr="001A48D3">
        <w:rPr>
          <w:vertAlign w:val="superscript"/>
        </w:rPr>
        <w:t>3</w:t>
      </w:r>
      <w:r w:rsidRPr="001A48D3">
        <w:t xml:space="preserve">), whereas their mass is small (usually a few </w:t>
      </w:r>
      <w:proofErr w:type="spellStart"/>
      <w:r w:rsidRPr="001A48D3">
        <w:t>μg</w:t>
      </w:r>
      <w:proofErr w:type="spellEnd"/>
      <w:r w:rsidRPr="001A48D3">
        <w:t>/m</w:t>
      </w:r>
      <w:r w:rsidRPr="001A48D3">
        <w:rPr>
          <w:vertAlign w:val="superscript"/>
        </w:rPr>
        <w:t>3</w:t>
      </w:r>
      <w:r w:rsidRPr="001A48D3">
        <w:t>) compared with the mass of larger particles.  Only rarely is there a correlation between particle number and mass concentrations</w:t>
      </w:r>
      <w:r w:rsidRPr="001A48D3">
        <w:rPr>
          <w:rStyle w:val="FootnoteReference"/>
        </w:rPr>
        <w:footnoteReference w:id="83"/>
      </w:r>
      <w:r w:rsidRPr="001A48D3">
        <w:t>; therefore on the basis of existing mass concentration data, it is normally not possible to evaluate the health effects of UFPs.</w:t>
      </w:r>
    </w:p>
    <w:p w:rsidR="00E94969" w:rsidRPr="001A48D3" w:rsidRDefault="00E94969" w:rsidP="00153F3E">
      <w:pPr>
        <w:pStyle w:val="Heading3"/>
        <w:spacing w:before="240" w:after="120"/>
      </w:pPr>
      <w:bookmarkStart w:id="130" w:name="_Toc430182586"/>
      <w:r w:rsidRPr="001A48D3">
        <w:t>Contribution of Motor Vehicles to Air Pollution</w:t>
      </w:r>
      <w:bookmarkEnd w:id="130"/>
      <w:r w:rsidRPr="001A48D3">
        <w:t xml:space="preserve"> </w:t>
      </w:r>
    </w:p>
    <w:p w:rsidR="00E94969" w:rsidRPr="001A48D3" w:rsidRDefault="00E94969" w:rsidP="00C4701A">
      <w:pPr>
        <w:spacing w:after="120"/>
      </w:pPr>
      <w:r w:rsidRPr="001A48D3">
        <w:t xml:space="preserve">Motor vehicles are one of the major emitters of air pollutants in urban Australia, contributing more than 80% of the CO emissions, 60-70% of the NOx and up to 40% of the HCs.  Light petrol vehicles are the major transport contributors to CO, HC and NOx emissions, with diesel vehicles making a disproportionate contribution to NOx emissions.   For example, in the Sydney </w:t>
      </w:r>
      <w:proofErr w:type="spellStart"/>
      <w:r w:rsidRPr="001A48D3">
        <w:t>airshed</w:t>
      </w:r>
      <w:proofErr w:type="spellEnd"/>
      <w:r w:rsidRPr="001A48D3">
        <w:t xml:space="preserve">, diesel vehicles make up only 8% of the fleet, but are responsible for an estimated 22% of NOx emissions from transport.  </w:t>
      </w:r>
    </w:p>
    <w:p w:rsidR="00E94969" w:rsidRPr="001A48D3" w:rsidRDefault="00E94969" w:rsidP="00C4701A">
      <w:pPr>
        <w:spacing w:after="120"/>
      </w:pPr>
      <w:r w:rsidRPr="001A48D3">
        <w:t xml:space="preserve">While vehicles are not the major source of particle emissions in most urban </w:t>
      </w:r>
      <w:proofErr w:type="spellStart"/>
      <w:r w:rsidRPr="001A48D3">
        <w:t>airsheds</w:t>
      </w:r>
      <w:proofErr w:type="spellEnd"/>
      <w:r w:rsidRPr="001A48D3">
        <w:t xml:space="preserve">, fuel combustion sources such as motor vehicles are a significant contributor to the overall particle load in urban </w:t>
      </w:r>
      <w:proofErr w:type="spellStart"/>
      <w:r w:rsidRPr="001A48D3">
        <w:t>airsheds</w:t>
      </w:r>
      <w:proofErr w:type="spellEnd"/>
      <w:r w:rsidRPr="001A48D3">
        <w:t>.  In Sydney for example, it is estimated that road transport contributes around 12% of annual anthropogenic PM</w:t>
      </w:r>
      <w:r w:rsidRPr="001A48D3">
        <w:rPr>
          <w:vertAlign w:val="subscript"/>
        </w:rPr>
        <w:t>10</w:t>
      </w:r>
      <w:r w:rsidRPr="001A48D3">
        <w:t xml:space="preserve"> emissions</w:t>
      </w:r>
      <w:r w:rsidRPr="001A48D3">
        <w:rPr>
          <w:rStyle w:val="FootnoteReference"/>
        </w:rPr>
        <w:footnoteReference w:id="84"/>
      </w:r>
      <w:r w:rsidRPr="001A48D3">
        <w:t>.  A recent study found motor vehicles contribute about 30% of particulate pollution in Melbourne.  PM levels tend to be highest near busy roads and levels sometimes do not meet the PM standards</w:t>
      </w:r>
      <w:r w:rsidRPr="001A48D3">
        <w:rPr>
          <w:rStyle w:val="FootnoteReference"/>
        </w:rPr>
        <w:footnoteReference w:id="85"/>
      </w:r>
      <w:r w:rsidRPr="001A48D3">
        <w:t xml:space="preserve">. </w:t>
      </w:r>
    </w:p>
    <w:p w:rsidR="00E94969" w:rsidRPr="001A48D3" w:rsidRDefault="00E94969" w:rsidP="00C4701A">
      <w:pPr>
        <w:spacing w:after="120"/>
      </w:pPr>
      <w:r w:rsidRPr="001A48D3">
        <w:lastRenderedPageBreak/>
        <w:t xml:space="preserve">Significantly, particulate emissions from diesel vehicles are almost all from the UFP fraction, and, as noted earlier, it is these fine particles that are considered to present the most significant human health risk.  </w:t>
      </w:r>
    </w:p>
    <w:p w:rsidR="00E94969" w:rsidRPr="001A48D3" w:rsidRDefault="00E94969" w:rsidP="00C4701A">
      <w:pPr>
        <w:spacing w:after="120"/>
      </w:pPr>
      <w:r w:rsidRPr="001A48D3">
        <w:t>The absolute contribution that vehicles make to urban air pollution is determined by the total emissions from the vehicle fleet and the complex interaction of those emissions with each city’s meteorology, topography and overall urban structure.  When considering the emissions component of this interaction, the key factors are:</w:t>
      </w:r>
    </w:p>
    <w:p w:rsidR="00E94969" w:rsidRPr="001A48D3" w:rsidRDefault="00E94969" w:rsidP="00C4701A">
      <w:pPr>
        <w:numPr>
          <w:ilvl w:val="0"/>
          <w:numId w:val="37"/>
        </w:numPr>
        <w:spacing w:after="120"/>
      </w:pPr>
      <w:r w:rsidRPr="001A48D3">
        <w:t xml:space="preserve">the </w:t>
      </w:r>
      <w:r w:rsidR="00AF01A3" w:rsidRPr="001A48D3">
        <w:t>emissions</w:t>
      </w:r>
      <w:r w:rsidRPr="001A48D3">
        <w:t xml:space="preserve"> standards to which different vehicle types were certified (as new) and the stringency of those standards;</w:t>
      </w:r>
    </w:p>
    <w:p w:rsidR="00E94969" w:rsidRPr="001A48D3" w:rsidRDefault="00E94969" w:rsidP="00C4701A">
      <w:pPr>
        <w:numPr>
          <w:ilvl w:val="0"/>
          <w:numId w:val="37"/>
        </w:numPr>
        <w:spacing w:after="120"/>
      </w:pPr>
      <w:r w:rsidRPr="001A48D3">
        <w:t>the distribution of vehicles in the fleet meeting specified emissions standards;</w:t>
      </w:r>
    </w:p>
    <w:p w:rsidR="00E94969" w:rsidRPr="001A48D3" w:rsidRDefault="00E94969" w:rsidP="00C4701A">
      <w:pPr>
        <w:numPr>
          <w:ilvl w:val="0"/>
          <w:numId w:val="37"/>
        </w:numPr>
        <w:spacing w:after="120"/>
      </w:pPr>
      <w:r w:rsidRPr="001A48D3">
        <w:t xml:space="preserve">the age profile of the fleet and the deterioration of emissions control systems over time on emissions performance of vehicles; </w:t>
      </w:r>
    </w:p>
    <w:p w:rsidR="00E94969" w:rsidRPr="001A48D3" w:rsidRDefault="00E94969" w:rsidP="00C4701A">
      <w:pPr>
        <w:numPr>
          <w:ilvl w:val="0"/>
          <w:numId w:val="37"/>
        </w:numPr>
        <w:spacing w:after="120"/>
      </w:pPr>
      <w:r w:rsidRPr="001A48D3">
        <w:t>the total VKT of the vehicles in each of these age/emissions standard groups in the fleet; and</w:t>
      </w:r>
    </w:p>
    <w:p w:rsidR="00E94969" w:rsidRPr="001A48D3" w:rsidRDefault="00E94969" w:rsidP="00C4701A">
      <w:pPr>
        <w:numPr>
          <w:ilvl w:val="0"/>
          <w:numId w:val="37"/>
        </w:numPr>
        <w:spacing w:after="120"/>
      </w:pPr>
      <w:r w:rsidRPr="001A48D3">
        <w:t>the parameters of the market fuels and the mix of fuel types.</w:t>
      </w:r>
    </w:p>
    <w:p w:rsidR="00E94969" w:rsidRPr="001A48D3" w:rsidRDefault="00E94969" w:rsidP="00C4701A">
      <w:pPr>
        <w:spacing w:after="120"/>
      </w:pPr>
      <w:r w:rsidRPr="001A48D3">
        <w:t>The penetration rate of new vehicles into the fleet means there is a lag of approximately 10 years before new emissions standards begin to have a significant impact on total fleet emissions.</w:t>
      </w:r>
    </w:p>
    <w:p w:rsidR="00E94969" w:rsidRPr="001A48D3" w:rsidRDefault="005272E6" w:rsidP="00C4701A">
      <w:pPr>
        <w:pStyle w:val="Heading3"/>
        <w:spacing w:after="120"/>
      </w:pPr>
      <w:bookmarkStart w:id="131" w:name="_Toc430182587"/>
      <w:r w:rsidRPr="001A48D3">
        <w:t xml:space="preserve">Air Quality </w:t>
      </w:r>
      <w:r w:rsidR="00E94969" w:rsidRPr="001A48D3">
        <w:t>Trends</w:t>
      </w:r>
      <w:r w:rsidRPr="001A48D3">
        <w:t xml:space="preserve"> in Australian Cities</w:t>
      </w:r>
      <w:bookmarkEnd w:id="131"/>
    </w:p>
    <w:p w:rsidR="00E94969" w:rsidRPr="001A48D3" w:rsidRDefault="00E94969" w:rsidP="00C4701A">
      <w:pPr>
        <w:spacing w:after="120"/>
      </w:pPr>
      <w:r w:rsidRPr="001A48D3">
        <w:t xml:space="preserve">Although there have been considerable improvements in emissions performance of the vehicle fleet in Australia, motor vehicles continue to be </w:t>
      </w:r>
      <w:r w:rsidRPr="001A48D3">
        <w:rPr>
          <w:szCs w:val="24"/>
        </w:rPr>
        <w:t>an ongoing threat to Australian urban air quality, principally due to the growth in vehicle numbers and use.  Recent Bureau of Infrastructure, Transport and Regional Economics estimates (BITRE, unpublished) imply growth in total motor vehicle travel (VKT) of 45% between 2000 and 2020 under business as usual conditions, with passenger car VKT growth at 37% and light commercials at 73%.  This VKT growth is expected to occur even though projections of car ownership rates (number of cars per person) are predicted to essentially plateau by around 2015.  Some urban regions face</w:t>
      </w:r>
      <w:r w:rsidRPr="001A48D3">
        <w:t xml:space="preserve"> more rapid growth rates, with increasing VKT putting pressure on the capacity to meet some NEPM air quality standards in certain urban </w:t>
      </w:r>
      <w:proofErr w:type="spellStart"/>
      <w:r w:rsidRPr="001A48D3">
        <w:t>airsheds</w:t>
      </w:r>
      <w:proofErr w:type="spellEnd"/>
      <w:r w:rsidRPr="001A48D3">
        <w:t xml:space="preserve">. </w:t>
      </w:r>
    </w:p>
    <w:p w:rsidR="00E94969" w:rsidRPr="001A48D3" w:rsidRDefault="00E94969" w:rsidP="00C4701A">
      <w:pPr>
        <w:spacing w:after="120"/>
      </w:pPr>
      <w:r w:rsidRPr="001A48D3">
        <w:t xml:space="preserve">The BITRE emissions projections to 2040 undertaken for this RIS concluded that under a “business as usual” scenario, which includes the </w:t>
      </w:r>
      <w:r w:rsidR="00AF01A3" w:rsidRPr="001A48D3">
        <w:t>emissions</w:t>
      </w:r>
      <w:r w:rsidRPr="001A48D3">
        <w:t xml:space="preserve"> standards being introduced over the 2006-2010 period, emissions of ozone precursors (HC and NOx) from the light vehicle sector will decline significantly until about 2025, after which they stabilise and then trend slightly upward.  In contrast, PM emissions from light vehicles are expected to fall significantly until about 2016, then trend steeply upward.  Refer to </w:t>
      </w:r>
      <w:r w:rsidR="00CE0A88" w:rsidRPr="001A48D3">
        <w:t>Section</w:t>
      </w:r>
      <w:r w:rsidRPr="001A48D3">
        <w:t xml:space="preserve"> 3.2 to view the relevant charts for NOx and PM.</w:t>
      </w:r>
    </w:p>
    <w:p w:rsidR="00E94969" w:rsidRPr="001A48D3" w:rsidRDefault="00E94969" w:rsidP="00C4701A">
      <w:pPr>
        <w:spacing w:after="120"/>
      </w:pPr>
      <w:r w:rsidRPr="001A48D3">
        <w:t xml:space="preserve">While these emissions projections demonstrate the benefits of new vehicle emissions standards, the pattern and scale of urban development in parts of Australia, and the associated increase in vehicle use, is clearly having an effect on the </w:t>
      </w:r>
      <w:r w:rsidRPr="001A48D3">
        <w:lastRenderedPageBreak/>
        <w:t xml:space="preserve">long term trends and will place increasing pressure on the challenge to maintain improvements in urban air quality, particularly ozone and PM. </w:t>
      </w:r>
    </w:p>
    <w:p w:rsidR="00E94969" w:rsidRPr="001A48D3" w:rsidRDefault="00E94969" w:rsidP="00C4701A">
      <w:pPr>
        <w:spacing w:after="120"/>
      </w:pPr>
      <w:r w:rsidRPr="001A48D3">
        <w:t xml:space="preserve">The NSW Department of the Environment, Climate Change and Water has concluded that the Sydney Greater Metropolitan Region </w:t>
      </w:r>
      <w:r w:rsidR="00447172" w:rsidRPr="001A48D3">
        <w:t>(</w:t>
      </w:r>
      <w:r w:rsidRPr="001A48D3">
        <w:t>GMR) faces an ongoing challenge in meeting the Ambient Air Quality NEPM standards for ozone in the future because of the pressures of population growth, urban expansion and the associated increase in motor vehicle use.  Sydney’s population is expected to reach 4.6 million by 2016 and 5 million by 2026 (increases of 19% and 29%, respectively, over 2001 levels), with significant population growth also expected in the Illawarra and the lower Hunter.  Additionally, the benefits from cleaner vehicles and fuel standards alone are not expected to be enough to offset the impacts of the increase in total VKT, which will continue to place pressure on air quality in the GMR.  Modelling undertaken by the NSW DECC to evaluate how to tackle the ozone challenge also concluded that “ozone formation i</w:t>
      </w:r>
      <w:r w:rsidR="003007DB" w:rsidRPr="001A48D3">
        <w:t>n</w:t>
      </w:r>
      <w:r w:rsidRPr="001A48D3">
        <w:t xml:space="preserve"> the Sydney region is more sensitive to motor vehicle control strategies than to control strategies applied to other sources”</w:t>
      </w:r>
      <w:r w:rsidRPr="001A48D3">
        <w:rPr>
          <w:rStyle w:val="FootnoteReference"/>
        </w:rPr>
        <w:footnoteReference w:id="86"/>
      </w:r>
      <w:r w:rsidRPr="001A48D3">
        <w:t>.</w:t>
      </w:r>
    </w:p>
    <w:p w:rsidR="00E94969" w:rsidRPr="001A48D3" w:rsidRDefault="00E94969" w:rsidP="00C4701A">
      <w:pPr>
        <w:spacing w:after="120"/>
      </w:pPr>
      <w:r w:rsidRPr="001A48D3">
        <w:t xml:space="preserve">The Port Phillip </w:t>
      </w:r>
      <w:proofErr w:type="spellStart"/>
      <w:r w:rsidRPr="001A48D3">
        <w:t>airshed</w:t>
      </w:r>
      <w:proofErr w:type="spellEnd"/>
      <w:r w:rsidRPr="001A48D3">
        <w:t xml:space="preserve"> in Victoria encompasses Melbourne and Geelong.  Melbourne is undergoing rapid population growth with the population predicted to reach 5 million before 2030. Melbourne’s population is expected to increase by 1.8 million between 2006 and 2036</w:t>
      </w:r>
      <w:r w:rsidRPr="001A48D3">
        <w:rPr>
          <w:rStyle w:val="FootnoteReference"/>
        </w:rPr>
        <w:footnoteReference w:id="87"/>
      </w:r>
      <w:r w:rsidRPr="001A48D3">
        <w:t>.  Geelong is also predicted to have rapid population growth over that period.  This increase in population is likely to result in a significant increase in air pollution in the Port Phillip Region.  Modelling conducted by EPA Victoria as part of the development of the draft Air Quality Improvement Plan for the region indicates that reductions in emissions due to improvements in vehicle technology would be offset by increased VKT leading to increases in air pollution out to 2021.  Although air quality in the region generally meets air quality standards currently, the pressure on air quality in the region due to increases in population and VKT, as well as changing climatic conditions, may change that situation in the future.  Motor vehicles remain the major contributor to air pollution in the Port Phillip Region.</w:t>
      </w:r>
    </w:p>
    <w:p w:rsidR="00E94969" w:rsidRPr="001A48D3" w:rsidRDefault="00E94969" w:rsidP="00C4701A">
      <w:pPr>
        <w:spacing w:after="120"/>
        <w:rPr>
          <w:szCs w:val="24"/>
        </w:rPr>
      </w:pPr>
      <w:r w:rsidRPr="001A48D3">
        <w:t xml:space="preserve">South East Queensland is also predicted to experience significant growth over the next 20 years, with 1996 population in the region of some 2.3 million predicted to increase to 3.8 million by 2021.  This will be accompanied by dramatic growth in transport activity, which the Queensland EPA concludes is likely to reduce air quality even allowing for advances in vehicle technology.  This is reinforced by the latest estimates for the SE Qld region that expect VKT to increase at more than twice the rate of the population, principally because of trends to greater use of private vehicles, lower vehicle occupancies and longer trip lengths.  The Queensland EPA also concludes that while there have been no </w:t>
      </w:r>
      <w:proofErr w:type="spellStart"/>
      <w:r w:rsidRPr="001A48D3">
        <w:t>exceedences</w:t>
      </w:r>
      <w:proofErr w:type="spellEnd"/>
      <w:r w:rsidRPr="001A48D3">
        <w:t xml:space="preserve"> of the ozone standards since 1998, under more conducive meteorological conditions the SE Qld region could fail to comply, particularly with the </w:t>
      </w:r>
      <w:r w:rsidRPr="001A48D3">
        <w:rPr>
          <w:szCs w:val="24"/>
        </w:rPr>
        <w:t xml:space="preserve">increasing pressure on the </w:t>
      </w:r>
      <w:proofErr w:type="spellStart"/>
      <w:r w:rsidRPr="001A48D3">
        <w:rPr>
          <w:szCs w:val="24"/>
        </w:rPr>
        <w:t>airshed</w:t>
      </w:r>
      <w:proofErr w:type="spellEnd"/>
      <w:r w:rsidRPr="001A48D3">
        <w:rPr>
          <w:szCs w:val="24"/>
        </w:rPr>
        <w:t xml:space="preserve"> from rapidly increasing population and resultant vehicle use.</w:t>
      </w:r>
    </w:p>
    <w:p w:rsidR="00E94969" w:rsidRPr="001A48D3" w:rsidRDefault="00E94969" w:rsidP="00C4701A">
      <w:pPr>
        <w:spacing w:after="120"/>
        <w:rPr>
          <w:color w:val="632423"/>
        </w:rPr>
      </w:pPr>
      <w:r w:rsidRPr="001A48D3">
        <w:lastRenderedPageBreak/>
        <w:t>Similar to other capital cities, it is expected that Perth’s population growth and high vehicle ownership is likely to place increasing pressure on maintaining acceptable air quality.  To date, three quarters of the state’s rapid population growth has occurred in the Perth metropolitan area</w:t>
      </w:r>
      <w:r w:rsidRPr="001A48D3">
        <w:rPr>
          <w:rStyle w:val="FootnoteReference"/>
          <w:szCs w:val="24"/>
        </w:rPr>
        <w:footnoteReference w:id="88"/>
      </w:r>
      <w:r w:rsidRPr="001A48D3">
        <w:t>.  Perth’s population as at June 2008 was 1.6 million, with projections suggesting this could increase to 2.4 million by 2026, and over 4 million by 2056.  In addition, vehicle ownership is also increasing.  The ABS motor vehicle census identified Western Australian as having the highest rate of passenger and total vehicle ownership across Australia, with 603 and 813 vehicles per 1000 residents, respectively</w:t>
      </w:r>
      <w:r w:rsidRPr="001A48D3">
        <w:rPr>
          <w:rStyle w:val="FootnoteReference"/>
          <w:szCs w:val="24"/>
        </w:rPr>
        <w:footnoteReference w:id="89"/>
      </w:r>
      <w:r w:rsidRPr="001A48D3">
        <w:t xml:space="preserve">.  The WA Department of Environment and Conservation currently records irregular </w:t>
      </w:r>
      <w:proofErr w:type="spellStart"/>
      <w:r w:rsidRPr="001A48D3">
        <w:t>exceedences</w:t>
      </w:r>
      <w:proofErr w:type="spellEnd"/>
      <w:r w:rsidRPr="001A48D3">
        <w:t xml:space="preserve"> of the ozone Ambient Air Quality NEPM standards, with the most recent occurrence in January 2009.  As motor vehicles are the single largest source of air pollution in the Perth metropolitan region it is expected that any tightening of the emissions limits will have a positive impact on air quality.</w:t>
      </w:r>
    </w:p>
    <w:p w:rsidR="00E94969" w:rsidRPr="001A48D3" w:rsidRDefault="00E94969" w:rsidP="00C4701A">
      <w:pPr>
        <w:spacing w:after="120"/>
      </w:pPr>
      <w:r w:rsidRPr="001A48D3">
        <w:t xml:space="preserve">In summary, total emissions from individual motor vehicles are expected to decline steadily over the next twenty years with improving vehicle technology, but will remain high due to increasing traffic and a growing population. </w:t>
      </w:r>
    </w:p>
    <w:p w:rsidR="00E94969" w:rsidRPr="001A48D3" w:rsidRDefault="00E94969" w:rsidP="00C4701A">
      <w:pPr>
        <w:spacing w:after="120"/>
      </w:pPr>
    </w:p>
    <w:p w:rsidR="00125DBA" w:rsidRPr="001A48D3" w:rsidRDefault="00125DBA" w:rsidP="00C4701A">
      <w:pPr>
        <w:spacing w:after="120"/>
      </w:pPr>
    </w:p>
    <w:p w:rsidR="00E1205A" w:rsidRPr="001A48D3" w:rsidRDefault="00E1205A" w:rsidP="00C4701A">
      <w:pPr>
        <w:spacing w:after="120"/>
        <w:sectPr w:rsidR="00E1205A" w:rsidRPr="001A48D3" w:rsidSect="00376B94">
          <w:pgSz w:w="11906" w:h="16838" w:code="9"/>
          <w:pgMar w:top="1440" w:right="1800" w:bottom="1440" w:left="1800" w:header="720" w:footer="720" w:gutter="0"/>
          <w:cols w:space="720"/>
          <w:docGrid w:linePitch="326"/>
        </w:sectPr>
      </w:pPr>
    </w:p>
    <w:p w:rsidR="00896A37" w:rsidRPr="001A48D3" w:rsidRDefault="00E94969" w:rsidP="00C4701A">
      <w:pPr>
        <w:pStyle w:val="Heading1"/>
      </w:pPr>
      <w:bookmarkStart w:id="132" w:name="_Toc430182588"/>
      <w:r w:rsidRPr="001A48D3">
        <w:lastRenderedPageBreak/>
        <w:t xml:space="preserve">Appendix </w:t>
      </w:r>
      <w:r w:rsidR="002E5D02">
        <w:t>B</w:t>
      </w:r>
      <w:r w:rsidR="00FF273A" w:rsidRPr="001A48D3">
        <w:tab/>
      </w:r>
      <w:r w:rsidR="00D42989" w:rsidRPr="001A48D3">
        <w:t>T</w:t>
      </w:r>
      <w:r w:rsidR="002E5D02">
        <w:t>a</w:t>
      </w:r>
      <w:r w:rsidR="00D42989" w:rsidRPr="001A48D3">
        <w:t xml:space="preserve">ble of </w:t>
      </w:r>
      <w:r w:rsidR="00AF01A3" w:rsidRPr="001A48D3">
        <w:t>Emissions</w:t>
      </w:r>
      <w:r w:rsidR="00D42989" w:rsidRPr="001A48D3">
        <w:t xml:space="preserve"> Limits for Euro 2 - Euro 6 Light Vehicles</w:t>
      </w:r>
      <w:bookmarkEnd w:id="132"/>
    </w:p>
    <w:p w:rsidR="00D464D4" w:rsidRPr="001A48D3" w:rsidRDefault="00D464D4" w:rsidP="00C4701A">
      <w:pPr>
        <w:spacing w:after="120"/>
        <w:rPr>
          <w:b/>
          <w:sz w:val="16"/>
        </w:rPr>
      </w:pPr>
    </w:p>
    <w:tbl>
      <w:tblPr>
        <w:tblW w:w="13638" w:type="dxa"/>
        <w:tblInd w:w="78" w:type="dxa"/>
        <w:tblLayout w:type="fixed"/>
        <w:tblLook w:val="0020" w:firstRow="1" w:lastRow="0" w:firstColumn="0" w:lastColumn="0" w:noHBand="0" w:noVBand="0"/>
      </w:tblPr>
      <w:tblGrid>
        <w:gridCol w:w="3291"/>
        <w:gridCol w:w="1134"/>
        <w:gridCol w:w="992"/>
        <w:gridCol w:w="992"/>
        <w:gridCol w:w="992"/>
        <w:gridCol w:w="993"/>
        <w:gridCol w:w="1134"/>
        <w:gridCol w:w="1134"/>
        <w:gridCol w:w="992"/>
        <w:gridCol w:w="992"/>
        <w:gridCol w:w="992"/>
      </w:tblGrid>
      <w:tr w:rsidR="00125DBA" w:rsidRPr="001A48D3" w:rsidTr="001E1827">
        <w:trPr>
          <w:trHeight w:val="398"/>
          <w:tblHeader/>
        </w:trPr>
        <w:tc>
          <w:tcPr>
            <w:tcW w:w="13638" w:type="dxa"/>
            <w:gridSpan w:val="11"/>
            <w:tcBorders>
              <w:top w:val="single" w:sz="2" w:space="0" w:color="000000"/>
              <w:left w:val="single" w:sz="2" w:space="0" w:color="000000"/>
              <w:bottom w:val="single" w:sz="2" w:space="0" w:color="000000"/>
              <w:right w:val="single" w:sz="2" w:space="0" w:color="000000"/>
            </w:tcBorders>
          </w:tcPr>
          <w:p w:rsidR="003C442E" w:rsidRPr="001A48D3" w:rsidRDefault="00125DBA" w:rsidP="00C4701A">
            <w:pPr>
              <w:autoSpaceDE w:val="0"/>
              <w:autoSpaceDN w:val="0"/>
              <w:adjustRightInd w:val="0"/>
              <w:spacing w:after="120"/>
              <w:jc w:val="center"/>
              <w:rPr>
                <w:rFonts w:cs="Calibri"/>
                <w:b/>
                <w:bCs/>
                <w:color w:val="000000"/>
                <w:sz w:val="32"/>
                <w:szCs w:val="32"/>
              </w:rPr>
            </w:pPr>
            <w:r w:rsidRPr="001A48D3">
              <w:rPr>
                <w:rFonts w:cs="Calibri"/>
                <w:b/>
                <w:bCs/>
                <w:color w:val="000000"/>
                <w:sz w:val="32"/>
                <w:szCs w:val="32"/>
              </w:rPr>
              <w:t xml:space="preserve">Emissions Limits for Euro </w:t>
            </w:r>
            <w:r w:rsidR="003C442E" w:rsidRPr="001A48D3">
              <w:rPr>
                <w:rFonts w:cs="Calibri"/>
                <w:b/>
                <w:bCs/>
                <w:color w:val="000000"/>
                <w:sz w:val="32"/>
                <w:szCs w:val="32"/>
              </w:rPr>
              <w:t xml:space="preserve">2 – Euro 6 </w:t>
            </w:r>
          </w:p>
          <w:p w:rsidR="00125DBA" w:rsidRPr="001A48D3" w:rsidRDefault="00125DBA" w:rsidP="00C4701A">
            <w:pPr>
              <w:autoSpaceDE w:val="0"/>
              <w:autoSpaceDN w:val="0"/>
              <w:adjustRightInd w:val="0"/>
              <w:spacing w:after="120"/>
              <w:jc w:val="center"/>
              <w:rPr>
                <w:rFonts w:cs="Calibri"/>
                <w:color w:val="000000"/>
                <w:sz w:val="22"/>
                <w:szCs w:val="22"/>
              </w:rPr>
            </w:pPr>
            <w:r w:rsidRPr="001A48D3">
              <w:rPr>
                <w:rFonts w:cs="Calibri"/>
                <w:b/>
                <w:bCs/>
                <w:color w:val="000000"/>
                <w:sz w:val="32"/>
                <w:szCs w:val="32"/>
              </w:rPr>
              <w:t>(g/km)</w:t>
            </w:r>
          </w:p>
        </w:tc>
      </w:tr>
      <w:tr w:rsidR="00125DBA" w:rsidRPr="001A48D3" w:rsidTr="001E1827">
        <w:trPr>
          <w:trHeight w:val="298"/>
          <w:tblHeader/>
        </w:trPr>
        <w:tc>
          <w:tcPr>
            <w:tcW w:w="3291" w:type="dxa"/>
            <w:tcBorders>
              <w:top w:val="single" w:sz="2" w:space="0" w:color="000000"/>
              <w:left w:val="single" w:sz="2" w:space="0" w:color="000000"/>
              <w:bottom w:val="single" w:sz="2" w:space="0" w:color="000000"/>
              <w:right w:val="single" w:sz="2" w:space="0" w:color="000000"/>
            </w:tcBorders>
            <w:shd w:val="clear" w:color="auto" w:fill="FFC000"/>
          </w:tcPr>
          <w:p w:rsidR="00125DBA" w:rsidRPr="001A48D3" w:rsidRDefault="00AF01A3" w:rsidP="00C4701A">
            <w:pPr>
              <w:autoSpaceDE w:val="0"/>
              <w:autoSpaceDN w:val="0"/>
              <w:adjustRightInd w:val="0"/>
              <w:spacing w:before="80" w:after="120"/>
              <w:rPr>
                <w:rFonts w:cs="Calibri"/>
                <w:b/>
                <w:color w:val="000000"/>
                <w:sz w:val="22"/>
                <w:szCs w:val="22"/>
              </w:rPr>
            </w:pPr>
            <w:r w:rsidRPr="001A48D3">
              <w:rPr>
                <w:rFonts w:cs="Calibri"/>
                <w:b/>
                <w:color w:val="000000"/>
                <w:sz w:val="22"/>
                <w:szCs w:val="22"/>
              </w:rPr>
              <w:t>Emissions</w:t>
            </w:r>
            <w:r w:rsidR="003C442E" w:rsidRPr="001A48D3">
              <w:rPr>
                <w:rFonts w:cs="Calibri"/>
                <w:b/>
                <w:color w:val="000000"/>
                <w:sz w:val="22"/>
                <w:szCs w:val="22"/>
              </w:rPr>
              <w:t xml:space="preserve"> and Vehicle Type</w:t>
            </w:r>
          </w:p>
        </w:tc>
        <w:tc>
          <w:tcPr>
            <w:tcW w:w="5103" w:type="dxa"/>
            <w:gridSpan w:val="5"/>
            <w:tcBorders>
              <w:top w:val="single" w:sz="6" w:space="0" w:color="auto"/>
              <w:left w:val="single" w:sz="2" w:space="0" w:color="000000"/>
              <w:bottom w:val="single" w:sz="2" w:space="0" w:color="000000"/>
              <w:right w:val="single" w:sz="18" w:space="0" w:color="000000"/>
            </w:tcBorders>
            <w:shd w:val="clear" w:color="auto" w:fill="FFC000"/>
          </w:tcPr>
          <w:p w:rsidR="00125DBA" w:rsidRPr="001A48D3" w:rsidRDefault="00125DBA" w:rsidP="00C4701A">
            <w:pPr>
              <w:autoSpaceDE w:val="0"/>
              <w:autoSpaceDN w:val="0"/>
              <w:adjustRightInd w:val="0"/>
              <w:spacing w:before="80" w:after="120"/>
              <w:jc w:val="center"/>
              <w:rPr>
                <w:rFonts w:cs="Calibri"/>
                <w:b/>
                <w:bCs/>
                <w:color w:val="000000"/>
                <w:szCs w:val="24"/>
              </w:rPr>
            </w:pPr>
            <w:r w:rsidRPr="001A48D3">
              <w:rPr>
                <w:rFonts w:cs="Calibri"/>
                <w:b/>
                <w:bCs/>
                <w:color w:val="000000"/>
                <w:szCs w:val="24"/>
              </w:rPr>
              <w:t>Petrol</w:t>
            </w:r>
            <w:r w:rsidR="00D464D4" w:rsidRPr="001A48D3">
              <w:rPr>
                <w:rFonts w:cs="Calibri"/>
                <w:b/>
                <w:bCs/>
                <w:color w:val="000000"/>
                <w:szCs w:val="24"/>
              </w:rPr>
              <w:t>,</w:t>
            </w:r>
            <w:r w:rsidRPr="001A48D3">
              <w:rPr>
                <w:rFonts w:cs="Calibri"/>
                <w:b/>
                <w:bCs/>
                <w:color w:val="000000"/>
                <w:szCs w:val="24"/>
              </w:rPr>
              <w:t xml:space="preserve"> LPG </w:t>
            </w:r>
            <w:r w:rsidR="00D464D4" w:rsidRPr="001A48D3">
              <w:rPr>
                <w:rFonts w:cs="Calibri"/>
                <w:b/>
                <w:bCs/>
                <w:color w:val="000000"/>
                <w:szCs w:val="24"/>
              </w:rPr>
              <w:t xml:space="preserve">&amp; NG </w:t>
            </w:r>
            <w:r w:rsidRPr="001A48D3">
              <w:rPr>
                <w:rFonts w:cs="Calibri"/>
                <w:b/>
                <w:bCs/>
                <w:color w:val="000000"/>
                <w:szCs w:val="24"/>
              </w:rPr>
              <w:t>Vehicle</w:t>
            </w:r>
            <w:r w:rsidR="00D464D4" w:rsidRPr="001A48D3">
              <w:rPr>
                <w:rFonts w:cs="Calibri"/>
                <w:b/>
                <w:bCs/>
                <w:color w:val="000000"/>
                <w:szCs w:val="24"/>
              </w:rPr>
              <w:t>s</w:t>
            </w:r>
            <w:r w:rsidRPr="001A48D3">
              <w:rPr>
                <w:rFonts w:cs="Calibri"/>
                <w:b/>
                <w:bCs/>
                <w:color w:val="000000"/>
                <w:szCs w:val="24"/>
              </w:rPr>
              <w:t xml:space="preserve"> </w:t>
            </w:r>
          </w:p>
        </w:tc>
        <w:tc>
          <w:tcPr>
            <w:tcW w:w="5244" w:type="dxa"/>
            <w:gridSpan w:val="5"/>
            <w:tcBorders>
              <w:top w:val="single" w:sz="2" w:space="0" w:color="000000"/>
              <w:left w:val="single" w:sz="18" w:space="0" w:color="000000"/>
              <w:bottom w:val="single" w:sz="6" w:space="0" w:color="auto"/>
              <w:right w:val="single" w:sz="2" w:space="0" w:color="000000"/>
            </w:tcBorders>
            <w:shd w:val="clear" w:color="auto" w:fill="FFC000"/>
          </w:tcPr>
          <w:p w:rsidR="00125DBA" w:rsidRPr="001A48D3" w:rsidRDefault="00125DBA" w:rsidP="00C4701A">
            <w:pPr>
              <w:autoSpaceDE w:val="0"/>
              <w:autoSpaceDN w:val="0"/>
              <w:adjustRightInd w:val="0"/>
              <w:spacing w:before="80" w:after="120"/>
              <w:jc w:val="center"/>
              <w:rPr>
                <w:rFonts w:cs="Calibri"/>
                <w:b/>
                <w:bCs/>
                <w:color w:val="000000"/>
                <w:szCs w:val="24"/>
              </w:rPr>
            </w:pPr>
            <w:r w:rsidRPr="001A48D3">
              <w:rPr>
                <w:rFonts w:cs="Calibri"/>
                <w:b/>
                <w:bCs/>
                <w:color w:val="000000"/>
                <w:szCs w:val="24"/>
              </w:rPr>
              <w:t>Diesel Vehicle</w:t>
            </w:r>
            <w:r w:rsidR="00D464D4" w:rsidRPr="001A48D3">
              <w:rPr>
                <w:rFonts w:cs="Calibri"/>
                <w:b/>
                <w:bCs/>
                <w:color w:val="000000"/>
                <w:szCs w:val="24"/>
              </w:rPr>
              <w:t>s</w:t>
            </w:r>
            <w:r w:rsidRPr="001A48D3">
              <w:rPr>
                <w:rFonts w:cs="Calibri"/>
                <w:b/>
                <w:bCs/>
                <w:color w:val="000000"/>
                <w:szCs w:val="24"/>
              </w:rPr>
              <w:t xml:space="preserve"> </w:t>
            </w:r>
          </w:p>
        </w:tc>
      </w:tr>
      <w:tr w:rsidR="003C442E" w:rsidRPr="001A48D3" w:rsidTr="001E1827">
        <w:trPr>
          <w:trHeight w:val="298"/>
          <w:tblHeader/>
        </w:trPr>
        <w:tc>
          <w:tcPr>
            <w:tcW w:w="3291" w:type="dxa"/>
            <w:tcBorders>
              <w:top w:val="single" w:sz="2" w:space="0" w:color="000000"/>
              <w:left w:val="single" w:sz="2" w:space="0" w:color="000000"/>
              <w:bottom w:val="single" w:sz="2" w:space="0" w:color="000000"/>
              <w:right w:val="single" w:sz="2" w:space="0" w:color="000000"/>
            </w:tcBorders>
            <w:shd w:val="clear" w:color="auto" w:fill="FFC000"/>
          </w:tcPr>
          <w:p w:rsidR="003C442E" w:rsidRPr="001A48D3" w:rsidRDefault="003C442E" w:rsidP="00C4701A">
            <w:pPr>
              <w:autoSpaceDE w:val="0"/>
              <w:autoSpaceDN w:val="0"/>
              <w:adjustRightInd w:val="0"/>
              <w:spacing w:before="80" w:after="120"/>
              <w:jc w:val="right"/>
              <w:rPr>
                <w:rFonts w:cs="Calibri"/>
                <w:color w:val="000000"/>
                <w:sz w:val="22"/>
                <w:szCs w:val="22"/>
              </w:rPr>
            </w:pPr>
          </w:p>
        </w:tc>
        <w:tc>
          <w:tcPr>
            <w:tcW w:w="1134" w:type="dxa"/>
            <w:tcBorders>
              <w:top w:val="single" w:sz="6" w:space="0" w:color="auto"/>
              <w:left w:val="single" w:sz="2" w:space="0" w:color="000000"/>
              <w:bottom w:val="single" w:sz="2" w:space="0" w:color="000000"/>
              <w:right w:val="single" w:sz="2" w:space="0" w:color="000000"/>
            </w:tcBorders>
            <w:shd w:val="clear" w:color="auto" w:fill="FFC000"/>
          </w:tcPr>
          <w:p w:rsidR="003C442E" w:rsidRPr="001A48D3" w:rsidRDefault="003C442E" w:rsidP="00C4701A">
            <w:pPr>
              <w:autoSpaceDE w:val="0"/>
              <w:autoSpaceDN w:val="0"/>
              <w:adjustRightInd w:val="0"/>
              <w:spacing w:before="80" w:after="120"/>
              <w:rPr>
                <w:rFonts w:cs="Calibri"/>
                <w:b/>
                <w:bCs/>
                <w:color w:val="000000"/>
                <w:szCs w:val="24"/>
              </w:rPr>
            </w:pPr>
            <w:r w:rsidRPr="001A48D3">
              <w:rPr>
                <w:rFonts w:cs="Calibri"/>
                <w:b/>
                <w:bCs/>
                <w:color w:val="000000"/>
                <w:szCs w:val="24"/>
              </w:rPr>
              <w:t>Euro 2</w:t>
            </w:r>
          </w:p>
        </w:tc>
        <w:tc>
          <w:tcPr>
            <w:tcW w:w="992" w:type="dxa"/>
            <w:tcBorders>
              <w:top w:val="single" w:sz="6" w:space="0" w:color="auto"/>
              <w:left w:val="single" w:sz="2" w:space="0" w:color="000000"/>
              <w:bottom w:val="single" w:sz="2" w:space="0" w:color="000000"/>
              <w:right w:val="single" w:sz="2" w:space="0" w:color="000000"/>
            </w:tcBorders>
            <w:shd w:val="clear" w:color="auto" w:fill="FFC000"/>
          </w:tcPr>
          <w:p w:rsidR="003C442E" w:rsidRPr="001A48D3" w:rsidRDefault="003C442E" w:rsidP="00C4701A">
            <w:pPr>
              <w:autoSpaceDE w:val="0"/>
              <w:autoSpaceDN w:val="0"/>
              <w:adjustRightInd w:val="0"/>
              <w:spacing w:before="80" w:after="120"/>
              <w:rPr>
                <w:rFonts w:cs="Calibri"/>
                <w:b/>
                <w:bCs/>
                <w:color w:val="000000"/>
                <w:szCs w:val="24"/>
              </w:rPr>
            </w:pPr>
            <w:r w:rsidRPr="001A48D3">
              <w:rPr>
                <w:rFonts w:cs="Calibri"/>
                <w:b/>
                <w:bCs/>
                <w:color w:val="000000"/>
                <w:szCs w:val="24"/>
              </w:rPr>
              <w:t>Euro 3</w:t>
            </w:r>
          </w:p>
        </w:tc>
        <w:tc>
          <w:tcPr>
            <w:tcW w:w="992" w:type="dxa"/>
            <w:tcBorders>
              <w:top w:val="single" w:sz="6" w:space="0" w:color="auto"/>
              <w:left w:val="single" w:sz="2" w:space="0" w:color="000000"/>
              <w:bottom w:val="single" w:sz="2" w:space="0" w:color="000000"/>
              <w:right w:val="single" w:sz="2" w:space="0" w:color="000000"/>
            </w:tcBorders>
            <w:shd w:val="clear" w:color="auto" w:fill="FFC000"/>
          </w:tcPr>
          <w:p w:rsidR="003C442E" w:rsidRPr="001A48D3" w:rsidRDefault="003C442E" w:rsidP="00C4701A">
            <w:pPr>
              <w:autoSpaceDE w:val="0"/>
              <w:autoSpaceDN w:val="0"/>
              <w:adjustRightInd w:val="0"/>
              <w:spacing w:before="80" w:after="120"/>
              <w:rPr>
                <w:rFonts w:cs="Calibri"/>
                <w:b/>
                <w:bCs/>
                <w:color w:val="000000"/>
                <w:szCs w:val="24"/>
              </w:rPr>
            </w:pPr>
            <w:r w:rsidRPr="001A48D3">
              <w:rPr>
                <w:rFonts w:cs="Calibri"/>
                <w:b/>
                <w:bCs/>
                <w:color w:val="000000"/>
                <w:szCs w:val="24"/>
              </w:rPr>
              <w:t>Euro 4</w:t>
            </w:r>
          </w:p>
        </w:tc>
        <w:tc>
          <w:tcPr>
            <w:tcW w:w="992" w:type="dxa"/>
            <w:tcBorders>
              <w:top w:val="single" w:sz="6" w:space="0" w:color="auto"/>
              <w:left w:val="single" w:sz="2" w:space="0" w:color="000000"/>
              <w:bottom w:val="single" w:sz="2" w:space="0" w:color="000000"/>
              <w:right w:val="single" w:sz="2" w:space="0" w:color="000000"/>
            </w:tcBorders>
            <w:shd w:val="clear" w:color="auto" w:fill="FFC000"/>
          </w:tcPr>
          <w:p w:rsidR="003C442E" w:rsidRPr="001A48D3" w:rsidRDefault="003C442E" w:rsidP="00C4701A">
            <w:pPr>
              <w:autoSpaceDE w:val="0"/>
              <w:autoSpaceDN w:val="0"/>
              <w:adjustRightInd w:val="0"/>
              <w:spacing w:before="80" w:after="120"/>
              <w:rPr>
                <w:rFonts w:cs="Calibri"/>
                <w:b/>
                <w:bCs/>
                <w:color w:val="000000"/>
                <w:szCs w:val="24"/>
              </w:rPr>
            </w:pPr>
            <w:r w:rsidRPr="001A48D3">
              <w:rPr>
                <w:rFonts w:cs="Calibri"/>
                <w:b/>
                <w:bCs/>
                <w:color w:val="000000"/>
                <w:szCs w:val="24"/>
              </w:rPr>
              <w:t>Euro 5</w:t>
            </w:r>
          </w:p>
        </w:tc>
        <w:tc>
          <w:tcPr>
            <w:tcW w:w="993" w:type="dxa"/>
            <w:tcBorders>
              <w:top w:val="single" w:sz="6" w:space="0" w:color="auto"/>
              <w:left w:val="single" w:sz="2" w:space="0" w:color="000000"/>
              <w:bottom w:val="single" w:sz="2" w:space="0" w:color="000000"/>
              <w:right w:val="single" w:sz="18" w:space="0" w:color="000000"/>
            </w:tcBorders>
            <w:shd w:val="clear" w:color="auto" w:fill="FFC000"/>
          </w:tcPr>
          <w:p w:rsidR="003C442E" w:rsidRPr="001A48D3" w:rsidRDefault="003C442E" w:rsidP="00C4701A">
            <w:pPr>
              <w:autoSpaceDE w:val="0"/>
              <w:autoSpaceDN w:val="0"/>
              <w:adjustRightInd w:val="0"/>
              <w:spacing w:before="80" w:after="120"/>
              <w:rPr>
                <w:rFonts w:cs="Calibri"/>
                <w:b/>
                <w:bCs/>
                <w:color w:val="000000"/>
                <w:szCs w:val="24"/>
              </w:rPr>
            </w:pPr>
            <w:r w:rsidRPr="001A48D3">
              <w:rPr>
                <w:rFonts w:cs="Calibri"/>
                <w:b/>
                <w:bCs/>
                <w:color w:val="000000"/>
                <w:szCs w:val="24"/>
              </w:rPr>
              <w:t>Euro 6</w:t>
            </w:r>
          </w:p>
        </w:tc>
        <w:tc>
          <w:tcPr>
            <w:tcW w:w="1134" w:type="dxa"/>
            <w:tcBorders>
              <w:top w:val="single" w:sz="6" w:space="0" w:color="auto"/>
              <w:left w:val="single" w:sz="18" w:space="0" w:color="000000"/>
              <w:bottom w:val="single" w:sz="2" w:space="0" w:color="000000"/>
              <w:right w:val="single" w:sz="2" w:space="0" w:color="000000"/>
            </w:tcBorders>
            <w:shd w:val="clear" w:color="auto" w:fill="FFC000"/>
          </w:tcPr>
          <w:p w:rsidR="003C442E" w:rsidRPr="001A48D3" w:rsidRDefault="003C442E" w:rsidP="00C4701A">
            <w:pPr>
              <w:autoSpaceDE w:val="0"/>
              <w:autoSpaceDN w:val="0"/>
              <w:adjustRightInd w:val="0"/>
              <w:spacing w:before="80" w:after="120"/>
              <w:rPr>
                <w:rFonts w:cs="Calibri"/>
                <w:b/>
                <w:bCs/>
                <w:color w:val="000000"/>
                <w:szCs w:val="24"/>
              </w:rPr>
            </w:pPr>
            <w:r w:rsidRPr="001A48D3">
              <w:rPr>
                <w:rFonts w:cs="Calibri"/>
                <w:b/>
                <w:bCs/>
                <w:color w:val="000000"/>
                <w:szCs w:val="24"/>
              </w:rPr>
              <w:t>Euro 2</w:t>
            </w:r>
          </w:p>
        </w:tc>
        <w:tc>
          <w:tcPr>
            <w:tcW w:w="1134" w:type="dxa"/>
            <w:tcBorders>
              <w:top w:val="single" w:sz="6" w:space="0" w:color="auto"/>
              <w:left w:val="single" w:sz="2" w:space="0" w:color="000000"/>
              <w:bottom w:val="single" w:sz="2" w:space="0" w:color="000000"/>
              <w:right w:val="single" w:sz="2" w:space="0" w:color="000000"/>
            </w:tcBorders>
            <w:shd w:val="clear" w:color="auto" w:fill="FFC000"/>
          </w:tcPr>
          <w:p w:rsidR="003C442E" w:rsidRPr="001A48D3" w:rsidRDefault="003C442E" w:rsidP="00C4701A">
            <w:pPr>
              <w:autoSpaceDE w:val="0"/>
              <w:autoSpaceDN w:val="0"/>
              <w:adjustRightInd w:val="0"/>
              <w:spacing w:before="80" w:after="120"/>
              <w:rPr>
                <w:rFonts w:cs="Calibri"/>
                <w:b/>
                <w:bCs/>
                <w:color w:val="000000"/>
                <w:szCs w:val="24"/>
              </w:rPr>
            </w:pPr>
            <w:r w:rsidRPr="001A48D3">
              <w:rPr>
                <w:rFonts w:cs="Calibri"/>
                <w:b/>
                <w:bCs/>
                <w:color w:val="000000"/>
                <w:szCs w:val="24"/>
              </w:rPr>
              <w:t>Euro 3</w:t>
            </w:r>
          </w:p>
        </w:tc>
        <w:tc>
          <w:tcPr>
            <w:tcW w:w="992" w:type="dxa"/>
            <w:tcBorders>
              <w:top w:val="single" w:sz="6" w:space="0" w:color="auto"/>
              <w:left w:val="single" w:sz="2" w:space="0" w:color="000000"/>
              <w:bottom w:val="single" w:sz="2" w:space="0" w:color="000000"/>
              <w:right w:val="single" w:sz="2" w:space="0" w:color="000000"/>
            </w:tcBorders>
            <w:shd w:val="clear" w:color="auto" w:fill="FFC000"/>
          </w:tcPr>
          <w:p w:rsidR="003C442E" w:rsidRPr="001A48D3" w:rsidRDefault="003C442E" w:rsidP="00C4701A">
            <w:pPr>
              <w:autoSpaceDE w:val="0"/>
              <w:autoSpaceDN w:val="0"/>
              <w:adjustRightInd w:val="0"/>
              <w:spacing w:before="80" w:after="120"/>
              <w:rPr>
                <w:rFonts w:cs="Calibri"/>
                <w:b/>
                <w:bCs/>
                <w:color w:val="000000"/>
                <w:szCs w:val="24"/>
              </w:rPr>
            </w:pPr>
            <w:r w:rsidRPr="001A48D3">
              <w:rPr>
                <w:rFonts w:cs="Calibri"/>
                <w:b/>
                <w:bCs/>
                <w:color w:val="000000"/>
                <w:szCs w:val="24"/>
              </w:rPr>
              <w:t>Euro 4</w:t>
            </w:r>
          </w:p>
        </w:tc>
        <w:tc>
          <w:tcPr>
            <w:tcW w:w="992" w:type="dxa"/>
            <w:tcBorders>
              <w:top w:val="single" w:sz="6" w:space="0" w:color="auto"/>
              <w:left w:val="single" w:sz="2" w:space="0" w:color="000000"/>
              <w:bottom w:val="single" w:sz="2" w:space="0" w:color="000000"/>
              <w:right w:val="single" w:sz="2" w:space="0" w:color="000000"/>
            </w:tcBorders>
            <w:shd w:val="clear" w:color="auto" w:fill="FFC000"/>
          </w:tcPr>
          <w:p w:rsidR="003C442E" w:rsidRPr="001A48D3" w:rsidRDefault="003C442E" w:rsidP="00C4701A">
            <w:pPr>
              <w:autoSpaceDE w:val="0"/>
              <w:autoSpaceDN w:val="0"/>
              <w:adjustRightInd w:val="0"/>
              <w:spacing w:before="80" w:after="120"/>
              <w:rPr>
                <w:rFonts w:cs="Calibri"/>
                <w:b/>
                <w:bCs/>
                <w:color w:val="000000"/>
                <w:szCs w:val="24"/>
              </w:rPr>
            </w:pPr>
            <w:r w:rsidRPr="001A48D3">
              <w:rPr>
                <w:rFonts w:cs="Calibri"/>
                <w:b/>
                <w:bCs/>
                <w:color w:val="000000"/>
                <w:szCs w:val="24"/>
              </w:rPr>
              <w:t>Euro 5</w:t>
            </w:r>
          </w:p>
        </w:tc>
        <w:tc>
          <w:tcPr>
            <w:tcW w:w="992" w:type="dxa"/>
            <w:tcBorders>
              <w:top w:val="single" w:sz="6" w:space="0" w:color="auto"/>
              <w:left w:val="single" w:sz="2" w:space="0" w:color="000000"/>
              <w:bottom w:val="single" w:sz="2" w:space="0" w:color="000000"/>
              <w:right w:val="single" w:sz="2" w:space="0" w:color="000000"/>
            </w:tcBorders>
            <w:shd w:val="clear" w:color="auto" w:fill="FFC000"/>
          </w:tcPr>
          <w:p w:rsidR="003C442E" w:rsidRPr="001A48D3" w:rsidRDefault="003C442E" w:rsidP="00C4701A">
            <w:pPr>
              <w:autoSpaceDE w:val="0"/>
              <w:autoSpaceDN w:val="0"/>
              <w:adjustRightInd w:val="0"/>
              <w:spacing w:before="80" w:after="120"/>
              <w:rPr>
                <w:rFonts w:cs="Calibri"/>
                <w:b/>
                <w:bCs/>
                <w:color w:val="000000"/>
                <w:szCs w:val="24"/>
              </w:rPr>
            </w:pPr>
            <w:r w:rsidRPr="001A48D3">
              <w:rPr>
                <w:rFonts w:cs="Calibri"/>
                <w:b/>
                <w:bCs/>
                <w:color w:val="000000"/>
                <w:szCs w:val="24"/>
              </w:rPr>
              <w:t>Euro 6</w:t>
            </w: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rPr>
                <w:rFonts w:cs="Calibri"/>
                <w:b/>
                <w:bCs/>
                <w:color w:val="000000"/>
                <w:sz w:val="22"/>
                <w:szCs w:val="22"/>
              </w:rPr>
            </w:pPr>
            <w:r w:rsidRPr="001A48D3">
              <w:rPr>
                <w:rFonts w:cs="Calibri"/>
                <w:b/>
                <w:bCs/>
                <w:color w:val="000000"/>
                <w:sz w:val="22"/>
                <w:szCs w:val="22"/>
              </w:rPr>
              <w:t>Carbon Monoxide Limits</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right"/>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right"/>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right"/>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right"/>
              <w:rPr>
                <w:rFonts w:cs="Calibri"/>
                <w:color w:val="000000"/>
                <w:sz w:val="22"/>
                <w:szCs w:val="22"/>
              </w:rPr>
            </w:pPr>
          </w:p>
        </w:tc>
        <w:tc>
          <w:tcPr>
            <w:tcW w:w="993" w:type="dxa"/>
            <w:tcBorders>
              <w:top w:val="single" w:sz="2" w:space="0" w:color="000000"/>
              <w:left w:val="single" w:sz="2" w:space="0" w:color="000000"/>
              <w:bottom w:val="single" w:sz="2" w:space="0" w:color="000000"/>
              <w:right w:val="single" w:sz="18" w:space="0" w:color="000000"/>
            </w:tcBorders>
          </w:tcPr>
          <w:p w:rsidR="003C442E" w:rsidRPr="001A48D3" w:rsidRDefault="003C442E" w:rsidP="00C4701A">
            <w:pPr>
              <w:autoSpaceDE w:val="0"/>
              <w:autoSpaceDN w:val="0"/>
              <w:adjustRightInd w:val="0"/>
              <w:spacing w:after="120"/>
              <w:jc w:val="right"/>
              <w:rPr>
                <w:rFonts w:cs="Calibri"/>
                <w:color w:val="000000"/>
                <w:sz w:val="22"/>
                <w:szCs w:val="22"/>
              </w:rPr>
            </w:pPr>
          </w:p>
        </w:tc>
        <w:tc>
          <w:tcPr>
            <w:tcW w:w="1134" w:type="dxa"/>
            <w:tcBorders>
              <w:top w:val="single" w:sz="2" w:space="0" w:color="000000"/>
              <w:left w:val="single" w:sz="18"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right"/>
              <w:rPr>
                <w:rFonts w:cs="Calibri"/>
                <w:color w:val="000000"/>
                <w:sz w:val="22"/>
                <w:szCs w:val="22"/>
              </w:rPr>
            </w:pP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right"/>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right"/>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right"/>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right"/>
              <w:rPr>
                <w:rFonts w:cs="Calibri"/>
                <w:color w:val="000000"/>
                <w:sz w:val="22"/>
                <w:szCs w:val="22"/>
              </w:rPr>
            </w:pP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rPr>
                <w:rFonts w:cs="Calibri"/>
                <w:color w:val="000000"/>
                <w:sz w:val="22"/>
                <w:szCs w:val="22"/>
              </w:rPr>
            </w:pPr>
            <w:r w:rsidRPr="001A48D3">
              <w:rPr>
                <w:rFonts w:cs="Calibri"/>
                <w:color w:val="000000"/>
                <w:sz w:val="22"/>
                <w:szCs w:val="22"/>
              </w:rPr>
              <w:t xml:space="preserve">Passenger Cars  </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2.200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2.300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1.000</w:t>
            </w:r>
          </w:p>
        </w:tc>
        <w:tc>
          <w:tcPr>
            <w:tcW w:w="993" w:type="dxa"/>
            <w:tcBorders>
              <w:top w:val="single" w:sz="2" w:space="0" w:color="000000"/>
              <w:left w:val="single" w:sz="2" w:space="0" w:color="000000"/>
              <w:bottom w:val="single" w:sz="2" w:space="0" w:color="000000"/>
              <w:right w:val="single" w:sz="18"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1.000</w:t>
            </w:r>
          </w:p>
        </w:tc>
        <w:tc>
          <w:tcPr>
            <w:tcW w:w="1134" w:type="dxa"/>
            <w:tcBorders>
              <w:top w:val="single" w:sz="2" w:space="0" w:color="000000"/>
              <w:left w:val="single" w:sz="18"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1.000</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0.640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0.500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0.500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0.500</w:t>
            </w: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rPr>
                <w:rFonts w:cs="Calibri"/>
                <w:color w:val="000000"/>
                <w:sz w:val="22"/>
                <w:szCs w:val="22"/>
              </w:rPr>
            </w:pPr>
            <w:r w:rsidRPr="001A48D3">
              <w:rPr>
                <w:rFonts w:cs="Calibri"/>
                <w:color w:val="000000"/>
                <w:sz w:val="22"/>
                <w:szCs w:val="22"/>
              </w:rPr>
              <w:t>LCVs with Ref mass &lt; 1305kg</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2.200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2.300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1.000</w:t>
            </w:r>
          </w:p>
        </w:tc>
        <w:tc>
          <w:tcPr>
            <w:tcW w:w="993" w:type="dxa"/>
            <w:tcBorders>
              <w:top w:val="single" w:sz="2" w:space="0" w:color="000000"/>
              <w:left w:val="single" w:sz="2" w:space="0" w:color="000000"/>
              <w:bottom w:val="single" w:sz="2" w:space="0" w:color="000000"/>
              <w:right w:val="single" w:sz="18"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1.000</w:t>
            </w:r>
          </w:p>
        </w:tc>
        <w:tc>
          <w:tcPr>
            <w:tcW w:w="1134" w:type="dxa"/>
            <w:tcBorders>
              <w:top w:val="single" w:sz="2" w:space="0" w:color="000000"/>
              <w:left w:val="single" w:sz="18"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1.000</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0.640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0.500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0.500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0.500</w:t>
            </w:r>
          </w:p>
        </w:tc>
      </w:tr>
      <w:tr w:rsidR="003C442E" w:rsidRPr="001A48D3" w:rsidTr="001E1827">
        <w:trPr>
          <w:trHeight w:val="298"/>
        </w:trPr>
        <w:tc>
          <w:tcPr>
            <w:tcW w:w="3291"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rPr>
                <w:rFonts w:cs="Calibri"/>
                <w:color w:val="000000"/>
                <w:sz w:val="22"/>
                <w:szCs w:val="22"/>
              </w:rPr>
            </w:pPr>
            <w:r w:rsidRPr="001A48D3">
              <w:rPr>
                <w:rFonts w:cs="Calibri"/>
                <w:color w:val="000000"/>
                <w:sz w:val="22"/>
                <w:szCs w:val="22"/>
              </w:rPr>
              <w:t>LCVs with Ref mass 1305-1760kg</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4.000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4.170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1.810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1.810</w:t>
            </w:r>
          </w:p>
        </w:tc>
        <w:tc>
          <w:tcPr>
            <w:tcW w:w="993" w:type="dxa"/>
            <w:tcBorders>
              <w:top w:val="single" w:sz="2" w:space="0" w:color="000000"/>
              <w:left w:val="single" w:sz="2" w:space="0" w:color="000000"/>
              <w:bottom w:val="single" w:sz="2" w:space="0" w:color="000000"/>
              <w:right w:val="single" w:sz="18"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1.810</w:t>
            </w:r>
          </w:p>
        </w:tc>
        <w:tc>
          <w:tcPr>
            <w:tcW w:w="1134" w:type="dxa"/>
            <w:tcBorders>
              <w:top w:val="single" w:sz="2" w:space="0" w:color="000000"/>
              <w:left w:val="single" w:sz="18"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1.250</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0.800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0.630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0.630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0.630</w:t>
            </w: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rPr>
                <w:rFonts w:cs="Calibri"/>
                <w:color w:val="000000"/>
                <w:sz w:val="22"/>
                <w:szCs w:val="22"/>
              </w:rPr>
            </w:pPr>
            <w:r w:rsidRPr="001A48D3">
              <w:rPr>
                <w:rFonts w:cs="Calibri"/>
                <w:color w:val="000000"/>
                <w:sz w:val="22"/>
                <w:szCs w:val="22"/>
              </w:rPr>
              <w:t>LCVs with Ref mass &gt; 1760kg</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5.000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5.220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2.270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2.270</w:t>
            </w:r>
          </w:p>
        </w:tc>
        <w:tc>
          <w:tcPr>
            <w:tcW w:w="993" w:type="dxa"/>
            <w:tcBorders>
              <w:top w:val="single" w:sz="2" w:space="0" w:color="000000"/>
              <w:left w:val="single" w:sz="2" w:space="0" w:color="000000"/>
              <w:bottom w:val="single" w:sz="2" w:space="0" w:color="000000"/>
              <w:right w:val="single" w:sz="18"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2.270</w:t>
            </w:r>
          </w:p>
        </w:tc>
        <w:tc>
          <w:tcPr>
            <w:tcW w:w="1134" w:type="dxa"/>
            <w:tcBorders>
              <w:top w:val="single" w:sz="2" w:space="0" w:color="000000"/>
              <w:left w:val="single" w:sz="18"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1.500</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0.950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0.740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0.740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0.740</w:t>
            </w: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rPr>
                <w:rFonts w:cs="Calibri"/>
                <w:b/>
                <w:bCs/>
                <w:color w:val="000000"/>
                <w:sz w:val="22"/>
                <w:szCs w:val="22"/>
              </w:rPr>
            </w:pPr>
            <w:r w:rsidRPr="001A48D3">
              <w:rPr>
                <w:rFonts w:cs="Calibri"/>
                <w:b/>
                <w:bCs/>
                <w:color w:val="000000"/>
                <w:sz w:val="22"/>
                <w:szCs w:val="22"/>
              </w:rPr>
              <w:t>Total Hydrocarbon Limits</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3" w:type="dxa"/>
            <w:tcBorders>
              <w:top w:val="single" w:sz="2" w:space="0" w:color="000000"/>
              <w:left w:val="single" w:sz="2" w:space="0" w:color="000000"/>
              <w:bottom w:val="single" w:sz="2" w:space="0" w:color="000000"/>
              <w:right w:val="single" w:sz="18"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1134" w:type="dxa"/>
            <w:tcBorders>
              <w:top w:val="single" w:sz="2" w:space="0" w:color="000000"/>
              <w:left w:val="single" w:sz="18"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rPr>
                <w:rFonts w:cs="Calibri"/>
                <w:color w:val="000000"/>
                <w:sz w:val="22"/>
                <w:szCs w:val="22"/>
              </w:rPr>
            </w:pPr>
            <w:r w:rsidRPr="001A48D3">
              <w:rPr>
                <w:rFonts w:cs="Calibri"/>
                <w:color w:val="000000"/>
                <w:sz w:val="22"/>
                <w:szCs w:val="22"/>
              </w:rPr>
              <w:t xml:space="preserve">Passenger Cars  </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0.250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0.200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0.100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0.100</w:t>
            </w:r>
          </w:p>
        </w:tc>
        <w:tc>
          <w:tcPr>
            <w:tcW w:w="993" w:type="dxa"/>
            <w:tcBorders>
              <w:top w:val="single" w:sz="2" w:space="0" w:color="000000"/>
              <w:left w:val="single" w:sz="2" w:space="0" w:color="000000"/>
              <w:bottom w:val="single" w:sz="2" w:space="0" w:color="000000"/>
              <w:right w:val="single" w:sz="18"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0.100</w:t>
            </w:r>
          </w:p>
        </w:tc>
        <w:tc>
          <w:tcPr>
            <w:tcW w:w="1134" w:type="dxa"/>
            <w:tcBorders>
              <w:top w:val="single" w:sz="2" w:space="0" w:color="000000"/>
              <w:left w:val="single" w:sz="18"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0.105</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0.084</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0.045</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0.035</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0.026</w:t>
            </w: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rPr>
                <w:rFonts w:cs="Calibri"/>
                <w:color w:val="000000"/>
                <w:sz w:val="22"/>
                <w:szCs w:val="22"/>
              </w:rPr>
            </w:pPr>
            <w:r w:rsidRPr="001A48D3">
              <w:rPr>
                <w:rFonts w:cs="Calibri"/>
                <w:color w:val="000000"/>
                <w:sz w:val="22"/>
                <w:szCs w:val="22"/>
              </w:rPr>
              <w:t>LCVs with Ref mass &lt; 1305kg</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0.250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0.200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0.100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0.100</w:t>
            </w:r>
          </w:p>
        </w:tc>
        <w:tc>
          <w:tcPr>
            <w:tcW w:w="993" w:type="dxa"/>
            <w:tcBorders>
              <w:top w:val="single" w:sz="2" w:space="0" w:color="000000"/>
              <w:left w:val="single" w:sz="2" w:space="0" w:color="000000"/>
              <w:bottom w:val="single" w:sz="2" w:space="0" w:color="000000"/>
              <w:right w:val="single" w:sz="18"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0.100</w:t>
            </w:r>
          </w:p>
        </w:tc>
        <w:tc>
          <w:tcPr>
            <w:tcW w:w="1134" w:type="dxa"/>
            <w:tcBorders>
              <w:top w:val="single" w:sz="2" w:space="0" w:color="000000"/>
              <w:left w:val="single" w:sz="18"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0.105</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0.084</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0.045</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0.035</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0.026</w:t>
            </w: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rPr>
                <w:rFonts w:cs="Calibri"/>
                <w:color w:val="000000"/>
                <w:sz w:val="22"/>
                <w:szCs w:val="22"/>
              </w:rPr>
            </w:pPr>
            <w:r w:rsidRPr="001A48D3">
              <w:rPr>
                <w:rFonts w:cs="Calibri"/>
                <w:color w:val="000000"/>
                <w:sz w:val="22"/>
                <w:szCs w:val="22"/>
              </w:rPr>
              <w:t>LCVs with Ref mass 1305-1760kg</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0.300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0.250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0.130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0.130</w:t>
            </w:r>
          </w:p>
        </w:tc>
        <w:tc>
          <w:tcPr>
            <w:tcW w:w="993" w:type="dxa"/>
            <w:tcBorders>
              <w:top w:val="single" w:sz="2" w:space="0" w:color="000000"/>
              <w:left w:val="single" w:sz="2" w:space="0" w:color="000000"/>
              <w:bottom w:val="single" w:sz="2" w:space="0" w:color="000000"/>
              <w:right w:val="single" w:sz="18"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0.130</w:t>
            </w:r>
          </w:p>
        </w:tc>
        <w:tc>
          <w:tcPr>
            <w:tcW w:w="1134" w:type="dxa"/>
            <w:tcBorders>
              <w:top w:val="single" w:sz="2" w:space="0" w:color="000000"/>
              <w:left w:val="single" w:sz="18"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0.15</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0.108</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0.059</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0.044</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0.029</w:t>
            </w: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rPr>
                <w:rFonts w:cs="Calibri"/>
                <w:color w:val="000000"/>
                <w:sz w:val="22"/>
                <w:szCs w:val="22"/>
              </w:rPr>
            </w:pPr>
            <w:r w:rsidRPr="001A48D3">
              <w:rPr>
                <w:rFonts w:cs="Calibri"/>
                <w:color w:val="000000"/>
                <w:sz w:val="22"/>
                <w:szCs w:val="22"/>
              </w:rPr>
              <w:t>LCVs with Ref mass &gt; 1760kg</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0.350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0.290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0.160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0.160</w:t>
            </w:r>
          </w:p>
        </w:tc>
        <w:tc>
          <w:tcPr>
            <w:tcW w:w="993" w:type="dxa"/>
            <w:tcBorders>
              <w:top w:val="single" w:sz="2" w:space="0" w:color="000000"/>
              <w:left w:val="single" w:sz="2" w:space="0" w:color="000000"/>
              <w:bottom w:val="single" w:sz="2" w:space="0" w:color="000000"/>
              <w:right w:val="single" w:sz="18"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0.160</w:t>
            </w:r>
          </w:p>
        </w:tc>
        <w:tc>
          <w:tcPr>
            <w:tcW w:w="1134" w:type="dxa"/>
            <w:tcBorders>
              <w:top w:val="single" w:sz="2" w:space="0" w:color="000000"/>
              <w:left w:val="single" w:sz="18"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0.18</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0.129</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0.069</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0.053</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0.032</w:t>
            </w: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rPr>
                <w:rFonts w:cs="Calibri"/>
                <w:b/>
                <w:bCs/>
                <w:color w:val="000000"/>
                <w:sz w:val="22"/>
                <w:szCs w:val="22"/>
              </w:rPr>
            </w:pPr>
            <w:r w:rsidRPr="001A48D3">
              <w:rPr>
                <w:rFonts w:cs="Calibri"/>
                <w:b/>
                <w:bCs/>
                <w:color w:val="000000"/>
                <w:sz w:val="22"/>
                <w:szCs w:val="22"/>
              </w:rPr>
              <w:t>Oxides of Nitrogen Limits</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3" w:type="dxa"/>
            <w:tcBorders>
              <w:top w:val="single" w:sz="2" w:space="0" w:color="000000"/>
              <w:left w:val="single" w:sz="2" w:space="0" w:color="000000"/>
              <w:bottom w:val="single" w:sz="2" w:space="0" w:color="000000"/>
              <w:right w:val="single" w:sz="18"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p>
        </w:tc>
        <w:tc>
          <w:tcPr>
            <w:tcW w:w="1134" w:type="dxa"/>
            <w:tcBorders>
              <w:top w:val="single" w:sz="2" w:space="0" w:color="000000"/>
              <w:left w:val="single" w:sz="18"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p>
        </w:tc>
      </w:tr>
      <w:tr w:rsidR="003C442E" w:rsidRPr="001A48D3" w:rsidTr="001E1827">
        <w:trPr>
          <w:trHeight w:val="298"/>
        </w:trPr>
        <w:tc>
          <w:tcPr>
            <w:tcW w:w="3291"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rPr>
                <w:rFonts w:cs="Calibri"/>
                <w:color w:val="000000"/>
                <w:sz w:val="22"/>
                <w:szCs w:val="22"/>
              </w:rPr>
            </w:pPr>
            <w:r w:rsidRPr="001A48D3">
              <w:rPr>
                <w:rFonts w:cs="Calibri"/>
                <w:color w:val="000000"/>
                <w:sz w:val="22"/>
                <w:szCs w:val="22"/>
              </w:rPr>
              <w:lastRenderedPageBreak/>
              <w:t xml:space="preserve">Passenger Cars  </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0.250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0.150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0.080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0.060</w:t>
            </w:r>
          </w:p>
        </w:tc>
        <w:tc>
          <w:tcPr>
            <w:tcW w:w="993" w:type="dxa"/>
            <w:tcBorders>
              <w:top w:val="single" w:sz="2" w:space="0" w:color="000000"/>
              <w:left w:val="single" w:sz="2" w:space="0" w:color="000000"/>
              <w:bottom w:val="single" w:sz="2" w:space="0" w:color="000000"/>
              <w:right w:val="single" w:sz="18"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0.060</w:t>
            </w:r>
          </w:p>
        </w:tc>
        <w:tc>
          <w:tcPr>
            <w:tcW w:w="1134" w:type="dxa"/>
            <w:tcBorders>
              <w:top w:val="single" w:sz="2" w:space="0" w:color="000000"/>
              <w:left w:val="single" w:sz="18"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0.595</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0.500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0.250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0.180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0.080</w:t>
            </w: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rPr>
                <w:rFonts w:cs="Calibri"/>
                <w:color w:val="000000"/>
                <w:sz w:val="22"/>
                <w:szCs w:val="22"/>
              </w:rPr>
            </w:pPr>
            <w:r w:rsidRPr="001A48D3">
              <w:rPr>
                <w:rFonts w:cs="Calibri"/>
                <w:color w:val="000000"/>
                <w:sz w:val="22"/>
                <w:szCs w:val="22"/>
              </w:rPr>
              <w:t>LCVs with Ref mass &lt; 1305kg</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0.250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0.150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0.080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0.060</w:t>
            </w:r>
          </w:p>
        </w:tc>
        <w:tc>
          <w:tcPr>
            <w:tcW w:w="993" w:type="dxa"/>
            <w:tcBorders>
              <w:top w:val="single" w:sz="2" w:space="0" w:color="000000"/>
              <w:left w:val="single" w:sz="2" w:space="0" w:color="000000"/>
              <w:bottom w:val="single" w:sz="2" w:space="0" w:color="000000"/>
              <w:right w:val="single" w:sz="18"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0.060</w:t>
            </w:r>
          </w:p>
        </w:tc>
        <w:tc>
          <w:tcPr>
            <w:tcW w:w="1134" w:type="dxa"/>
            <w:tcBorders>
              <w:top w:val="single" w:sz="2" w:space="0" w:color="000000"/>
              <w:left w:val="single" w:sz="18"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0.595</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0.500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0.250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0.180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0.080</w:t>
            </w: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rPr>
                <w:rFonts w:cs="Calibri"/>
                <w:color w:val="000000"/>
                <w:sz w:val="22"/>
                <w:szCs w:val="22"/>
              </w:rPr>
            </w:pPr>
            <w:r w:rsidRPr="001A48D3">
              <w:rPr>
                <w:rFonts w:cs="Calibri"/>
                <w:color w:val="000000"/>
                <w:sz w:val="22"/>
                <w:szCs w:val="22"/>
              </w:rPr>
              <w:t>LCVs with Ref mass 1305-1760kg</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0.300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0.180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0.100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0.075</w:t>
            </w:r>
          </w:p>
        </w:tc>
        <w:tc>
          <w:tcPr>
            <w:tcW w:w="993" w:type="dxa"/>
            <w:tcBorders>
              <w:top w:val="single" w:sz="2" w:space="0" w:color="000000"/>
              <w:left w:val="single" w:sz="2" w:space="0" w:color="000000"/>
              <w:bottom w:val="single" w:sz="2" w:space="0" w:color="000000"/>
              <w:right w:val="single" w:sz="18"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0.075</w:t>
            </w:r>
          </w:p>
        </w:tc>
        <w:tc>
          <w:tcPr>
            <w:tcW w:w="1134" w:type="dxa"/>
            <w:tcBorders>
              <w:top w:val="single" w:sz="2" w:space="0" w:color="000000"/>
              <w:left w:val="single" w:sz="18"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0.850</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0.650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0.330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0.235</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0.105</w:t>
            </w: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rPr>
                <w:rFonts w:cs="Calibri"/>
                <w:color w:val="000000"/>
                <w:sz w:val="22"/>
                <w:szCs w:val="22"/>
              </w:rPr>
            </w:pPr>
            <w:r w:rsidRPr="001A48D3">
              <w:rPr>
                <w:rFonts w:cs="Calibri"/>
                <w:color w:val="000000"/>
                <w:sz w:val="22"/>
                <w:szCs w:val="22"/>
              </w:rPr>
              <w:t>LCVs with Ref mass &gt; 1760kg</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0.350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0.210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0.110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0.082</w:t>
            </w:r>
          </w:p>
        </w:tc>
        <w:tc>
          <w:tcPr>
            <w:tcW w:w="993" w:type="dxa"/>
            <w:tcBorders>
              <w:top w:val="single" w:sz="2" w:space="0" w:color="000000"/>
              <w:left w:val="single" w:sz="2" w:space="0" w:color="000000"/>
              <w:bottom w:val="single" w:sz="2" w:space="0" w:color="000000"/>
              <w:right w:val="single" w:sz="18"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0.082</w:t>
            </w:r>
          </w:p>
        </w:tc>
        <w:tc>
          <w:tcPr>
            <w:tcW w:w="1134" w:type="dxa"/>
            <w:tcBorders>
              <w:top w:val="single" w:sz="2" w:space="0" w:color="000000"/>
              <w:left w:val="single" w:sz="18"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1.020</w:t>
            </w:r>
          </w:p>
        </w:tc>
        <w:tc>
          <w:tcPr>
            <w:tcW w:w="1134"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0.780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0.390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0.280</w:t>
            </w:r>
          </w:p>
        </w:tc>
        <w:tc>
          <w:tcPr>
            <w:tcW w:w="992" w:type="dxa"/>
            <w:tcBorders>
              <w:top w:val="single" w:sz="2" w:space="0" w:color="000000"/>
              <w:left w:val="single" w:sz="2" w:space="0" w:color="000000"/>
              <w:bottom w:val="single" w:sz="2" w:space="0" w:color="000000"/>
              <w:right w:val="single" w:sz="2" w:space="0" w:color="000000"/>
            </w:tcBorders>
          </w:tcPr>
          <w:p w:rsidR="003C442E" w:rsidRPr="001A48D3" w:rsidRDefault="003C442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0.125</w:t>
            </w:r>
          </w:p>
        </w:tc>
      </w:tr>
      <w:tr w:rsidR="003C442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rPr>
                <w:rFonts w:cs="Calibri"/>
                <w:b/>
                <w:bCs/>
                <w:color w:val="000000"/>
                <w:sz w:val="22"/>
                <w:szCs w:val="22"/>
              </w:rPr>
            </w:pPr>
            <w:r w:rsidRPr="001A48D3">
              <w:rPr>
                <w:rFonts w:cs="Calibri"/>
                <w:b/>
                <w:bCs/>
                <w:color w:val="000000"/>
                <w:sz w:val="22"/>
                <w:szCs w:val="22"/>
              </w:rPr>
              <w:t xml:space="preserve">Particulate </w:t>
            </w:r>
            <w:r w:rsidR="0075308B" w:rsidRPr="001A48D3">
              <w:rPr>
                <w:rFonts w:cs="Calibri"/>
                <w:b/>
                <w:bCs/>
                <w:color w:val="000000"/>
                <w:sz w:val="22"/>
                <w:szCs w:val="22"/>
              </w:rPr>
              <w:t xml:space="preserve">(mass) </w:t>
            </w:r>
            <w:r w:rsidRPr="001A48D3">
              <w:rPr>
                <w:rFonts w:cs="Calibri"/>
                <w:b/>
                <w:bCs/>
                <w:color w:val="000000"/>
                <w:sz w:val="22"/>
                <w:szCs w:val="22"/>
              </w:rPr>
              <w:t xml:space="preserve">Limits </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3" w:type="dxa"/>
            <w:tcBorders>
              <w:top w:val="single" w:sz="2" w:space="0" w:color="000000"/>
              <w:left w:val="single" w:sz="2" w:space="0" w:color="000000"/>
              <w:bottom w:val="single" w:sz="2" w:space="0" w:color="000000"/>
              <w:right w:val="single" w:sz="18"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1134" w:type="dxa"/>
            <w:tcBorders>
              <w:top w:val="single" w:sz="2" w:space="0" w:color="000000"/>
              <w:left w:val="single" w:sz="18"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3C442E" w:rsidRPr="001A48D3" w:rsidRDefault="003C442E" w:rsidP="00C4701A">
            <w:pPr>
              <w:autoSpaceDE w:val="0"/>
              <w:autoSpaceDN w:val="0"/>
              <w:adjustRightInd w:val="0"/>
              <w:spacing w:after="120"/>
              <w:jc w:val="center"/>
              <w:rPr>
                <w:rFonts w:cs="Calibri"/>
                <w:color w:val="000000"/>
                <w:sz w:val="22"/>
                <w:szCs w:val="22"/>
              </w:rPr>
            </w:pPr>
          </w:p>
        </w:tc>
      </w:tr>
      <w:tr w:rsidR="00DE2AD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rPr>
                <w:rFonts w:cs="Calibri"/>
                <w:color w:val="000000"/>
                <w:sz w:val="22"/>
                <w:szCs w:val="22"/>
              </w:rPr>
            </w:pPr>
            <w:r w:rsidRPr="001A48D3">
              <w:rPr>
                <w:rFonts w:cs="Calibri"/>
                <w:color w:val="000000"/>
                <w:sz w:val="22"/>
                <w:szCs w:val="22"/>
              </w:rPr>
              <w:t xml:space="preserve">Passenger Cars  </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3" w:type="dxa"/>
            <w:tcBorders>
              <w:top w:val="single" w:sz="2" w:space="0" w:color="000000"/>
              <w:left w:val="single" w:sz="2" w:space="0" w:color="000000"/>
              <w:bottom w:val="single" w:sz="2" w:space="0" w:color="000000"/>
              <w:right w:val="single" w:sz="18"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1134" w:type="dxa"/>
            <w:tcBorders>
              <w:top w:val="single" w:sz="2" w:space="0" w:color="000000"/>
              <w:left w:val="single" w:sz="18"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0.080</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0.050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0.025</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0.0045</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0.0045</w:t>
            </w:r>
          </w:p>
        </w:tc>
      </w:tr>
      <w:tr w:rsidR="00DE2AD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rPr>
                <w:rFonts w:cs="Calibri"/>
                <w:color w:val="000000"/>
                <w:sz w:val="22"/>
                <w:szCs w:val="22"/>
              </w:rPr>
            </w:pPr>
            <w:r w:rsidRPr="001A48D3">
              <w:rPr>
                <w:rFonts w:cs="Calibri"/>
                <w:color w:val="000000"/>
                <w:sz w:val="22"/>
                <w:szCs w:val="22"/>
              </w:rPr>
              <w:t>LCVs with Ref mass &lt; 1305kg</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3" w:type="dxa"/>
            <w:tcBorders>
              <w:top w:val="single" w:sz="2" w:space="0" w:color="000000"/>
              <w:left w:val="single" w:sz="2" w:space="0" w:color="000000"/>
              <w:bottom w:val="single" w:sz="2" w:space="0" w:color="000000"/>
              <w:right w:val="single" w:sz="18"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1134" w:type="dxa"/>
            <w:tcBorders>
              <w:top w:val="single" w:sz="2" w:space="0" w:color="000000"/>
              <w:left w:val="single" w:sz="18"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0.080</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0.050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0.025</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0.0045</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0.0045</w:t>
            </w:r>
          </w:p>
        </w:tc>
      </w:tr>
      <w:tr w:rsidR="00DE2AD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rPr>
                <w:rFonts w:cs="Calibri"/>
                <w:color w:val="000000"/>
                <w:sz w:val="22"/>
                <w:szCs w:val="22"/>
              </w:rPr>
            </w:pPr>
            <w:r w:rsidRPr="001A48D3">
              <w:rPr>
                <w:rFonts w:cs="Calibri"/>
                <w:color w:val="000000"/>
                <w:sz w:val="22"/>
                <w:szCs w:val="22"/>
              </w:rPr>
              <w:t>LCVs with Ref mass 1305-1760kg</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3" w:type="dxa"/>
            <w:tcBorders>
              <w:top w:val="single" w:sz="2" w:space="0" w:color="000000"/>
              <w:left w:val="single" w:sz="2" w:space="0" w:color="000000"/>
              <w:bottom w:val="single" w:sz="2" w:space="0" w:color="000000"/>
              <w:right w:val="single" w:sz="18"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1134" w:type="dxa"/>
            <w:tcBorders>
              <w:top w:val="single" w:sz="2" w:space="0" w:color="000000"/>
              <w:left w:val="single" w:sz="18"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0.120</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0.070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0.040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0.0045</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0.0045</w:t>
            </w:r>
          </w:p>
        </w:tc>
      </w:tr>
      <w:tr w:rsidR="00DE2ADE" w:rsidRPr="001A48D3" w:rsidTr="001E1827">
        <w:trPr>
          <w:trHeight w:val="286"/>
        </w:trPr>
        <w:tc>
          <w:tcPr>
            <w:tcW w:w="3291"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rPr>
                <w:rFonts w:cs="Calibri"/>
                <w:color w:val="000000"/>
                <w:sz w:val="22"/>
                <w:szCs w:val="22"/>
              </w:rPr>
            </w:pPr>
            <w:r w:rsidRPr="001A48D3">
              <w:rPr>
                <w:rFonts w:cs="Calibri"/>
                <w:color w:val="000000"/>
                <w:sz w:val="22"/>
                <w:szCs w:val="22"/>
              </w:rPr>
              <w:t>LCVs with Ref mass &gt; 1760kg</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993" w:type="dxa"/>
            <w:tcBorders>
              <w:top w:val="single" w:sz="2" w:space="0" w:color="000000"/>
              <w:left w:val="single" w:sz="2" w:space="0" w:color="000000"/>
              <w:bottom w:val="single" w:sz="2" w:space="0" w:color="000000"/>
              <w:right w:val="single" w:sz="18"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NA</w:t>
            </w:r>
          </w:p>
        </w:tc>
        <w:tc>
          <w:tcPr>
            <w:tcW w:w="1134" w:type="dxa"/>
            <w:tcBorders>
              <w:top w:val="single" w:sz="2" w:space="0" w:color="000000"/>
              <w:left w:val="single" w:sz="18"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0.170</w:t>
            </w:r>
          </w:p>
        </w:tc>
        <w:tc>
          <w:tcPr>
            <w:tcW w:w="1134"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0.100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0.060</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0.0045</w:t>
            </w:r>
          </w:p>
        </w:tc>
        <w:tc>
          <w:tcPr>
            <w:tcW w:w="992" w:type="dxa"/>
            <w:tcBorders>
              <w:top w:val="single" w:sz="2" w:space="0" w:color="000000"/>
              <w:left w:val="single" w:sz="2" w:space="0" w:color="000000"/>
              <w:bottom w:val="single" w:sz="2" w:space="0" w:color="000000"/>
              <w:right w:val="single" w:sz="2" w:space="0" w:color="000000"/>
            </w:tcBorders>
            <w:shd w:val="clear" w:color="auto" w:fill="DBE5F1"/>
          </w:tcPr>
          <w:p w:rsidR="00DE2ADE" w:rsidRPr="001A48D3" w:rsidRDefault="00DE2ADE" w:rsidP="00C4701A">
            <w:pPr>
              <w:autoSpaceDE w:val="0"/>
              <w:autoSpaceDN w:val="0"/>
              <w:adjustRightInd w:val="0"/>
              <w:spacing w:after="120"/>
              <w:jc w:val="center"/>
              <w:rPr>
                <w:rFonts w:cs="Calibri"/>
                <w:color w:val="000000"/>
                <w:sz w:val="22"/>
                <w:szCs w:val="22"/>
              </w:rPr>
            </w:pPr>
            <w:r w:rsidRPr="001A48D3">
              <w:rPr>
                <w:rFonts w:cs="Calibri"/>
                <w:color w:val="000000"/>
                <w:sz w:val="22"/>
                <w:szCs w:val="22"/>
              </w:rPr>
              <w:t>0.0045</w:t>
            </w:r>
          </w:p>
        </w:tc>
      </w:tr>
    </w:tbl>
    <w:p w:rsidR="00062D7D" w:rsidRDefault="00062D7D" w:rsidP="00C4701A">
      <w:pPr>
        <w:spacing w:after="120"/>
      </w:pPr>
    </w:p>
    <w:p w:rsidR="00D464D4" w:rsidRPr="001A48D3" w:rsidRDefault="003C442E" w:rsidP="00C4701A">
      <w:pPr>
        <w:spacing w:after="120"/>
        <w:rPr>
          <w:color w:val="000000"/>
          <w:sz w:val="22"/>
          <w:szCs w:val="22"/>
        </w:rPr>
      </w:pPr>
      <w:r w:rsidRPr="001A48D3">
        <w:t>Notes</w:t>
      </w:r>
      <w:r w:rsidR="00E94969" w:rsidRPr="001A48D3">
        <w:t xml:space="preserve"> to Appendix B</w:t>
      </w:r>
      <w:r w:rsidR="00D464D4" w:rsidRPr="001A48D3">
        <w:t xml:space="preserve"> table</w:t>
      </w:r>
      <w:r w:rsidRPr="001A48D3">
        <w:t xml:space="preserve">: </w:t>
      </w:r>
    </w:p>
    <w:p w:rsidR="003C442E" w:rsidRPr="001A48D3" w:rsidRDefault="003C442E" w:rsidP="00C4701A">
      <w:pPr>
        <w:numPr>
          <w:ilvl w:val="0"/>
          <w:numId w:val="7"/>
        </w:numPr>
        <w:spacing w:after="120"/>
      </w:pPr>
      <w:r w:rsidRPr="001A48D3">
        <w:t xml:space="preserve">Reference </w:t>
      </w:r>
      <w:r w:rsidR="0098207F" w:rsidRPr="001A48D3">
        <w:t xml:space="preserve">(Ref) </w:t>
      </w:r>
      <w:r w:rsidRPr="001A48D3">
        <w:t xml:space="preserve">mass is a testing parameter defined as </w:t>
      </w:r>
      <w:r w:rsidR="0098207F" w:rsidRPr="001A48D3">
        <w:t xml:space="preserve">the </w:t>
      </w:r>
      <w:proofErr w:type="spellStart"/>
      <w:r w:rsidRPr="001A48D3">
        <w:t>unladen</w:t>
      </w:r>
      <w:proofErr w:type="spellEnd"/>
      <w:r w:rsidRPr="001A48D3">
        <w:t xml:space="preserve"> mass of the vehicle + 100kg</w:t>
      </w:r>
    </w:p>
    <w:p w:rsidR="003C442E" w:rsidRPr="001A48D3" w:rsidRDefault="003C442E" w:rsidP="00C4701A">
      <w:pPr>
        <w:numPr>
          <w:ilvl w:val="0"/>
          <w:numId w:val="7"/>
        </w:numPr>
        <w:spacing w:after="120"/>
      </w:pPr>
      <w:r w:rsidRPr="001A48D3">
        <w:t xml:space="preserve">Under E1, E2, E3 and E4, passenger vehicles which exceed 2500 kg GVM are subject to </w:t>
      </w:r>
      <w:r w:rsidR="004A16C1" w:rsidRPr="001A48D3">
        <w:t xml:space="preserve">the </w:t>
      </w:r>
      <w:r w:rsidRPr="001A48D3">
        <w:t xml:space="preserve">least stringent </w:t>
      </w:r>
      <w:r w:rsidR="00AF01A3" w:rsidRPr="001A48D3">
        <w:t>emissions</w:t>
      </w:r>
      <w:r w:rsidRPr="001A48D3">
        <w:t xml:space="preserve"> limits for that standard (i.e. </w:t>
      </w:r>
      <w:r w:rsidR="004A16C1" w:rsidRPr="001A48D3">
        <w:t>t</w:t>
      </w:r>
      <w:r w:rsidRPr="001A48D3">
        <w:t>he limits applicable to LCVs with Ref mass &gt;1760).  Euro 5 and 6 remove this concession for heavy passenger vehicles.</w:t>
      </w:r>
    </w:p>
    <w:p w:rsidR="003C442E" w:rsidRPr="001A48D3" w:rsidRDefault="003C442E" w:rsidP="00C4701A">
      <w:pPr>
        <w:numPr>
          <w:ilvl w:val="0"/>
          <w:numId w:val="7"/>
        </w:numPr>
        <w:spacing w:after="120"/>
      </w:pPr>
      <w:r w:rsidRPr="001A48D3">
        <w:t xml:space="preserve">There is no separate HC limit for diesel vehicles.  For Euro 1 and Euro 2 diesels there was only a combined </w:t>
      </w:r>
      <w:proofErr w:type="spellStart"/>
      <w:r w:rsidRPr="001A48D3">
        <w:t>HC+NOx</w:t>
      </w:r>
      <w:proofErr w:type="spellEnd"/>
      <w:r w:rsidRPr="001A48D3">
        <w:t xml:space="preserve"> limit.  From Euro 3 onwards, diesel vehicles had a combined </w:t>
      </w:r>
      <w:proofErr w:type="spellStart"/>
      <w:r w:rsidRPr="001A48D3">
        <w:t>HC+NOx</w:t>
      </w:r>
      <w:proofErr w:type="spellEnd"/>
      <w:r w:rsidRPr="001A48D3">
        <w:t xml:space="preserve"> limit and a separate NOx limit.  In diesel vehicles, the NOx emissions are the </w:t>
      </w:r>
      <w:r w:rsidRPr="001A48D3">
        <w:lastRenderedPageBreak/>
        <w:t xml:space="preserve">dominant proportion of the </w:t>
      </w:r>
      <w:proofErr w:type="spellStart"/>
      <w:r w:rsidRPr="001A48D3">
        <w:t>HC+NOx</w:t>
      </w:r>
      <w:proofErr w:type="spellEnd"/>
      <w:r w:rsidRPr="001A48D3">
        <w:t xml:space="preserve"> calculation, with observation of certification data suggesting  an approximate 1.5:8.5 (</w:t>
      </w:r>
      <w:proofErr w:type="spellStart"/>
      <w:r w:rsidRPr="001A48D3">
        <w:t>HC:NOx</w:t>
      </w:r>
      <w:proofErr w:type="spellEnd"/>
      <w:r w:rsidRPr="001A48D3">
        <w:t xml:space="preserve">) split of the combined </w:t>
      </w:r>
      <w:proofErr w:type="spellStart"/>
      <w:r w:rsidRPr="001A48D3">
        <w:t>HC+NOx</w:t>
      </w:r>
      <w:proofErr w:type="spellEnd"/>
      <w:r w:rsidRPr="001A48D3">
        <w:t xml:space="preserve"> limit is appropriate.  This ratio has been applied to the </w:t>
      </w:r>
      <w:proofErr w:type="spellStart"/>
      <w:r w:rsidRPr="001A48D3">
        <w:t>HC+NOx</w:t>
      </w:r>
      <w:proofErr w:type="spellEnd"/>
      <w:r w:rsidRPr="001A48D3">
        <w:t xml:space="preserve"> </w:t>
      </w:r>
      <w:r w:rsidR="00AF01A3" w:rsidRPr="001A48D3">
        <w:t>emissions</w:t>
      </w:r>
      <w:r w:rsidRPr="001A48D3">
        <w:t xml:space="preserve"> limits for light duty diesels to determine all the HC values for diesels in the above </w:t>
      </w:r>
      <w:r w:rsidR="0072458D" w:rsidRPr="001A48D3">
        <w:t>table</w:t>
      </w:r>
      <w:r w:rsidRPr="001A48D3">
        <w:t>, as well as the NOx values for Euro 2 diesels (the NOx values for the later standards are the actual regulated limits).</w:t>
      </w:r>
    </w:p>
    <w:p w:rsidR="003C442E" w:rsidRPr="001A48D3" w:rsidRDefault="004A16C1" w:rsidP="00C4701A">
      <w:pPr>
        <w:numPr>
          <w:ilvl w:val="0"/>
          <w:numId w:val="7"/>
        </w:numPr>
        <w:spacing w:after="120"/>
      </w:pPr>
      <w:r w:rsidRPr="001A48D3">
        <w:t>ECE 83/06 requires d</w:t>
      </w:r>
      <w:r w:rsidR="003C442E" w:rsidRPr="001A48D3">
        <w:t>iesel</w:t>
      </w:r>
      <w:r w:rsidRPr="001A48D3">
        <w:t xml:space="preserve"> vehicle</w:t>
      </w:r>
      <w:r w:rsidR="003C442E" w:rsidRPr="001A48D3">
        <w:t xml:space="preserve">s </w:t>
      </w:r>
      <w:r w:rsidRPr="001A48D3">
        <w:t xml:space="preserve">to meet a </w:t>
      </w:r>
      <w:r w:rsidR="003C442E" w:rsidRPr="001A48D3">
        <w:t xml:space="preserve">particle number limit </w:t>
      </w:r>
      <w:r w:rsidR="00DE2ADE" w:rsidRPr="001A48D3">
        <w:t>of 6x10</w:t>
      </w:r>
      <w:r w:rsidR="00DE2ADE" w:rsidRPr="001A48D3">
        <w:rPr>
          <w:vertAlign w:val="superscript"/>
        </w:rPr>
        <w:t>11</w:t>
      </w:r>
      <w:r w:rsidR="00DE2ADE" w:rsidRPr="001A48D3">
        <w:t xml:space="preserve"> (number of particles/ km)</w:t>
      </w:r>
      <w:r w:rsidR="003B6365" w:rsidRPr="001A48D3">
        <w:t>.</w:t>
      </w:r>
    </w:p>
    <w:p w:rsidR="00DD6BED" w:rsidRPr="001A48D3" w:rsidRDefault="00DD6BED" w:rsidP="00C4701A">
      <w:pPr>
        <w:spacing w:after="120"/>
        <w:rPr>
          <w:b/>
          <w:sz w:val="16"/>
        </w:rPr>
      </w:pPr>
    </w:p>
    <w:p w:rsidR="00FF273A" w:rsidRPr="001A48D3" w:rsidRDefault="00FF273A" w:rsidP="00C4701A">
      <w:pPr>
        <w:spacing w:after="120"/>
        <w:rPr>
          <w:b/>
          <w:sz w:val="16"/>
        </w:rPr>
        <w:sectPr w:rsidR="00FF273A" w:rsidRPr="001A48D3" w:rsidSect="00125DBA">
          <w:pgSz w:w="16838" w:h="11906" w:orient="landscape" w:code="9"/>
          <w:pgMar w:top="1800" w:right="1440" w:bottom="1800" w:left="1440" w:header="720" w:footer="720" w:gutter="0"/>
          <w:cols w:space="720"/>
          <w:docGrid w:linePitch="326"/>
        </w:sectPr>
      </w:pPr>
    </w:p>
    <w:p w:rsidR="00FF273A" w:rsidRPr="002E5D02" w:rsidRDefault="00E94969" w:rsidP="00B52F7D">
      <w:pPr>
        <w:pStyle w:val="Heading1"/>
      </w:pPr>
      <w:bookmarkStart w:id="133" w:name="_Toc430182589"/>
      <w:r w:rsidRPr="002E5D02">
        <w:lastRenderedPageBreak/>
        <w:t xml:space="preserve">Appendix </w:t>
      </w:r>
      <w:r w:rsidR="008549DC" w:rsidRPr="002E5D02">
        <w:t>C</w:t>
      </w:r>
      <w:r w:rsidR="00FF273A" w:rsidRPr="002E5D02">
        <w:tab/>
      </w:r>
      <w:r w:rsidR="00350B1D" w:rsidRPr="002E5D02">
        <w:t xml:space="preserve">BITRE </w:t>
      </w:r>
      <w:r w:rsidR="00FF273A" w:rsidRPr="002E5D02">
        <w:t>Benefit-</w:t>
      </w:r>
      <w:r w:rsidR="002E5D02">
        <w:t>C</w:t>
      </w:r>
      <w:r w:rsidR="00FF273A" w:rsidRPr="002E5D02">
        <w:t xml:space="preserve">ost </w:t>
      </w:r>
      <w:r w:rsidR="002E5D02">
        <w:t>A</w:t>
      </w:r>
      <w:r w:rsidR="00FF273A" w:rsidRPr="002E5D02">
        <w:t>nalysis</w:t>
      </w:r>
      <w:bookmarkEnd w:id="133"/>
      <w:r w:rsidR="00FF273A" w:rsidRPr="002E5D02">
        <w:t xml:space="preserve"> </w:t>
      </w:r>
    </w:p>
    <w:p w:rsidR="00663CEA" w:rsidRPr="001A48D3" w:rsidRDefault="00FF273A" w:rsidP="00C4701A">
      <w:pPr>
        <w:spacing w:after="120"/>
      </w:pPr>
      <w:r w:rsidRPr="001A48D3">
        <w:t>The Department of Infrastructure</w:t>
      </w:r>
      <w:r w:rsidR="00B31039" w:rsidRPr="001A48D3">
        <w:t xml:space="preserve"> and</w:t>
      </w:r>
      <w:r w:rsidRPr="001A48D3">
        <w:t xml:space="preserve"> Transport engaged its Bureau of </w:t>
      </w:r>
      <w:r w:rsidR="00663CEA" w:rsidRPr="001A48D3">
        <w:t>Infrastructure</w:t>
      </w:r>
      <w:r w:rsidRPr="001A48D3">
        <w:t xml:space="preserve">, Transport and Regional Economics </w:t>
      </w:r>
      <w:r w:rsidR="00350B1D" w:rsidRPr="001A48D3">
        <w:t xml:space="preserve">(BITRE) </w:t>
      </w:r>
      <w:r w:rsidRPr="001A48D3">
        <w:t xml:space="preserve">to model the emissions impacts of the introduction of the Euro 5 and Euro 6 </w:t>
      </w:r>
      <w:r w:rsidR="00AF01A3" w:rsidRPr="001A48D3">
        <w:t>emissions</w:t>
      </w:r>
      <w:r w:rsidRPr="001A48D3">
        <w:t xml:space="preserve"> standards</w:t>
      </w:r>
      <w:r w:rsidR="00663CEA" w:rsidRPr="001A48D3">
        <w:t xml:space="preserve"> as proposed in this Regulation Impact Statement</w:t>
      </w:r>
      <w:r w:rsidRPr="001A48D3">
        <w:t xml:space="preserve">, and </w:t>
      </w:r>
      <w:r w:rsidR="00663CEA" w:rsidRPr="001A48D3">
        <w:t xml:space="preserve">to </w:t>
      </w:r>
      <w:r w:rsidRPr="001A48D3">
        <w:t>prepare</w:t>
      </w:r>
      <w:r w:rsidR="00663CEA" w:rsidRPr="001A48D3">
        <w:t xml:space="preserve"> the associated benefit-cost analysis.</w:t>
      </w:r>
    </w:p>
    <w:p w:rsidR="00FF273A" w:rsidRPr="001A48D3" w:rsidRDefault="00663CEA" w:rsidP="00C4701A">
      <w:pPr>
        <w:spacing w:after="120"/>
      </w:pPr>
      <w:r w:rsidRPr="001A48D3">
        <w:t xml:space="preserve">The comparative analysis in Section 4 of </w:t>
      </w:r>
      <w:r w:rsidR="00F652C4" w:rsidRPr="001A48D3">
        <w:t xml:space="preserve">the </w:t>
      </w:r>
      <w:r w:rsidRPr="001A48D3">
        <w:t>RIS, is based on the analysis in this Appendix.</w:t>
      </w:r>
    </w:p>
    <w:p w:rsidR="00A01ECA" w:rsidRPr="001A48D3" w:rsidRDefault="00663CEA" w:rsidP="00C4701A">
      <w:pPr>
        <w:spacing w:after="120"/>
        <w:rPr>
          <w:b/>
        </w:rPr>
      </w:pPr>
      <w:r w:rsidRPr="001A48D3">
        <w:rPr>
          <w:b/>
        </w:rPr>
        <w:t>Note:</w:t>
      </w:r>
      <w:r w:rsidRPr="001A48D3">
        <w:rPr>
          <w:b/>
        </w:rPr>
        <w:tab/>
      </w:r>
      <w:r w:rsidR="001F4AE0" w:rsidRPr="001A48D3">
        <w:rPr>
          <w:b/>
        </w:rPr>
        <w:t xml:space="preserve">in </w:t>
      </w:r>
      <w:r w:rsidRPr="001A48D3">
        <w:rPr>
          <w:b/>
        </w:rPr>
        <w:t>this Appendix</w:t>
      </w:r>
      <w:r w:rsidR="001F4AE0" w:rsidRPr="001A48D3">
        <w:rPr>
          <w:b/>
        </w:rPr>
        <w:t xml:space="preserve">, </w:t>
      </w:r>
      <w:r w:rsidR="00493075" w:rsidRPr="001A48D3">
        <w:rPr>
          <w:b/>
        </w:rPr>
        <w:t xml:space="preserve">the BAU, </w:t>
      </w:r>
      <w:r w:rsidR="002B5B30" w:rsidRPr="001A48D3">
        <w:rPr>
          <w:b/>
        </w:rPr>
        <w:t xml:space="preserve">S1 </w:t>
      </w:r>
      <w:r w:rsidRPr="001A48D3">
        <w:rPr>
          <w:b/>
        </w:rPr>
        <w:t xml:space="preserve">and </w:t>
      </w:r>
      <w:r w:rsidR="002B5B30" w:rsidRPr="001A48D3">
        <w:rPr>
          <w:b/>
        </w:rPr>
        <w:t xml:space="preserve">S1A </w:t>
      </w:r>
      <w:r w:rsidR="00493075" w:rsidRPr="001A48D3">
        <w:rPr>
          <w:b/>
        </w:rPr>
        <w:t>Scenarios</w:t>
      </w:r>
      <w:r w:rsidRPr="001A48D3">
        <w:rPr>
          <w:b/>
        </w:rPr>
        <w:t xml:space="preserve">, are identical to </w:t>
      </w:r>
      <w:r w:rsidR="001F4AE0" w:rsidRPr="001A48D3">
        <w:rPr>
          <w:b/>
        </w:rPr>
        <w:t>RIS Options</w:t>
      </w:r>
      <w:r w:rsidR="00493075" w:rsidRPr="001A48D3">
        <w:rPr>
          <w:b/>
        </w:rPr>
        <w:t xml:space="preserve"> 1, </w:t>
      </w:r>
      <w:r w:rsidRPr="001A48D3">
        <w:rPr>
          <w:b/>
        </w:rPr>
        <w:t>2 and 3, respectively.</w:t>
      </w:r>
      <w:r w:rsidR="009B2FA3" w:rsidRPr="001A48D3">
        <w:rPr>
          <w:b/>
        </w:rPr>
        <w:t xml:space="preserve">  The analysis for Option 4 </w:t>
      </w:r>
      <w:r w:rsidR="002B5B30" w:rsidRPr="001A48D3">
        <w:rPr>
          <w:b/>
        </w:rPr>
        <w:t>was</w:t>
      </w:r>
      <w:r w:rsidR="00C20262" w:rsidRPr="001A48D3">
        <w:rPr>
          <w:b/>
        </w:rPr>
        <w:t xml:space="preserve"> </w:t>
      </w:r>
      <w:r w:rsidR="00244954" w:rsidRPr="001A48D3">
        <w:rPr>
          <w:b/>
        </w:rPr>
        <w:t>derived from the</w:t>
      </w:r>
      <w:r w:rsidR="009B2FA3" w:rsidRPr="001A48D3">
        <w:rPr>
          <w:b/>
        </w:rPr>
        <w:t xml:space="preserve"> BCA set out in this Appendix</w:t>
      </w:r>
      <w:r w:rsidR="00244954" w:rsidRPr="001A48D3">
        <w:rPr>
          <w:b/>
        </w:rPr>
        <w:t xml:space="preserve"> (but </w:t>
      </w:r>
      <w:r w:rsidR="002B5B30" w:rsidRPr="001A48D3">
        <w:rPr>
          <w:b/>
        </w:rPr>
        <w:t xml:space="preserve">is </w:t>
      </w:r>
      <w:r w:rsidR="00244954" w:rsidRPr="001A48D3">
        <w:rPr>
          <w:b/>
        </w:rPr>
        <w:t>not included here)</w:t>
      </w:r>
      <w:r w:rsidR="009B2FA3" w:rsidRPr="001A48D3">
        <w:rPr>
          <w:b/>
        </w:rPr>
        <w:t xml:space="preserve">. </w:t>
      </w:r>
      <w:r w:rsidR="003710C8" w:rsidRPr="001A48D3">
        <w:rPr>
          <w:b/>
        </w:rPr>
        <w:t xml:space="preserve"> </w:t>
      </w:r>
    </w:p>
    <w:p w:rsidR="00A01ECA" w:rsidRPr="001A48D3" w:rsidRDefault="00A01ECA" w:rsidP="00C4701A">
      <w:pPr>
        <w:spacing w:after="120"/>
        <w:ind w:left="720" w:hanging="720"/>
        <w:rPr>
          <w:b/>
          <w:szCs w:val="24"/>
        </w:rPr>
        <w:sectPr w:rsidR="00A01ECA" w:rsidRPr="001A48D3" w:rsidSect="00FF273A">
          <w:pgSz w:w="11906" w:h="16838" w:code="9"/>
          <w:pgMar w:top="1440" w:right="1800" w:bottom="1440" w:left="1800" w:header="720" w:footer="720" w:gutter="0"/>
          <w:cols w:space="720"/>
          <w:docGrid w:linePitch="326"/>
        </w:sectPr>
      </w:pPr>
    </w:p>
    <w:p w:rsidR="00A01ECA" w:rsidRPr="001A48D3" w:rsidRDefault="00A01ECA" w:rsidP="00B52F7D">
      <w:pPr>
        <w:pStyle w:val="Heading1"/>
      </w:pPr>
      <w:bookmarkStart w:id="134" w:name="_Toc430182590"/>
      <w:r w:rsidRPr="001A48D3">
        <w:lastRenderedPageBreak/>
        <w:t>Benefit–</w:t>
      </w:r>
      <w:r w:rsidR="002E5D02">
        <w:t>C</w:t>
      </w:r>
      <w:r w:rsidRPr="001A48D3">
        <w:t>ost Analysis of Euro 5 and 6 Standards</w:t>
      </w:r>
      <w:bookmarkEnd w:id="134"/>
    </w:p>
    <w:p w:rsidR="00A01ECA" w:rsidRPr="001A48D3" w:rsidRDefault="00A01ECA" w:rsidP="00C4701A">
      <w:pPr>
        <w:spacing w:after="120"/>
      </w:pPr>
      <w:r w:rsidRPr="001A48D3">
        <w:t>(14 September 2009</w:t>
      </w:r>
      <w:r w:rsidR="00A8587E" w:rsidRPr="001A48D3">
        <w:t xml:space="preserve">, </w:t>
      </w:r>
      <w:r w:rsidR="00644284" w:rsidRPr="001A48D3">
        <w:t>revised</w:t>
      </w:r>
      <w:r w:rsidR="00A8587E" w:rsidRPr="001A48D3">
        <w:t xml:space="preserve"> 22 October 2010</w:t>
      </w:r>
      <w:r w:rsidRPr="001A48D3">
        <w:t>)</w:t>
      </w:r>
    </w:p>
    <w:p w:rsidR="00A01ECA" w:rsidRPr="001A48D3" w:rsidRDefault="00A01ECA" w:rsidP="00B52F7D">
      <w:pPr>
        <w:pStyle w:val="Heading2"/>
      </w:pPr>
      <w:bookmarkStart w:id="135" w:name="_Toc430182591"/>
      <w:r w:rsidRPr="001A48D3">
        <w:t>Introduction</w:t>
      </w:r>
      <w:bookmarkEnd w:id="135"/>
    </w:p>
    <w:p w:rsidR="00A01ECA" w:rsidRPr="001A48D3" w:rsidRDefault="00A01ECA" w:rsidP="00C4701A">
      <w:pPr>
        <w:spacing w:after="120"/>
      </w:pPr>
      <w:r w:rsidRPr="001A48D3">
        <w:t xml:space="preserve">This study assesses benefits and costs associated with the introduction of Euro 5 and 6 standards into the Australian light vehicle fleet. Two regulatory options are analysed reflecting variations on the timing of introduction. The description of the two options is contained in Table 1. Sensitivity tests are carried out to deal with uncertainties in the base case scenarios, unit health cost values, </w:t>
      </w:r>
      <w:r w:rsidR="006968FB" w:rsidRPr="001A48D3">
        <w:t xml:space="preserve">value of statistical life, </w:t>
      </w:r>
      <w:r w:rsidRPr="001A48D3">
        <w:t>implementation costs</w:t>
      </w:r>
      <w:r w:rsidR="006968FB" w:rsidRPr="001A48D3">
        <w:t xml:space="preserve">, length of </w:t>
      </w:r>
      <w:r w:rsidR="0036020F" w:rsidRPr="001A48D3">
        <w:t xml:space="preserve">the </w:t>
      </w:r>
      <w:r w:rsidR="006968FB" w:rsidRPr="001A48D3">
        <w:t>evaluation period</w:t>
      </w:r>
      <w:r w:rsidRPr="001A48D3">
        <w:t xml:space="preserve"> and discount rate.</w:t>
      </w:r>
    </w:p>
    <w:p w:rsidR="00A01ECA" w:rsidRPr="001A48D3" w:rsidRDefault="00A01ECA" w:rsidP="00B52F7D">
      <w:pPr>
        <w:pStyle w:val="Heading3"/>
      </w:pPr>
      <w:bookmarkStart w:id="136" w:name="_Toc430182592"/>
      <w:r w:rsidRPr="001A48D3">
        <w:t>Table 1</w:t>
      </w:r>
      <w:r w:rsidRPr="001A48D3">
        <w:tab/>
        <w:t>Regulatory options</w:t>
      </w:r>
      <w:bookmarkEnd w:id="136"/>
    </w:p>
    <w:tbl>
      <w:tblPr>
        <w:tblW w:w="8940" w:type="dxa"/>
        <w:tblInd w:w="99" w:type="dxa"/>
        <w:tblLayout w:type="fixed"/>
        <w:tblLook w:val="04A0" w:firstRow="1" w:lastRow="0" w:firstColumn="1" w:lastColumn="0" w:noHBand="0" w:noVBand="1"/>
      </w:tblPr>
      <w:tblGrid>
        <w:gridCol w:w="787"/>
        <w:gridCol w:w="820"/>
        <w:gridCol w:w="1237"/>
        <w:gridCol w:w="851"/>
        <w:gridCol w:w="850"/>
        <w:gridCol w:w="1418"/>
        <w:gridCol w:w="2977"/>
      </w:tblGrid>
      <w:tr w:rsidR="00A01ECA" w:rsidRPr="001A48D3" w:rsidTr="00A01ECA">
        <w:trPr>
          <w:trHeight w:val="288"/>
        </w:trPr>
        <w:tc>
          <w:tcPr>
            <w:tcW w:w="787" w:type="dxa"/>
            <w:tcBorders>
              <w:top w:val="single" w:sz="4" w:space="0" w:color="auto"/>
              <w:left w:val="single" w:sz="4" w:space="0" w:color="auto"/>
              <w:bottom w:val="nil"/>
              <w:right w:val="single" w:sz="4" w:space="0" w:color="auto"/>
            </w:tcBorders>
            <w:shd w:val="clear" w:color="auto" w:fill="FFFFFF"/>
            <w:noWrap/>
            <w:vAlign w:val="bottom"/>
            <w:hideMark/>
          </w:tcPr>
          <w:p w:rsidR="00A01ECA" w:rsidRPr="001A48D3" w:rsidRDefault="00A01ECA" w:rsidP="00C4701A">
            <w:pPr>
              <w:spacing w:after="120"/>
              <w:jc w:val="center"/>
              <w:rPr>
                <w:b/>
                <w:bCs/>
                <w:color w:val="000000"/>
                <w:sz w:val="16"/>
                <w:szCs w:val="16"/>
              </w:rPr>
            </w:pPr>
            <w:r w:rsidRPr="001A48D3">
              <w:rPr>
                <w:b/>
                <w:bCs/>
                <w:color w:val="000000"/>
                <w:sz w:val="16"/>
                <w:szCs w:val="16"/>
              </w:rPr>
              <w:t>Scenario</w:t>
            </w:r>
          </w:p>
        </w:tc>
        <w:tc>
          <w:tcPr>
            <w:tcW w:w="820" w:type="dxa"/>
            <w:tcBorders>
              <w:top w:val="single" w:sz="4" w:space="0" w:color="auto"/>
              <w:left w:val="nil"/>
              <w:bottom w:val="nil"/>
              <w:right w:val="single" w:sz="4" w:space="0" w:color="auto"/>
            </w:tcBorders>
            <w:shd w:val="clear" w:color="auto" w:fill="FFFFFF"/>
            <w:noWrap/>
            <w:vAlign w:val="bottom"/>
            <w:hideMark/>
          </w:tcPr>
          <w:p w:rsidR="00A01ECA" w:rsidRPr="001A48D3" w:rsidRDefault="00A01ECA" w:rsidP="00C4701A">
            <w:pPr>
              <w:spacing w:after="120"/>
              <w:jc w:val="center"/>
              <w:rPr>
                <w:b/>
                <w:bCs/>
                <w:color w:val="000000"/>
                <w:sz w:val="16"/>
                <w:szCs w:val="16"/>
              </w:rPr>
            </w:pPr>
            <w:r w:rsidRPr="001A48D3">
              <w:rPr>
                <w:b/>
                <w:bCs/>
                <w:color w:val="000000"/>
                <w:sz w:val="16"/>
                <w:szCs w:val="16"/>
              </w:rPr>
              <w:t xml:space="preserve">Standard </w:t>
            </w:r>
          </w:p>
        </w:tc>
        <w:tc>
          <w:tcPr>
            <w:tcW w:w="1237" w:type="dxa"/>
            <w:tcBorders>
              <w:top w:val="single" w:sz="4" w:space="0" w:color="auto"/>
              <w:left w:val="nil"/>
              <w:bottom w:val="nil"/>
              <w:right w:val="single" w:sz="4" w:space="0" w:color="auto"/>
            </w:tcBorders>
            <w:shd w:val="clear" w:color="auto" w:fill="FFFFFF"/>
            <w:noWrap/>
            <w:vAlign w:val="bottom"/>
            <w:hideMark/>
          </w:tcPr>
          <w:p w:rsidR="00A01ECA" w:rsidRPr="001A48D3" w:rsidRDefault="00A01ECA" w:rsidP="00C4701A">
            <w:pPr>
              <w:spacing w:after="120"/>
              <w:jc w:val="center"/>
              <w:rPr>
                <w:b/>
                <w:bCs/>
                <w:color w:val="000000"/>
                <w:sz w:val="16"/>
                <w:szCs w:val="16"/>
              </w:rPr>
            </w:pPr>
            <w:r w:rsidRPr="001A48D3">
              <w:rPr>
                <w:b/>
                <w:bCs/>
                <w:color w:val="000000"/>
                <w:sz w:val="16"/>
                <w:szCs w:val="16"/>
              </w:rPr>
              <w:t>Vehicle Group</w:t>
            </w:r>
          </w:p>
        </w:tc>
        <w:tc>
          <w:tcPr>
            <w:tcW w:w="1701"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A01ECA" w:rsidRPr="001A48D3" w:rsidRDefault="00A01ECA" w:rsidP="00C4701A">
            <w:pPr>
              <w:spacing w:after="120"/>
              <w:jc w:val="center"/>
              <w:rPr>
                <w:b/>
                <w:bCs/>
                <w:color w:val="000000"/>
                <w:sz w:val="16"/>
                <w:szCs w:val="16"/>
              </w:rPr>
            </w:pPr>
            <w:r w:rsidRPr="001A48D3">
              <w:rPr>
                <w:b/>
                <w:bCs/>
                <w:color w:val="000000"/>
                <w:sz w:val="16"/>
                <w:szCs w:val="16"/>
              </w:rPr>
              <w:t>Date of Effect</w:t>
            </w:r>
          </w:p>
        </w:tc>
        <w:tc>
          <w:tcPr>
            <w:tcW w:w="1418" w:type="dxa"/>
            <w:vMerge w:val="restart"/>
            <w:tcBorders>
              <w:top w:val="single" w:sz="4" w:space="0" w:color="auto"/>
              <w:left w:val="single" w:sz="4" w:space="0" w:color="auto"/>
              <w:bottom w:val="single" w:sz="4" w:space="0" w:color="000000"/>
              <w:right w:val="nil"/>
            </w:tcBorders>
            <w:shd w:val="clear" w:color="auto" w:fill="FFFFFF"/>
            <w:noWrap/>
            <w:vAlign w:val="center"/>
            <w:hideMark/>
          </w:tcPr>
          <w:p w:rsidR="00A01ECA" w:rsidRPr="001A48D3" w:rsidRDefault="00A01ECA" w:rsidP="00C4701A">
            <w:pPr>
              <w:spacing w:after="120"/>
              <w:jc w:val="center"/>
              <w:rPr>
                <w:b/>
                <w:bCs/>
                <w:color w:val="000000"/>
                <w:sz w:val="16"/>
                <w:szCs w:val="16"/>
              </w:rPr>
            </w:pPr>
            <w:r w:rsidRPr="001A48D3">
              <w:rPr>
                <w:b/>
                <w:bCs/>
                <w:color w:val="000000"/>
                <w:sz w:val="16"/>
                <w:szCs w:val="16"/>
              </w:rPr>
              <w:t xml:space="preserve">Fuel </w:t>
            </w:r>
            <w:proofErr w:type="spellStart"/>
            <w:r w:rsidR="00376876" w:rsidRPr="001A48D3">
              <w:rPr>
                <w:b/>
                <w:bCs/>
                <w:color w:val="000000"/>
                <w:sz w:val="16"/>
                <w:szCs w:val="16"/>
              </w:rPr>
              <w:t>Sulfur</w:t>
            </w:r>
            <w:proofErr w:type="spellEnd"/>
            <w:r w:rsidRPr="001A48D3">
              <w:rPr>
                <w:b/>
                <w:bCs/>
                <w:color w:val="000000"/>
                <w:sz w:val="16"/>
                <w:szCs w:val="16"/>
              </w:rPr>
              <w:t xml:space="preserve"> Levels</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A01ECA" w:rsidRPr="001A48D3" w:rsidRDefault="00A01ECA" w:rsidP="00C4701A">
            <w:pPr>
              <w:spacing w:after="120"/>
              <w:rPr>
                <w:b/>
                <w:bCs/>
                <w:color w:val="000000"/>
                <w:sz w:val="16"/>
                <w:szCs w:val="16"/>
              </w:rPr>
            </w:pPr>
            <w:r w:rsidRPr="001A48D3">
              <w:rPr>
                <w:b/>
                <w:bCs/>
                <w:color w:val="000000"/>
                <w:sz w:val="16"/>
                <w:szCs w:val="16"/>
              </w:rPr>
              <w:t>Description of Scenario</w:t>
            </w:r>
          </w:p>
        </w:tc>
      </w:tr>
      <w:tr w:rsidR="00A01ECA" w:rsidRPr="001A48D3" w:rsidTr="00A01ECA">
        <w:trPr>
          <w:trHeight w:val="288"/>
        </w:trPr>
        <w:tc>
          <w:tcPr>
            <w:tcW w:w="787" w:type="dxa"/>
            <w:tcBorders>
              <w:top w:val="nil"/>
              <w:left w:val="single" w:sz="4" w:space="0" w:color="auto"/>
              <w:bottom w:val="single" w:sz="4" w:space="0" w:color="auto"/>
              <w:right w:val="single" w:sz="4" w:space="0" w:color="auto"/>
            </w:tcBorders>
            <w:shd w:val="clear" w:color="auto" w:fill="FFFFFF"/>
            <w:noWrap/>
            <w:vAlign w:val="bottom"/>
            <w:hideMark/>
          </w:tcPr>
          <w:p w:rsidR="00A01ECA" w:rsidRPr="001A48D3" w:rsidRDefault="00A01ECA" w:rsidP="00C4701A">
            <w:pPr>
              <w:spacing w:after="120"/>
              <w:jc w:val="center"/>
              <w:rPr>
                <w:b/>
                <w:bCs/>
                <w:color w:val="000000"/>
                <w:sz w:val="16"/>
                <w:szCs w:val="16"/>
              </w:rPr>
            </w:pPr>
            <w:r w:rsidRPr="001A48D3">
              <w:rPr>
                <w:b/>
                <w:bCs/>
                <w:color w:val="000000"/>
                <w:sz w:val="16"/>
                <w:szCs w:val="16"/>
              </w:rPr>
              <w:t> </w:t>
            </w:r>
          </w:p>
        </w:tc>
        <w:tc>
          <w:tcPr>
            <w:tcW w:w="820" w:type="dxa"/>
            <w:tcBorders>
              <w:top w:val="nil"/>
              <w:left w:val="nil"/>
              <w:bottom w:val="single" w:sz="4" w:space="0" w:color="auto"/>
              <w:right w:val="single" w:sz="4" w:space="0" w:color="auto"/>
            </w:tcBorders>
            <w:shd w:val="clear" w:color="auto" w:fill="FFFFFF"/>
            <w:noWrap/>
            <w:vAlign w:val="bottom"/>
            <w:hideMark/>
          </w:tcPr>
          <w:p w:rsidR="00A01ECA" w:rsidRPr="001A48D3" w:rsidRDefault="00A01ECA" w:rsidP="00C4701A">
            <w:pPr>
              <w:spacing w:after="120"/>
              <w:jc w:val="center"/>
              <w:rPr>
                <w:b/>
                <w:bCs/>
                <w:color w:val="000000"/>
                <w:sz w:val="16"/>
                <w:szCs w:val="16"/>
              </w:rPr>
            </w:pPr>
            <w:r w:rsidRPr="001A48D3">
              <w:rPr>
                <w:b/>
                <w:bCs/>
                <w:color w:val="000000"/>
                <w:sz w:val="16"/>
                <w:szCs w:val="16"/>
              </w:rPr>
              <w:t> </w:t>
            </w:r>
          </w:p>
        </w:tc>
        <w:tc>
          <w:tcPr>
            <w:tcW w:w="1237" w:type="dxa"/>
            <w:tcBorders>
              <w:top w:val="nil"/>
              <w:left w:val="nil"/>
              <w:bottom w:val="single" w:sz="4" w:space="0" w:color="auto"/>
              <w:right w:val="single" w:sz="4" w:space="0" w:color="auto"/>
            </w:tcBorders>
            <w:shd w:val="clear" w:color="auto" w:fill="FFFFFF"/>
            <w:noWrap/>
            <w:vAlign w:val="bottom"/>
            <w:hideMark/>
          </w:tcPr>
          <w:p w:rsidR="00A01ECA" w:rsidRPr="001A48D3" w:rsidRDefault="00A01ECA" w:rsidP="00C4701A">
            <w:pPr>
              <w:spacing w:after="120"/>
              <w:jc w:val="center"/>
              <w:rPr>
                <w:b/>
                <w:bCs/>
                <w:color w:val="000000"/>
                <w:sz w:val="16"/>
                <w:szCs w:val="16"/>
              </w:rPr>
            </w:pPr>
            <w:r w:rsidRPr="001A48D3">
              <w:rPr>
                <w:b/>
                <w:bCs/>
                <w:color w:val="000000"/>
                <w:sz w:val="16"/>
                <w:szCs w:val="16"/>
              </w:rPr>
              <w:t> </w:t>
            </w:r>
          </w:p>
        </w:tc>
        <w:tc>
          <w:tcPr>
            <w:tcW w:w="851" w:type="dxa"/>
            <w:tcBorders>
              <w:top w:val="nil"/>
              <w:left w:val="nil"/>
              <w:bottom w:val="single" w:sz="4" w:space="0" w:color="auto"/>
              <w:right w:val="nil"/>
            </w:tcBorders>
            <w:shd w:val="clear" w:color="auto" w:fill="FFFFFF"/>
            <w:noWrap/>
            <w:vAlign w:val="bottom"/>
            <w:hideMark/>
          </w:tcPr>
          <w:p w:rsidR="00A01ECA" w:rsidRPr="001A48D3" w:rsidRDefault="00A01ECA" w:rsidP="00C4701A">
            <w:pPr>
              <w:spacing w:after="120"/>
              <w:jc w:val="center"/>
              <w:rPr>
                <w:b/>
                <w:bCs/>
                <w:color w:val="000000"/>
                <w:sz w:val="16"/>
                <w:szCs w:val="16"/>
              </w:rPr>
            </w:pPr>
            <w:r w:rsidRPr="001A48D3">
              <w:rPr>
                <w:b/>
                <w:bCs/>
                <w:color w:val="000000"/>
                <w:sz w:val="16"/>
                <w:szCs w:val="16"/>
              </w:rPr>
              <w:t>New Models</w:t>
            </w: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rsidR="00A01ECA" w:rsidRPr="001A48D3" w:rsidRDefault="00A01ECA" w:rsidP="00C4701A">
            <w:pPr>
              <w:spacing w:after="120"/>
              <w:jc w:val="center"/>
              <w:rPr>
                <w:b/>
                <w:bCs/>
                <w:color w:val="000000"/>
                <w:sz w:val="16"/>
                <w:szCs w:val="16"/>
              </w:rPr>
            </w:pPr>
            <w:r w:rsidRPr="001A48D3">
              <w:rPr>
                <w:b/>
                <w:bCs/>
                <w:color w:val="000000"/>
                <w:sz w:val="16"/>
                <w:szCs w:val="16"/>
              </w:rPr>
              <w:t>All Models</w:t>
            </w: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A01ECA" w:rsidRPr="001A48D3" w:rsidRDefault="00A01ECA" w:rsidP="00C4701A">
            <w:pPr>
              <w:spacing w:after="120"/>
              <w:rPr>
                <w:b/>
                <w:bCs/>
                <w:color w:val="000000"/>
                <w:sz w:val="16"/>
                <w:szCs w:val="16"/>
              </w:rPr>
            </w:pPr>
          </w:p>
        </w:tc>
        <w:tc>
          <w:tcPr>
            <w:tcW w:w="2977" w:type="dxa"/>
            <w:vMerge/>
            <w:tcBorders>
              <w:top w:val="nil"/>
              <w:left w:val="single" w:sz="4" w:space="0" w:color="auto"/>
              <w:bottom w:val="single" w:sz="4" w:space="0" w:color="auto"/>
              <w:right w:val="single" w:sz="4" w:space="0" w:color="auto"/>
            </w:tcBorders>
            <w:shd w:val="clear" w:color="auto" w:fill="FFFFFF"/>
            <w:vAlign w:val="center"/>
            <w:hideMark/>
          </w:tcPr>
          <w:p w:rsidR="00A01ECA" w:rsidRPr="001A48D3" w:rsidRDefault="00A01ECA" w:rsidP="00C4701A">
            <w:pPr>
              <w:spacing w:after="120"/>
              <w:rPr>
                <w:b/>
                <w:bCs/>
                <w:color w:val="000000"/>
                <w:sz w:val="16"/>
                <w:szCs w:val="16"/>
              </w:rPr>
            </w:pPr>
          </w:p>
        </w:tc>
      </w:tr>
      <w:tr w:rsidR="00A01ECA" w:rsidRPr="001A48D3" w:rsidTr="00A01ECA">
        <w:trPr>
          <w:trHeight w:val="288"/>
        </w:trPr>
        <w:tc>
          <w:tcPr>
            <w:tcW w:w="787" w:type="dxa"/>
            <w:vMerge w:val="restart"/>
            <w:tcBorders>
              <w:top w:val="nil"/>
              <w:left w:val="single" w:sz="4" w:space="0" w:color="auto"/>
              <w:bottom w:val="nil"/>
              <w:right w:val="single" w:sz="4" w:space="0" w:color="auto"/>
            </w:tcBorders>
            <w:shd w:val="clear" w:color="auto" w:fill="FFFFFF"/>
            <w:noWrap/>
            <w:vAlign w:val="center"/>
            <w:hideMark/>
          </w:tcPr>
          <w:p w:rsidR="00A01ECA" w:rsidRPr="001A48D3" w:rsidRDefault="00A01ECA" w:rsidP="00C4701A">
            <w:pPr>
              <w:spacing w:after="120"/>
              <w:jc w:val="center"/>
              <w:rPr>
                <w:b/>
                <w:bCs/>
                <w:color w:val="000000"/>
                <w:sz w:val="16"/>
                <w:szCs w:val="16"/>
              </w:rPr>
            </w:pPr>
            <w:r w:rsidRPr="001A48D3">
              <w:rPr>
                <w:b/>
                <w:bCs/>
                <w:color w:val="000000"/>
                <w:sz w:val="16"/>
                <w:szCs w:val="16"/>
              </w:rPr>
              <w:t>S1</w:t>
            </w:r>
          </w:p>
        </w:tc>
        <w:tc>
          <w:tcPr>
            <w:tcW w:w="820" w:type="dxa"/>
            <w:tcBorders>
              <w:top w:val="single" w:sz="4" w:space="0" w:color="auto"/>
              <w:left w:val="nil"/>
              <w:bottom w:val="single" w:sz="4" w:space="0" w:color="auto"/>
              <w:right w:val="single" w:sz="4" w:space="0" w:color="auto"/>
            </w:tcBorders>
            <w:shd w:val="clear" w:color="auto" w:fill="FFFFFF"/>
            <w:noWrap/>
            <w:vAlign w:val="bottom"/>
            <w:hideMark/>
          </w:tcPr>
          <w:p w:rsidR="00A01ECA" w:rsidRPr="001A48D3" w:rsidRDefault="00A01ECA" w:rsidP="00C4701A">
            <w:pPr>
              <w:spacing w:after="120"/>
              <w:jc w:val="center"/>
              <w:rPr>
                <w:color w:val="000000"/>
                <w:sz w:val="16"/>
                <w:szCs w:val="16"/>
              </w:rPr>
            </w:pPr>
            <w:r w:rsidRPr="001A48D3">
              <w:rPr>
                <w:color w:val="000000"/>
                <w:sz w:val="16"/>
                <w:szCs w:val="16"/>
              </w:rPr>
              <w:t>Euro 5</w:t>
            </w:r>
          </w:p>
        </w:tc>
        <w:tc>
          <w:tcPr>
            <w:tcW w:w="1237" w:type="dxa"/>
            <w:tcBorders>
              <w:top w:val="single" w:sz="4" w:space="0" w:color="auto"/>
              <w:left w:val="nil"/>
              <w:bottom w:val="single" w:sz="4" w:space="0" w:color="auto"/>
              <w:right w:val="single" w:sz="4" w:space="0" w:color="auto"/>
            </w:tcBorders>
            <w:shd w:val="clear" w:color="auto" w:fill="FFFFFF"/>
            <w:noWrap/>
            <w:vAlign w:val="bottom"/>
            <w:hideMark/>
          </w:tcPr>
          <w:p w:rsidR="00A01ECA" w:rsidRPr="001A48D3" w:rsidRDefault="00A01ECA" w:rsidP="00C4701A">
            <w:pPr>
              <w:spacing w:after="120"/>
              <w:rPr>
                <w:color w:val="000000"/>
                <w:sz w:val="16"/>
                <w:szCs w:val="16"/>
              </w:rPr>
            </w:pPr>
            <w:r w:rsidRPr="001A48D3">
              <w:rPr>
                <w:color w:val="000000"/>
                <w:sz w:val="16"/>
                <w:szCs w:val="16"/>
              </w:rPr>
              <w:t>All light vehicles</w:t>
            </w:r>
          </w:p>
        </w:tc>
        <w:tc>
          <w:tcPr>
            <w:tcW w:w="851" w:type="dxa"/>
            <w:tcBorders>
              <w:top w:val="single" w:sz="4" w:space="0" w:color="auto"/>
              <w:left w:val="nil"/>
              <w:bottom w:val="single" w:sz="4" w:space="0" w:color="auto"/>
              <w:right w:val="nil"/>
            </w:tcBorders>
            <w:shd w:val="clear" w:color="auto" w:fill="FFFFFF"/>
            <w:noWrap/>
            <w:vAlign w:val="bottom"/>
            <w:hideMark/>
          </w:tcPr>
          <w:p w:rsidR="00A01ECA" w:rsidRPr="001A48D3" w:rsidRDefault="00A01ECA" w:rsidP="00C4701A">
            <w:pPr>
              <w:spacing w:after="120"/>
              <w:ind w:left="-108" w:right="-108"/>
              <w:jc w:val="center"/>
              <w:rPr>
                <w:color w:val="000000"/>
                <w:sz w:val="16"/>
                <w:szCs w:val="16"/>
              </w:rPr>
            </w:pPr>
            <w:r w:rsidRPr="001A48D3">
              <w:rPr>
                <w:color w:val="000000"/>
                <w:sz w:val="16"/>
                <w:szCs w:val="16"/>
              </w:rPr>
              <w:t>1/01/2012</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01ECA" w:rsidRPr="001A48D3" w:rsidRDefault="00A01ECA" w:rsidP="00C4701A">
            <w:pPr>
              <w:spacing w:after="120"/>
              <w:ind w:left="-108" w:right="-108"/>
              <w:jc w:val="center"/>
              <w:rPr>
                <w:color w:val="000000"/>
                <w:sz w:val="16"/>
                <w:szCs w:val="16"/>
              </w:rPr>
            </w:pPr>
            <w:r w:rsidRPr="001A48D3">
              <w:rPr>
                <w:color w:val="000000"/>
                <w:sz w:val="16"/>
                <w:szCs w:val="16"/>
              </w:rPr>
              <w:t>1/01/2013</w:t>
            </w:r>
          </w:p>
        </w:tc>
        <w:tc>
          <w:tcPr>
            <w:tcW w:w="1418" w:type="dxa"/>
            <w:vMerge w:val="restart"/>
            <w:tcBorders>
              <w:top w:val="nil"/>
              <w:left w:val="single" w:sz="4" w:space="0" w:color="auto"/>
              <w:bottom w:val="nil"/>
              <w:right w:val="single" w:sz="4" w:space="0" w:color="000000"/>
            </w:tcBorders>
            <w:shd w:val="clear" w:color="auto" w:fill="FFFFFF"/>
            <w:noWrap/>
            <w:vAlign w:val="center"/>
            <w:hideMark/>
          </w:tcPr>
          <w:p w:rsidR="00A01ECA" w:rsidRPr="001A48D3" w:rsidRDefault="00A01ECA" w:rsidP="00C4701A">
            <w:pPr>
              <w:spacing w:after="120"/>
              <w:rPr>
                <w:color w:val="000000"/>
                <w:sz w:val="16"/>
                <w:szCs w:val="16"/>
              </w:rPr>
            </w:pPr>
            <w:r w:rsidRPr="001A48D3">
              <w:rPr>
                <w:color w:val="000000"/>
                <w:sz w:val="16"/>
                <w:szCs w:val="16"/>
              </w:rPr>
              <w:t>No Change</w:t>
            </w:r>
          </w:p>
        </w:tc>
        <w:tc>
          <w:tcPr>
            <w:tcW w:w="2977" w:type="dxa"/>
            <w:vMerge w:val="restart"/>
            <w:tcBorders>
              <w:top w:val="nil"/>
              <w:left w:val="single" w:sz="4" w:space="0" w:color="auto"/>
              <w:bottom w:val="nil"/>
              <w:right w:val="single" w:sz="4" w:space="0" w:color="auto"/>
            </w:tcBorders>
            <w:shd w:val="clear" w:color="auto" w:fill="FFFFFF"/>
            <w:vAlign w:val="bottom"/>
            <w:hideMark/>
          </w:tcPr>
          <w:p w:rsidR="00A01ECA" w:rsidRPr="001A48D3" w:rsidRDefault="00A01ECA" w:rsidP="00C4701A">
            <w:pPr>
              <w:spacing w:after="120"/>
              <w:rPr>
                <w:color w:val="000000"/>
                <w:sz w:val="16"/>
                <w:szCs w:val="16"/>
              </w:rPr>
            </w:pPr>
            <w:r w:rsidRPr="001A48D3">
              <w:rPr>
                <w:color w:val="000000"/>
                <w:sz w:val="16"/>
                <w:szCs w:val="16"/>
              </w:rPr>
              <w:t>Earliest practical introduction for vehicle standards, allowing minimum 2 years lead time from gazettal, and minimum 1 year after introduction in Europe (except E6 all model LCV date only 3 months after Europe).</w:t>
            </w:r>
          </w:p>
        </w:tc>
      </w:tr>
      <w:tr w:rsidR="00A01ECA" w:rsidRPr="001A48D3" w:rsidTr="00A01ECA">
        <w:trPr>
          <w:trHeight w:val="570"/>
        </w:trPr>
        <w:tc>
          <w:tcPr>
            <w:tcW w:w="787" w:type="dxa"/>
            <w:vMerge/>
            <w:tcBorders>
              <w:top w:val="nil"/>
              <w:left w:val="single" w:sz="4" w:space="0" w:color="auto"/>
              <w:bottom w:val="single" w:sz="4" w:space="0" w:color="auto"/>
              <w:right w:val="single" w:sz="4" w:space="0" w:color="auto"/>
            </w:tcBorders>
            <w:shd w:val="clear" w:color="auto" w:fill="FFFFFF"/>
            <w:vAlign w:val="center"/>
            <w:hideMark/>
          </w:tcPr>
          <w:p w:rsidR="00A01ECA" w:rsidRPr="001A48D3" w:rsidRDefault="00A01ECA" w:rsidP="00C4701A">
            <w:pPr>
              <w:spacing w:after="120"/>
              <w:rPr>
                <w:b/>
                <w:bCs/>
                <w:color w:val="000000"/>
                <w:sz w:val="16"/>
                <w:szCs w:val="16"/>
              </w:rPr>
            </w:pPr>
          </w:p>
        </w:tc>
        <w:tc>
          <w:tcPr>
            <w:tcW w:w="820" w:type="dxa"/>
            <w:tcBorders>
              <w:top w:val="single" w:sz="4" w:space="0" w:color="auto"/>
              <w:left w:val="nil"/>
              <w:bottom w:val="single" w:sz="4" w:space="0" w:color="auto"/>
              <w:right w:val="single" w:sz="4" w:space="0" w:color="auto"/>
            </w:tcBorders>
            <w:shd w:val="clear" w:color="auto" w:fill="FFFFFF"/>
            <w:noWrap/>
            <w:vAlign w:val="bottom"/>
            <w:hideMark/>
          </w:tcPr>
          <w:p w:rsidR="00A01ECA" w:rsidRPr="001A48D3" w:rsidRDefault="00A01ECA" w:rsidP="00C4701A">
            <w:pPr>
              <w:spacing w:after="120"/>
              <w:jc w:val="center"/>
              <w:rPr>
                <w:color w:val="000000"/>
                <w:sz w:val="16"/>
                <w:szCs w:val="16"/>
              </w:rPr>
            </w:pPr>
            <w:r w:rsidRPr="001A48D3">
              <w:rPr>
                <w:color w:val="000000"/>
                <w:sz w:val="16"/>
                <w:szCs w:val="16"/>
              </w:rPr>
              <w:t>Euro 6</w:t>
            </w:r>
          </w:p>
        </w:tc>
        <w:tc>
          <w:tcPr>
            <w:tcW w:w="1237" w:type="dxa"/>
            <w:tcBorders>
              <w:top w:val="single" w:sz="4" w:space="0" w:color="auto"/>
              <w:left w:val="nil"/>
              <w:bottom w:val="single" w:sz="4" w:space="0" w:color="auto"/>
              <w:right w:val="single" w:sz="4" w:space="0" w:color="auto"/>
            </w:tcBorders>
            <w:shd w:val="clear" w:color="auto" w:fill="FFFFFF"/>
            <w:noWrap/>
            <w:vAlign w:val="bottom"/>
            <w:hideMark/>
          </w:tcPr>
          <w:p w:rsidR="00A01ECA" w:rsidRPr="001A48D3" w:rsidRDefault="00A01ECA" w:rsidP="00C4701A">
            <w:pPr>
              <w:spacing w:after="120"/>
              <w:rPr>
                <w:color w:val="000000"/>
                <w:sz w:val="16"/>
                <w:szCs w:val="16"/>
              </w:rPr>
            </w:pPr>
            <w:r w:rsidRPr="001A48D3">
              <w:rPr>
                <w:color w:val="000000"/>
                <w:sz w:val="16"/>
                <w:szCs w:val="16"/>
              </w:rPr>
              <w:t>All light vehicles</w:t>
            </w:r>
          </w:p>
        </w:tc>
        <w:tc>
          <w:tcPr>
            <w:tcW w:w="851" w:type="dxa"/>
            <w:tcBorders>
              <w:top w:val="single" w:sz="4" w:space="0" w:color="auto"/>
              <w:left w:val="nil"/>
              <w:bottom w:val="single" w:sz="4" w:space="0" w:color="auto"/>
              <w:right w:val="nil"/>
            </w:tcBorders>
            <w:shd w:val="clear" w:color="auto" w:fill="FFFFFF"/>
            <w:noWrap/>
            <w:vAlign w:val="bottom"/>
            <w:hideMark/>
          </w:tcPr>
          <w:p w:rsidR="00A01ECA" w:rsidRPr="001A48D3" w:rsidRDefault="00A01ECA" w:rsidP="00C4701A">
            <w:pPr>
              <w:spacing w:after="120"/>
              <w:ind w:left="-108" w:right="-108"/>
              <w:jc w:val="center"/>
              <w:rPr>
                <w:color w:val="000000"/>
                <w:sz w:val="16"/>
                <w:szCs w:val="16"/>
              </w:rPr>
            </w:pPr>
            <w:r w:rsidRPr="001A48D3">
              <w:rPr>
                <w:color w:val="000000"/>
                <w:sz w:val="16"/>
                <w:szCs w:val="16"/>
              </w:rPr>
              <w:t>1/01/2016</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01ECA" w:rsidRPr="001A48D3" w:rsidRDefault="00A01ECA" w:rsidP="00C4701A">
            <w:pPr>
              <w:spacing w:after="120"/>
              <w:ind w:left="-108" w:right="-108"/>
              <w:jc w:val="center"/>
              <w:rPr>
                <w:color w:val="000000"/>
                <w:sz w:val="16"/>
                <w:szCs w:val="16"/>
              </w:rPr>
            </w:pPr>
            <w:r w:rsidRPr="001A48D3">
              <w:rPr>
                <w:color w:val="000000"/>
                <w:sz w:val="16"/>
                <w:szCs w:val="16"/>
              </w:rPr>
              <w:t>1/01/2017</w:t>
            </w: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A01ECA" w:rsidRPr="001A48D3" w:rsidRDefault="00A01ECA" w:rsidP="00C4701A">
            <w:pPr>
              <w:spacing w:after="120"/>
              <w:rPr>
                <w:color w:val="000000"/>
                <w:sz w:val="16"/>
                <w:szCs w:val="16"/>
              </w:rPr>
            </w:pPr>
          </w:p>
        </w:tc>
        <w:tc>
          <w:tcPr>
            <w:tcW w:w="2977" w:type="dxa"/>
            <w:vMerge/>
            <w:tcBorders>
              <w:top w:val="nil"/>
              <w:left w:val="single" w:sz="4" w:space="0" w:color="auto"/>
              <w:bottom w:val="single" w:sz="4" w:space="0" w:color="auto"/>
              <w:right w:val="single" w:sz="4" w:space="0" w:color="auto"/>
            </w:tcBorders>
            <w:shd w:val="clear" w:color="auto" w:fill="FFFFFF"/>
            <w:vAlign w:val="center"/>
            <w:hideMark/>
          </w:tcPr>
          <w:p w:rsidR="00A01ECA" w:rsidRPr="001A48D3" w:rsidRDefault="00A01ECA" w:rsidP="00C4701A">
            <w:pPr>
              <w:spacing w:after="120"/>
              <w:rPr>
                <w:color w:val="000000"/>
                <w:sz w:val="16"/>
                <w:szCs w:val="16"/>
              </w:rPr>
            </w:pPr>
          </w:p>
        </w:tc>
      </w:tr>
      <w:tr w:rsidR="00A01ECA" w:rsidRPr="001A48D3" w:rsidTr="00A01ECA">
        <w:trPr>
          <w:trHeight w:val="288"/>
        </w:trPr>
        <w:tc>
          <w:tcPr>
            <w:tcW w:w="787" w:type="dxa"/>
            <w:vMerge w:val="restart"/>
            <w:tcBorders>
              <w:top w:val="single" w:sz="4" w:space="0" w:color="auto"/>
              <w:left w:val="single" w:sz="4" w:space="0" w:color="auto"/>
              <w:bottom w:val="single" w:sz="4" w:space="0" w:color="auto"/>
              <w:right w:val="nil"/>
            </w:tcBorders>
            <w:shd w:val="clear" w:color="auto" w:fill="D9D9D9"/>
            <w:noWrap/>
            <w:vAlign w:val="center"/>
            <w:hideMark/>
          </w:tcPr>
          <w:p w:rsidR="00A01ECA" w:rsidRPr="001A48D3" w:rsidRDefault="00A01ECA" w:rsidP="00C4701A">
            <w:pPr>
              <w:spacing w:after="120"/>
              <w:jc w:val="center"/>
              <w:rPr>
                <w:b/>
                <w:bCs/>
                <w:color w:val="000000"/>
                <w:sz w:val="16"/>
                <w:szCs w:val="16"/>
              </w:rPr>
            </w:pPr>
            <w:r w:rsidRPr="001A48D3">
              <w:rPr>
                <w:b/>
                <w:bCs/>
                <w:color w:val="000000"/>
                <w:sz w:val="16"/>
                <w:szCs w:val="16"/>
              </w:rPr>
              <w:t>S1A</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01ECA" w:rsidRPr="001A48D3" w:rsidRDefault="00A01ECA" w:rsidP="00C4701A">
            <w:pPr>
              <w:spacing w:after="120"/>
              <w:rPr>
                <w:color w:val="000000"/>
                <w:sz w:val="16"/>
                <w:szCs w:val="16"/>
              </w:rPr>
            </w:pPr>
            <w:r w:rsidRPr="001A48D3">
              <w:rPr>
                <w:color w:val="000000"/>
                <w:sz w:val="16"/>
                <w:szCs w:val="16"/>
              </w:rPr>
              <w:t>Euro 5</w:t>
            </w:r>
          </w:p>
        </w:tc>
        <w:tc>
          <w:tcPr>
            <w:tcW w:w="1237" w:type="dxa"/>
            <w:tcBorders>
              <w:top w:val="single" w:sz="4" w:space="0" w:color="auto"/>
              <w:left w:val="single" w:sz="4" w:space="0" w:color="auto"/>
              <w:right w:val="single" w:sz="4" w:space="0" w:color="auto"/>
            </w:tcBorders>
            <w:shd w:val="clear" w:color="auto" w:fill="D9D9D9"/>
            <w:noWrap/>
            <w:vAlign w:val="bottom"/>
            <w:hideMark/>
          </w:tcPr>
          <w:p w:rsidR="00A01ECA" w:rsidRPr="001A48D3" w:rsidRDefault="00A01ECA" w:rsidP="00C4701A">
            <w:pPr>
              <w:spacing w:after="120"/>
              <w:rPr>
                <w:color w:val="000000"/>
                <w:sz w:val="16"/>
                <w:szCs w:val="16"/>
              </w:rPr>
            </w:pPr>
            <w:r w:rsidRPr="001A48D3">
              <w:rPr>
                <w:color w:val="000000"/>
                <w:sz w:val="16"/>
                <w:szCs w:val="16"/>
              </w:rPr>
              <w:t>Petrol &amp; LPG vehicles</w:t>
            </w:r>
          </w:p>
        </w:tc>
        <w:tc>
          <w:tcPr>
            <w:tcW w:w="851" w:type="dxa"/>
            <w:tcBorders>
              <w:top w:val="single" w:sz="4" w:space="0" w:color="auto"/>
              <w:left w:val="single" w:sz="4" w:space="0" w:color="auto"/>
              <w:right w:val="single" w:sz="4" w:space="0" w:color="auto"/>
            </w:tcBorders>
            <w:shd w:val="clear" w:color="auto" w:fill="D9D9D9"/>
            <w:noWrap/>
            <w:vAlign w:val="bottom"/>
            <w:hideMark/>
          </w:tcPr>
          <w:p w:rsidR="00A01ECA" w:rsidRPr="001A48D3" w:rsidRDefault="00A01ECA" w:rsidP="00C4701A">
            <w:pPr>
              <w:spacing w:after="120"/>
              <w:ind w:left="-108" w:right="-108"/>
              <w:rPr>
                <w:color w:val="000000"/>
                <w:sz w:val="16"/>
                <w:szCs w:val="16"/>
              </w:rPr>
            </w:pPr>
            <w:r w:rsidRPr="001A48D3">
              <w:rPr>
                <w:color w:val="000000"/>
                <w:sz w:val="16"/>
                <w:szCs w:val="16"/>
              </w:rPr>
              <w:t>1/01/2013</w:t>
            </w:r>
          </w:p>
        </w:tc>
        <w:tc>
          <w:tcPr>
            <w:tcW w:w="850" w:type="dxa"/>
            <w:tcBorders>
              <w:top w:val="single" w:sz="4" w:space="0" w:color="auto"/>
              <w:left w:val="single" w:sz="4" w:space="0" w:color="auto"/>
              <w:right w:val="single" w:sz="4" w:space="0" w:color="auto"/>
            </w:tcBorders>
            <w:shd w:val="clear" w:color="auto" w:fill="D9D9D9"/>
            <w:noWrap/>
            <w:vAlign w:val="bottom"/>
            <w:hideMark/>
          </w:tcPr>
          <w:p w:rsidR="00A01ECA" w:rsidRPr="001A48D3" w:rsidRDefault="00A01ECA" w:rsidP="00C4701A">
            <w:pPr>
              <w:spacing w:after="120"/>
              <w:ind w:left="-108" w:right="-108"/>
              <w:rPr>
                <w:color w:val="000000"/>
                <w:sz w:val="16"/>
                <w:szCs w:val="16"/>
              </w:rPr>
            </w:pPr>
            <w:r w:rsidRPr="001A48D3">
              <w:rPr>
                <w:color w:val="000000"/>
                <w:sz w:val="16"/>
                <w:szCs w:val="16"/>
              </w:rPr>
              <w:t>1/01/2014</w:t>
            </w:r>
          </w:p>
        </w:tc>
        <w:tc>
          <w:tcPr>
            <w:tcW w:w="1418" w:type="dxa"/>
            <w:vMerge w:val="restart"/>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A01ECA" w:rsidRPr="001A48D3" w:rsidRDefault="00A01ECA" w:rsidP="00C4701A">
            <w:pPr>
              <w:spacing w:after="120"/>
              <w:rPr>
                <w:color w:val="000000"/>
                <w:sz w:val="16"/>
                <w:szCs w:val="16"/>
              </w:rPr>
            </w:pPr>
            <w:r w:rsidRPr="001A48D3">
              <w:rPr>
                <w:color w:val="000000"/>
                <w:sz w:val="16"/>
                <w:szCs w:val="16"/>
              </w:rPr>
              <w:t>No Change</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A01ECA" w:rsidRPr="001A48D3" w:rsidRDefault="00A01ECA" w:rsidP="00C4701A">
            <w:pPr>
              <w:spacing w:after="120"/>
              <w:rPr>
                <w:color w:val="000000"/>
                <w:sz w:val="16"/>
                <w:szCs w:val="16"/>
              </w:rPr>
            </w:pPr>
            <w:r w:rsidRPr="001A48D3">
              <w:rPr>
                <w:color w:val="000000"/>
                <w:sz w:val="16"/>
                <w:szCs w:val="16"/>
              </w:rPr>
              <w:t xml:space="preserve">Delayed introduction date for E5 petrol and LPG models, 3 years from gazettal.  Unchanged implementation dates for E5 standards reflects earlier introduction of E4 for diesels. </w:t>
            </w:r>
          </w:p>
        </w:tc>
      </w:tr>
      <w:tr w:rsidR="00A01ECA" w:rsidRPr="001A48D3" w:rsidTr="00A01ECA">
        <w:trPr>
          <w:trHeight w:val="288"/>
        </w:trPr>
        <w:tc>
          <w:tcPr>
            <w:tcW w:w="787" w:type="dxa"/>
            <w:vMerge/>
            <w:tcBorders>
              <w:top w:val="single" w:sz="4" w:space="0" w:color="auto"/>
              <w:left w:val="single" w:sz="4" w:space="0" w:color="auto"/>
              <w:bottom w:val="single" w:sz="4" w:space="0" w:color="auto"/>
              <w:right w:val="nil"/>
            </w:tcBorders>
            <w:shd w:val="clear" w:color="auto" w:fill="FFFFFF"/>
            <w:vAlign w:val="center"/>
            <w:hideMark/>
          </w:tcPr>
          <w:p w:rsidR="00A01ECA" w:rsidRPr="001A48D3" w:rsidRDefault="00A01ECA" w:rsidP="00C4701A">
            <w:pPr>
              <w:spacing w:after="120"/>
              <w:rPr>
                <w:b/>
                <w:bCs/>
                <w:color w:val="000000"/>
                <w:sz w:val="16"/>
                <w:szCs w:val="16"/>
              </w:rPr>
            </w:pPr>
          </w:p>
        </w:tc>
        <w:tc>
          <w:tcPr>
            <w:tcW w:w="82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1ECA" w:rsidRPr="001A48D3" w:rsidRDefault="00A01ECA" w:rsidP="00C4701A">
            <w:pPr>
              <w:spacing w:after="120"/>
              <w:rPr>
                <w:color w:val="000000"/>
                <w:sz w:val="16"/>
                <w:szCs w:val="16"/>
              </w:rPr>
            </w:pPr>
          </w:p>
        </w:tc>
        <w:tc>
          <w:tcPr>
            <w:tcW w:w="1237" w:type="dxa"/>
            <w:tcBorders>
              <w:left w:val="nil"/>
              <w:bottom w:val="single" w:sz="4" w:space="0" w:color="auto"/>
              <w:right w:val="single" w:sz="4" w:space="0" w:color="auto"/>
            </w:tcBorders>
            <w:shd w:val="clear" w:color="auto" w:fill="D9D9D9"/>
            <w:noWrap/>
            <w:vAlign w:val="bottom"/>
            <w:hideMark/>
          </w:tcPr>
          <w:p w:rsidR="00A01ECA" w:rsidRPr="001A48D3" w:rsidRDefault="00A01ECA" w:rsidP="00C4701A">
            <w:pPr>
              <w:spacing w:after="120"/>
              <w:rPr>
                <w:color w:val="000000"/>
                <w:sz w:val="16"/>
                <w:szCs w:val="16"/>
              </w:rPr>
            </w:pPr>
            <w:r w:rsidRPr="001A48D3">
              <w:rPr>
                <w:color w:val="000000"/>
                <w:sz w:val="16"/>
                <w:szCs w:val="16"/>
              </w:rPr>
              <w:t>Diesel vehicles</w:t>
            </w:r>
          </w:p>
        </w:tc>
        <w:tc>
          <w:tcPr>
            <w:tcW w:w="851" w:type="dxa"/>
            <w:tcBorders>
              <w:left w:val="nil"/>
              <w:bottom w:val="single" w:sz="4" w:space="0" w:color="auto"/>
              <w:right w:val="nil"/>
            </w:tcBorders>
            <w:shd w:val="clear" w:color="auto" w:fill="D9D9D9"/>
            <w:noWrap/>
            <w:vAlign w:val="bottom"/>
            <w:hideMark/>
          </w:tcPr>
          <w:p w:rsidR="00A01ECA" w:rsidRPr="001A48D3" w:rsidRDefault="00A01ECA" w:rsidP="00C4701A">
            <w:pPr>
              <w:spacing w:after="120"/>
              <w:ind w:left="-108" w:right="-108"/>
              <w:jc w:val="center"/>
              <w:rPr>
                <w:color w:val="000000"/>
                <w:sz w:val="16"/>
                <w:szCs w:val="16"/>
              </w:rPr>
            </w:pPr>
            <w:r w:rsidRPr="001A48D3">
              <w:rPr>
                <w:color w:val="000000"/>
                <w:sz w:val="16"/>
                <w:szCs w:val="16"/>
              </w:rPr>
              <w:t>1/01/2012</w:t>
            </w:r>
          </w:p>
        </w:tc>
        <w:tc>
          <w:tcPr>
            <w:tcW w:w="850" w:type="dxa"/>
            <w:tcBorders>
              <w:left w:val="single" w:sz="4" w:space="0" w:color="auto"/>
              <w:bottom w:val="single" w:sz="4" w:space="0" w:color="auto"/>
              <w:right w:val="single" w:sz="4" w:space="0" w:color="auto"/>
            </w:tcBorders>
            <w:shd w:val="clear" w:color="auto" w:fill="D9D9D9"/>
            <w:noWrap/>
            <w:vAlign w:val="bottom"/>
            <w:hideMark/>
          </w:tcPr>
          <w:p w:rsidR="00A01ECA" w:rsidRPr="001A48D3" w:rsidRDefault="00A01ECA" w:rsidP="00C4701A">
            <w:pPr>
              <w:spacing w:after="120"/>
              <w:ind w:left="-108" w:right="-108"/>
              <w:jc w:val="center"/>
              <w:rPr>
                <w:color w:val="000000"/>
                <w:sz w:val="16"/>
                <w:szCs w:val="16"/>
              </w:rPr>
            </w:pPr>
            <w:r w:rsidRPr="001A48D3">
              <w:rPr>
                <w:color w:val="000000"/>
                <w:sz w:val="16"/>
                <w:szCs w:val="16"/>
              </w:rPr>
              <w:t>1/01/2013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1ECA" w:rsidRPr="001A48D3" w:rsidRDefault="00A01ECA" w:rsidP="00C4701A">
            <w:pPr>
              <w:spacing w:after="120"/>
              <w:rPr>
                <w:color w:val="000000"/>
                <w:sz w:val="16"/>
                <w:szCs w:val="16"/>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01ECA" w:rsidRPr="001A48D3" w:rsidRDefault="00A01ECA" w:rsidP="00C4701A">
            <w:pPr>
              <w:spacing w:after="120"/>
              <w:rPr>
                <w:color w:val="000000"/>
                <w:sz w:val="16"/>
                <w:szCs w:val="16"/>
              </w:rPr>
            </w:pPr>
          </w:p>
        </w:tc>
      </w:tr>
      <w:tr w:rsidR="00A01ECA" w:rsidRPr="001A48D3" w:rsidTr="00A01ECA">
        <w:trPr>
          <w:trHeight w:val="636"/>
        </w:trPr>
        <w:tc>
          <w:tcPr>
            <w:tcW w:w="787" w:type="dxa"/>
            <w:vMerge/>
            <w:tcBorders>
              <w:top w:val="nil"/>
              <w:left w:val="single" w:sz="4" w:space="0" w:color="auto"/>
              <w:bottom w:val="single" w:sz="4" w:space="0" w:color="auto"/>
              <w:right w:val="nil"/>
            </w:tcBorders>
            <w:shd w:val="clear" w:color="auto" w:fill="FFFFFF"/>
            <w:vAlign w:val="center"/>
            <w:hideMark/>
          </w:tcPr>
          <w:p w:rsidR="00A01ECA" w:rsidRPr="001A48D3" w:rsidRDefault="00A01ECA" w:rsidP="00C4701A">
            <w:pPr>
              <w:spacing w:after="120"/>
              <w:rPr>
                <w:b/>
                <w:bCs/>
                <w:color w:val="000000"/>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01ECA" w:rsidRPr="001A48D3" w:rsidRDefault="00A01ECA" w:rsidP="00C4701A">
            <w:pPr>
              <w:spacing w:after="120"/>
              <w:jc w:val="center"/>
              <w:rPr>
                <w:color w:val="000000"/>
                <w:sz w:val="16"/>
                <w:szCs w:val="16"/>
              </w:rPr>
            </w:pPr>
            <w:r w:rsidRPr="001A48D3">
              <w:rPr>
                <w:color w:val="000000"/>
                <w:sz w:val="16"/>
                <w:szCs w:val="16"/>
              </w:rPr>
              <w:t>Euro 6</w:t>
            </w:r>
          </w:p>
        </w:tc>
        <w:tc>
          <w:tcPr>
            <w:tcW w:w="1237" w:type="dxa"/>
            <w:tcBorders>
              <w:top w:val="single" w:sz="4" w:space="0" w:color="auto"/>
              <w:left w:val="nil"/>
              <w:bottom w:val="single" w:sz="4" w:space="0" w:color="auto"/>
              <w:right w:val="single" w:sz="4" w:space="0" w:color="auto"/>
            </w:tcBorders>
            <w:shd w:val="clear" w:color="auto" w:fill="D9D9D9"/>
            <w:noWrap/>
            <w:vAlign w:val="bottom"/>
            <w:hideMark/>
          </w:tcPr>
          <w:p w:rsidR="00A01ECA" w:rsidRPr="001A48D3" w:rsidRDefault="00A01ECA" w:rsidP="00C4701A">
            <w:pPr>
              <w:spacing w:after="120"/>
              <w:rPr>
                <w:color w:val="000000"/>
                <w:sz w:val="16"/>
                <w:szCs w:val="16"/>
              </w:rPr>
            </w:pPr>
            <w:r w:rsidRPr="001A48D3">
              <w:rPr>
                <w:color w:val="000000"/>
                <w:sz w:val="16"/>
                <w:szCs w:val="16"/>
              </w:rPr>
              <w:t>All light vehicles</w:t>
            </w:r>
          </w:p>
        </w:tc>
        <w:tc>
          <w:tcPr>
            <w:tcW w:w="851" w:type="dxa"/>
            <w:tcBorders>
              <w:top w:val="single" w:sz="4" w:space="0" w:color="auto"/>
              <w:left w:val="nil"/>
              <w:bottom w:val="single" w:sz="4" w:space="0" w:color="auto"/>
              <w:right w:val="nil"/>
            </w:tcBorders>
            <w:shd w:val="clear" w:color="auto" w:fill="D9D9D9"/>
            <w:noWrap/>
            <w:vAlign w:val="bottom"/>
            <w:hideMark/>
          </w:tcPr>
          <w:p w:rsidR="00A01ECA" w:rsidRPr="001A48D3" w:rsidRDefault="00A01ECA" w:rsidP="00C4701A">
            <w:pPr>
              <w:spacing w:after="120"/>
              <w:ind w:left="-108" w:right="-108"/>
              <w:jc w:val="center"/>
              <w:rPr>
                <w:color w:val="000000"/>
                <w:sz w:val="16"/>
                <w:szCs w:val="16"/>
              </w:rPr>
            </w:pPr>
            <w:r w:rsidRPr="001A48D3">
              <w:rPr>
                <w:color w:val="000000"/>
                <w:sz w:val="16"/>
                <w:szCs w:val="16"/>
              </w:rPr>
              <w:t>1/01/2016</w:t>
            </w:r>
          </w:p>
        </w:tc>
        <w:tc>
          <w:tcPr>
            <w:tcW w:w="85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A01ECA" w:rsidRPr="001A48D3" w:rsidRDefault="00A01ECA" w:rsidP="00C4701A">
            <w:pPr>
              <w:spacing w:after="120"/>
              <w:ind w:left="-108" w:right="-108"/>
              <w:jc w:val="center"/>
              <w:rPr>
                <w:color w:val="000000"/>
                <w:sz w:val="16"/>
                <w:szCs w:val="16"/>
              </w:rPr>
            </w:pPr>
            <w:r w:rsidRPr="001A48D3">
              <w:rPr>
                <w:color w:val="000000"/>
                <w:sz w:val="16"/>
                <w:szCs w:val="16"/>
              </w:rPr>
              <w:t>1/01/2017</w:t>
            </w: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A01ECA" w:rsidRPr="001A48D3" w:rsidRDefault="00A01ECA" w:rsidP="00C4701A">
            <w:pPr>
              <w:spacing w:after="120"/>
              <w:rPr>
                <w:color w:val="000000"/>
                <w:sz w:val="16"/>
                <w:szCs w:val="16"/>
              </w:rPr>
            </w:pPr>
          </w:p>
        </w:tc>
        <w:tc>
          <w:tcPr>
            <w:tcW w:w="2977" w:type="dxa"/>
            <w:vMerge/>
            <w:tcBorders>
              <w:top w:val="nil"/>
              <w:left w:val="single" w:sz="4" w:space="0" w:color="auto"/>
              <w:bottom w:val="single" w:sz="4" w:space="0" w:color="auto"/>
              <w:right w:val="single" w:sz="4" w:space="0" w:color="auto"/>
            </w:tcBorders>
            <w:shd w:val="clear" w:color="auto" w:fill="FFFFFF"/>
            <w:vAlign w:val="center"/>
            <w:hideMark/>
          </w:tcPr>
          <w:p w:rsidR="00A01ECA" w:rsidRPr="001A48D3" w:rsidRDefault="00A01ECA" w:rsidP="00C4701A">
            <w:pPr>
              <w:spacing w:after="120"/>
              <w:rPr>
                <w:color w:val="000000"/>
                <w:sz w:val="16"/>
                <w:szCs w:val="16"/>
              </w:rPr>
            </w:pPr>
          </w:p>
        </w:tc>
      </w:tr>
    </w:tbl>
    <w:p w:rsidR="00A01ECA" w:rsidRPr="001A48D3" w:rsidRDefault="00A01ECA" w:rsidP="00C4701A">
      <w:pPr>
        <w:spacing w:after="120"/>
      </w:pPr>
    </w:p>
    <w:p w:rsidR="00A01ECA" w:rsidRPr="001A48D3" w:rsidRDefault="00A01ECA" w:rsidP="00C4701A">
      <w:pPr>
        <w:spacing w:after="120"/>
      </w:pPr>
      <w:r w:rsidRPr="001A48D3">
        <w:t>The main quantifiable benefit identified is the health cost avoided</w:t>
      </w:r>
      <w:r w:rsidRPr="001A48D3">
        <w:rPr>
          <w:rStyle w:val="FootnoteReference"/>
        </w:rPr>
        <w:footnoteReference w:id="90"/>
      </w:r>
      <w:r w:rsidRPr="001A48D3">
        <w:t xml:space="preserve"> due to lower levels of pollutants emitted as a result of higher </w:t>
      </w:r>
      <w:r w:rsidR="00F67E21" w:rsidRPr="001A48D3">
        <w:t>vehicle emission</w:t>
      </w:r>
      <w:r w:rsidRPr="001A48D3">
        <w:t xml:space="preserve"> standards. The identified cost mainly relates to additional vehicle expenses involved in meeting the new emission standards. </w:t>
      </w:r>
    </w:p>
    <w:p w:rsidR="00A01ECA" w:rsidRPr="001A48D3" w:rsidRDefault="00A01ECA" w:rsidP="00C4701A">
      <w:pPr>
        <w:spacing w:after="120"/>
      </w:pPr>
      <w:r w:rsidRPr="001A48D3">
        <w:t xml:space="preserve">Due to data and time constraints, a simplified approach is used to assess the health impact of the reduced pollution due to the introduction of Euro 5 and 6 standards. The analysis relies heavily on a small sample of the most recent available studies (Coffey Geosciences (2003), </w:t>
      </w:r>
      <w:proofErr w:type="spellStart"/>
      <w:r w:rsidRPr="001A48D3">
        <w:t>Watkiss</w:t>
      </w:r>
      <w:proofErr w:type="spellEnd"/>
      <w:r w:rsidRPr="001A48D3">
        <w:t xml:space="preserve"> (2002) and Beer (2002)) for deriving unit health cost values ($ per tonne of pollutants emitted). </w:t>
      </w:r>
    </w:p>
    <w:p w:rsidR="00A01ECA" w:rsidRPr="001A48D3" w:rsidRDefault="00A01ECA" w:rsidP="00C4701A">
      <w:pPr>
        <w:spacing w:after="120"/>
      </w:pPr>
      <w:r w:rsidRPr="001A48D3">
        <w:t xml:space="preserve">The BCA results show that both regulatory options (S1 and S1A) are economically viable under the standard assumptions, unless a very low unit health cost value (–50%) is applied in calculating the health cost savings. </w:t>
      </w:r>
    </w:p>
    <w:p w:rsidR="00A01ECA" w:rsidRPr="001A48D3" w:rsidRDefault="00A01ECA" w:rsidP="00B52F7D">
      <w:pPr>
        <w:pStyle w:val="Heading2"/>
      </w:pPr>
      <w:bookmarkStart w:id="137" w:name="_Toc430182593"/>
      <w:r w:rsidRPr="001A48D3">
        <w:lastRenderedPageBreak/>
        <w:t>Methodology for estimating health benefits</w:t>
      </w:r>
      <w:bookmarkEnd w:id="137"/>
    </w:p>
    <w:p w:rsidR="00A01ECA" w:rsidRPr="001A48D3" w:rsidRDefault="00A01ECA" w:rsidP="00C4701A">
      <w:pPr>
        <w:spacing w:after="120"/>
      </w:pPr>
      <w:r w:rsidRPr="001A48D3">
        <w:t xml:space="preserve">The methodology employed to estimate the health benefits is described in Figure 1. The first step is to quantify the emissions of pollutants for the scenarios under investigation and estimate tonnes of emissions saved for each scenario of alternative </w:t>
      </w:r>
      <w:r w:rsidR="00F67E21" w:rsidRPr="001A48D3">
        <w:t>vehicle emission</w:t>
      </w:r>
      <w:r w:rsidRPr="001A48D3">
        <w:t xml:space="preserve"> standards (relative to the base case). The second step is to establish a value for an average health cost ($ per tonne of emissions) from existing studies. The final step is to calculate the total health benefit (or health cost avoided) by multiplying tonnes of emissions saved by unit value(s) for health costs.</w:t>
      </w:r>
    </w:p>
    <w:p w:rsidR="00A01ECA" w:rsidRPr="001A48D3" w:rsidRDefault="00A01ECA" w:rsidP="00C4701A">
      <w:pPr>
        <w:spacing w:after="120"/>
      </w:pPr>
    </w:p>
    <w:p w:rsidR="00771484" w:rsidRPr="001A48D3" w:rsidRDefault="00A01ECA" w:rsidP="00B52F7D">
      <w:pPr>
        <w:pStyle w:val="Heading3"/>
      </w:pPr>
      <w:bookmarkStart w:id="138" w:name="_Toc430182594"/>
      <w:r w:rsidRPr="001A48D3">
        <w:t>Figure 1</w:t>
      </w:r>
      <w:r w:rsidRPr="001A48D3">
        <w:tab/>
        <w:t>The Study Approach</w:t>
      </w:r>
      <w:bookmarkEnd w:id="138"/>
    </w:p>
    <w:p w:rsidR="00771484" w:rsidRPr="001A48D3" w:rsidRDefault="00836FFF" w:rsidP="00C4701A">
      <w:pPr>
        <w:pStyle w:val="TEXT"/>
        <w:spacing w:after="120"/>
        <w:rPr>
          <w:rFonts w:ascii="Calibri" w:hAnsi="Calibri"/>
        </w:rPr>
      </w:pPr>
      <w:r>
        <w:rPr>
          <w:noProof/>
          <w:lang w:eastAsia="en-AU"/>
        </w:rPr>
        <mc:AlternateContent>
          <mc:Choice Requires="wps">
            <w:drawing>
              <wp:anchor distT="0" distB="0" distL="114300" distR="114300" simplePos="0" relativeHeight="251655680" behindDoc="0" locked="0" layoutInCell="1" allowOverlap="1" wp14:anchorId="4218C19F" wp14:editId="4AC8B732">
                <wp:simplePos x="0" y="0"/>
                <wp:positionH relativeFrom="column">
                  <wp:posOffset>915670</wp:posOffset>
                </wp:positionH>
                <wp:positionV relativeFrom="paragraph">
                  <wp:posOffset>33020</wp:posOffset>
                </wp:positionV>
                <wp:extent cx="2996565" cy="514350"/>
                <wp:effectExtent l="0" t="0" r="0" b="0"/>
                <wp:wrapNone/>
                <wp:docPr id="20" name="AutoShape 2" descr="The diagram is a technical diagram. If you are unable to view this image, please contact the Department of Infrastructure &amp; Regional Development for a hard copy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6565" cy="514350"/>
                        </a:xfrm>
                        <a:prstGeom prst="flowChartAlternateProcess">
                          <a:avLst/>
                        </a:prstGeom>
                        <a:solidFill>
                          <a:srgbClr val="92CDDC"/>
                        </a:solidFill>
                        <a:ln w="9525">
                          <a:solidFill>
                            <a:srgbClr val="000000"/>
                          </a:solidFill>
                          <a:miter lim="800000"/>
                          <a:headEnd/>
                          <a:tailEnd/>
                        </a:ln>
                      </wps:spPr>
                      <wps:txbx>
                        <w:txbxContent>
                          <w:p w:rsidR="00636785" w:rsidRPr="00757C79" w:rsidRDefault="00636785" w:rsidP="00771484">
                            <w:pPr>
                              <w:spacing w:line="276" w:lineRule="auto"/>
                              <w:jc w:val="center"/>
                              <w:rPr>
                                <w:b/>
                                <w:sz w:val="20"/>
                              </w:rPr>
                            </w:pPr>
                            <w:r w:rsidRPr="00757C79">
                              <w:rPr>
                                <w:b/>
                                <w:lang w:eastAsia="en-US"/>
                              </w:rPr>
                              <w:t>Emissions saved</w:t>
                            </w:r>
                          </w:p>
                          <w:p w:rsidR="00636785" w:rsidRPr="00757C79" w:rsidRDefault="00636785" w:rsidP="00771484">
                            <w:pPr>
                              <w:spacing w:after="200" w:line="276" w:lineRule="auto"/>
                              <w:jc w:val="center"/>
                              <w:rPr>
                                <w:sz w:val="16"/>
                                <w:szCs w:val="16"/>
                              </w:rPr>
                            </w:pPr>
                            <w:r w:rsidRPr="00757C79">
                              <w:rPr>
                                <w:sz w:val="16"/>
                                <w:szCs w:val="16"/>
                              </w:rPr>
                              <w:t>(</w:t>
                            </w:r>
                            <w:proofErr w:type="gramStart"/>
                            <w:r w:rsidRPr="00757C79">
                              <w:rPr>
                                <w:sz w:val="16"/>
                                <w:szCs w:val="16"/>
                              </w:rPr>
                              <w:t>tonnes</w:t>
                            </w:r>
                            <w:proofErr w:type="gramEnd"/>
                            <w:r w:rsidRPr="00757C79">
                              <w:rPr>
                                <w:sz w:val="16"/>
                                <w:szCs w:val="16"/>
                              </w:rPr>
                              <w:t xml:space="preserve"> of pollutants from the Australian light vehicle fleet)</w:t>
                            </w:r>
                          </w:p>
                          <w:p w:rsidR="00636785" w:rsidRDefault="00636785" w:rsidP="00A01ECA">
                            <w:pPr>
                              <w:jc w:val="center"/>
                              <w:rPr>
                                <w:b/>
                                <w:sz w:val="20"/>
                              </w:rPr>
                            </w:pPr>
                          </w:p>
                          <w:p w:rsidR="00636785" w:rsidRPr="009410D2" w:rsidRDefault="00636785" w:rsidP="00A01ECA">
                            <w:pPr>
                              <w:jc w:val="center"/>
                              <w:rPr>
                                <w:sz w:val="16"/>
                                <w:szCs w:val="16"/>
                              </w:rPr>
                            </w:pPr>
                            <w:r w:rsidRPr="009410D2">
                              <w:rPr>
                                <w:sz w:val="16"/>
                                <w:szCs w:val="16"/>
                              </w:rPr>
                              <w:t>(</w:t>
                            </w:r>
                            <w:proofErr w:type="gramStart"/>
                            <w:r w:rsidRPr="009410D2">
                              <w:rPr>
                                <w:sz w:val="16"/>
                                <w:szCs w:val="16"/>
                              </w:rPr>
                              <w:t>tonnes</w:t>
                            </w:r>
                            <w:proofErr w:type="gramEnd"/>
                            <w:r w:rsidRPr="009410D2">
                              <w:rPr>
                                <w:sz w:val="16"/>
                                <w:szCs w:val="16"/>
                              </w:rPr>
                              <w:t xml:space="preserve"> of pollutants from th</w:t>
                            </w:r>
                            <w:r>
                              <w:rPr>
                                <w:sz w:val="16"/>
                                <w:szCs w:val="16"/>
                              </w:rPr>
                              <w:t>e Australian light vehicle fleet)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alt="The diagram is a technical diagram. If you are unable to view this image, please contact the Department of Infrastructure &amp; Regional Development for a hard copy of this document." style="position:absolute;left:0;text-align:left;margin-left:72.1pt;margin-top:2.6pt;width:235.9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" fillcolor="#92cddc">
                <v:textbox>
                  <w:txbxContent>
                    <w:p w:rsidR="00636785" w:rsidRPr="00757C79" w:rsidRDefault="00636785" w:rsidP="00771484">
                      <w:pPr>
                        <w:spacing w:line="276" w:lineRule="auto"/>
                        <w:jc w:val="center"/>
                        <w:rPr>
                          <w:b/>
                          <w:sz w:val="20"/>
                        </w:rPr>
                      </w:pPr>
                      <w:r w:rsidRPr="00757C79">
                        <w:rPr>
                          <w:b/>
                          <w:lang w:eastAsia="en-US"/>
                        </w:rPr>
                        <w:t>Emissions saved</w:t>
                      </w:r>
                    </w:p>
                    <w:p w:rsidR="00636785" w:rsidRPr="00757C79" w:rsidRDefault="00636785" w:rsidP="00771484">
                      <w:pPr>
                        <w:spacing w:after="200" w:line="276" w:lineRule="auto"/>
                        <w:jc w:val="center"/>
                        <w:rPr>
                          <w:sz w:val="16"/>
                          <w:szCs w:val="16"/>
                        </w:rPr>
                      </w:pPr>
                      <w:r w:rsidRPr="00757C79">
                        <w:rPr>
                          <w:sz w:val="16"/>
                          <w:szCs w:val="16"/>
                        </w:rPr>
                        <w:t>(tonnes of pollutants from the Australian light vehicle fleet)</w:t>
                      </w:r>
                    </w:p>
                    <w:p w:rsidR="00636785" w:rsidRDefault="00636785" w:rsidP="00A01ECA">
                      <w:pPr>
                        <w:jc w:val="center"/>
                        <w:rPr>
                          <w:b/>
                          <w:sz w:val="20"/>
                        </w:rPr>
                      </w:pPr>
                    </w:p>
                    <w:p w:rsidR="00636785" w:rsidRPr="009410D2" w:rsidRDefault="00636785" w:rsidP="00A01ECA">
                      <w:pPr>
                        <w:jc w:val="center"/>
                        <w:rPr>
                          <w:sz w:val="16"/>
                          <w:szCs w:val="16"/>
                        </w:rPr>
                      </w:pPr>
                      <w:r w:rsidRPr="009410D2">
                        <w:rPr>
                          <w:sz w:val="16"/>
                          <w:szCs w:val="16"/>
                        </w:rPr>
                        <w:t>(tonnes of pollutants from th</w:t>
                      </w:r>
                      <w:r>
                        <w:rPr>
                          <w:sz w:val="16"/>
                          <w:szCs w:val="16"/>
                        </w:rPr>
                        <w:t>e Australian light vehicle fleet)</w:t>
                      </w:r>
                    </w:p>
                  </w:txbxContent>
                </v:textbox>
              </v:shape>
            </w:pict>
          </mc:Fallback>
        </mc:AlternateContent>
      </w:r>
    </w:p>
    <w:p w:rsidR="00A01ECA" w:rsidRPr="001A48D3" w:rsidRDefault="00A01ECA" w:rsidP="00C4701A">
      <w:pPr>
        <w:pStyle w:val="TEXT"/>
        <w:spacing w:after="120"/>
        <w:rPr>
          <w:rFonts w:ascii="Calibri" w:hAnsi="Calibri"/>
        </w:rPr>
      </w:pPr>
    </w:p>
    <w:p w:rsidR="00A01ECA" w:rsidRPr="001A48D3" w:rsidRDefault="00836FFF" w:rsidP="00C4701A">
      <w:pPr>
        <w:pStyle w:val="TEXT"/>
        <w:spacing w:after="120"/>
        <w:rPr>
          <w:rFonts w:ascii="Calibri" w:hAnsi="Calibri"/>
        </w:rPr>
      </w:pPr>
      <w:r>
        <w:rPr>
          <w:noProof/>
          <w:lang w:eastAsia="en-AU"/>
        </w:rPr>
        <mc:AlternateContent>
          <mc:Choice Requires="wps">
            <w:drawing>
              <wp:anchor distT="0" distB="0" distL="114300" distR="114300" simplePos="0" relativeHeight="251658752" behindDoc="0" locked="0" layoutInCell="1" allowOverlap="1" wp14:anchorId="1128C91E" wp14:editId="64B8301B">
                <wp:simplePos x="0" y="0"/>
                <wp:positionH relativeFrom="column">
                  <wp:posOffset>2222500</wp:posOffset>
                </wp:positionH>
                <wp:positionV relativeFrom="paragraph">
                  <wp:posOffset>6350</wp:posOffset>
                </wp:positionV>
                <wp:extent cx="370205" cy="260350"/>
                <wp:effectExtent l="0" t="0" r="0" b="0"/>
                <wp:wrapNone/>
                <wp:docPr id="19" name="Text Box 3" descr="The diagram is a technical diagram. If you are unable to view this image, please contact the Department of Infrastructure &amp; Regional Development for a hard copy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6035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785" w:rsidRPr="00771484" w:rsidRDefault="00636785" w:rsidP="00771484">
                            <w:pPr>
                              <w:spacing w:after="200" w:line="276" w:lineRule="auto"/>
                              <w:jc w:val="center"/>
                            </w:pPr>
                            <w:r w:rsidRPr="00771484">
                              <w:rPr>
                                <w:rFonts w:ascii="Arial Black" w:hAnsi="Arial Black"/>
                                <w:lang w:eastAsia="en-US"/>
                              </w:rPr>
                              <w:t>×</w:t>
                            </w:r>
                          </w:p>
                          <w:p w:rsidR="00636785" w:rsidRPr="00771484" w:rsidRDefault="00636785" w:rsidP="007714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alt="The diagram is a technical diagram. If you are unable to view this image, please contact the Department of Infrastructure &amp; Regional Development for a hard copy of this document." style="position:absolute;left:0;text-align:left;margin-left:175pt;margin-top:.5pt;width:29.15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" strokeweight="1pt">
                <v:stroke dashstyle="dash"/>
                <v:shadow color="#868686"/>
                <v:textbox>
                  <w:txbxContent>
                    <w:p w:rsidR="00636785" w:rsidRPr="00771484" w:rsidRDefault="00636785" w:rsidP="00771484">
                      <w:pPr>
                        <w:spacing w:after="200" w:line="276" w:lineRule="auto"/>
                        <w:jc w:val="center"/>
                      </w:pPr>
                      <w:r w:rsidRPr="00771484">
                        <w:rPr>
                          <w:rFonts w:ascii="Arial Black" w:hAnsi="Arial Black"/>
                          <w:lang w:eastAsia="en-US"/>
                        </w:rPr>
                        <w:t>×</w:t>
                      </w:r>
                    </w:p>
                    <w:p w:rsidR="00636785" w:rsidRPr="00771484" w:rsidRDefault="00636785" w:rsidP="00771484"/>
                  </w:txbxContent>
                </v:textbox>
              </v:shape>
            </w:pict>
          </mc:Fallback>
        </mc:AlternateContent>
      </w:r>
    </w:p>
    <w:p w:rsidR="00A01ECA" w:rsidRPr="001A48D3" w:rsidRDefault="00836FFF" w:rsidP="00C4701A">
      <w:pPr>
        <w:spacing w:after="120"/>
      </w:pPr>
      <w:r>
        <w:rPr>
          <w:noProof/>
        </w:rPr>
        <mc:AlternateContent>
          <mc:Choice Requires="wps">
            <w:drawing>
              <wp:anchor distT="0" distB="0" distL="114300" distR="114300" simplePos="0" relativeHeight="251657728" behindDoc="0" locked="0" layoutInCell="1" allowOverlap="1" wp14:anchorId="091A5C18" wp14:editId="534BC7DB">
                <wp:simplePos x="0" y="0"/>
                <wp:positionH relativeFrom="column">
                  <wp:posOffset>1659255</wp:posOffset>
                </wp:positionH>
                <wp:positionV relativeFrom="paragraph">
                  <wp:posOffset>27305</wp:posOffset>
                </wp:positionV>
                <wp:extent cx="1454150" cy="516255"/>
                <wp:effectExtent l="0" t="0" r="0" b="0"/>
                <wp:wrapNone/>
                <wp:docPr id="18" name="AutoShape 4" descr="The diagram is a technical diagram. If you are unable to view this image, please contact the Department of Infrastructure &amp; Regional Development for a hard copy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0" cy="516255"/>
                        </a:xfrm>
                        <a:prstGeom prst="flowChartAlternateProcess">
                          <a:avLst/>
                        </a:prstGeom>
                        <a:gradFill rotWithShape="1">
                          <a:gsLst>
                            <a:gs pos="0">
                              <a:srgbClr val="FABF8F"/>
                            </a:gs>
                            <a:gs pos="100000">
                              <a:srgbClr val="FABF8F">
                                <a:gamma/>
                                <a:shade val="46275"/>
                                <a:invGamma/>
                              </a:srgbClr>
                            </a:gs>
                          </a:gsLst>
                          <a:lin ang="5400000" scaled="1"/>
                        </a:gradFill>
                        <a:ln w="9525">
                          <a:solidFill>
                            <a:srgbClr val="000000"/>
                          </a:solidFill>
                          <a:miter lim="800000"/>
                          <a:headEnd/>
                          <a:tailEnd/>
                        </a:ln>
                      </wps:spPr>
                      <wps:txbx>
                        <w:txbxContent>
                          <w:p w:rsidR="00636785" w:rsidRPr="00757C79" w:rsidRDefault="00636785" w:rsidP="00771484">
                            <w:pPr>
                              <w:spacing w:line="276" w:lineRule="auto"/>
                              <w:jc w:val="center"/>
                              <w:rPr>
                                <w:b/>
                                <w:sz w:val="20"/>
                              </w:rPr>
                            </w:pPr>
                            <w:r w:rsidRPr="00757C79">
                              <w:rPr>
                                <w:b/>
                                <w:sz w:val="20"/>
                              </w:rPr>
                              <w:t>Unit health cost</w:t>
                            </w:r>
                          </w:p>
                          <w:p w:rsidR="00636785" w:rsidRPr="00757C79" w:rsidRDefault="00636785" w:rsidP="00771484">
                            <w:pPr>
                              <w:spacing w:after="200" w:line="276" w:lineRule="auto"/>
                              <w:jc w:val="center"/>
                              <w:rPr>
                                <w:sz w:val="16"/>
                                <w:szCs w:val="16"/>
                              </w:rPr>
                            </w:pPr>
                            <w:r w:rsidRPr="00757C79">
                              <w:rPr>
                                <w:sz w:val="16"/>
                                <w:szCs w:val="16"/>
                              </w:rPr>
                              <w:t>($ per tonne of pollutants)</w:t>
                            </w:r>
                          </w:p>
                          <w:p w:rsidR="00636785" w:rsidRPr="009410D2" w:rsidRDefault="00636785" w:rsidP="00771484">
                            <w:pPr>
                              <w:jc w:val="center"/>
                              <w:rPr>
                                <w:sz w:val="16"/>
                                <w:szCs w:val="16"/>
                              </w:rPr>
                            </w:pPr>
                            <w:r w:rsidRPr="009410D2">
                              <w:rPr>
                                <w:sz w:val="16"/>
                                <w:szCs w:val="16"/>
                              </w:rPr>
                              <w:t xml:space="preserve"> (</w:t>
                            </w:r>
                            <w:r>
                              <w:rPr>
                                <w:sz w:val="16"/>
                                <w:szCs w:val="16"/>
                              </w:rPr>
                              <w:t>$ per tonne</w:t>
                            </w:r>
                            <w:r w:rsidRPr="009410D2">
                              <w:rPr>
                                <w:sz w:val="16"/>
                                <w:szCs w:val="16"/>
                              </w:rPr>
                              <w:t xml:space="preserve"> of pollutants</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76" alt="The diagram is a technical diagram. If you are unable to view this image, please contact the Department of Infrastructure &amp; Regional Development for a hard copy of this document." style="position:absolute;margin-left:130.65pt;margin-top:2.15pt;width:114.5pt;height:4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" fillcolor="#fabf8f">
                <v:fill color2="#745842" rotate="t" focus="100%" type="gradient"/>
                <v:textbox>
                  <w:txbxContent>
                    <w:p w:rsidR="00636785" w:rsidRPr="00757C79" w:rsidRDefault="00636785" w:rsidP="00771484">
                      <w:pPr>
                        <w:spacing w:line="276" w:lineRule="auto"/>
                        <w:jc w:val="center"/>
                        <w:rPr>
                          <w:b/>
                          <w:sz w:val="20"/>
                        </w:rPr>
                      </w:pPr>
                      <w:r w:rsidRPr="00757C79">
                        <w:rPr>
                          <w:b/>
                          <w:sz w:val="20"/>
                        </w:rPr>
                        <w:t>Unit health cost</w:t>
                      </w:r>
                    </w:p>
                    <w:p w:rsidR="00636785" w:rsidRPr="00757C79" w:rsidRDefault="00636785" w:rsidP="00771484">
                      <w:pPr>
                        <w:spacing w:after="200" w:line="276" w:lineRule="auto"/>
                        <w:jc w:val="center"/>
                        <w:rPr>
                          <w:sz w:val="16"/>
                          <w:szCs w:val="16"/>
                        </w:rPr>
                      </w:pPr>
                      <w:r w:rsidRPr="00757C79">
                        <w:rPr>
                          <w:sz w:val="16"/>
                          <w:szCs w:val="16"/>
                        </w:rPr>
                        <w:t>($ per tonne of pollutants)</w:t>
                      </w:r>
                    </w:p>
                    <w:p w:rsidR="00636785" w:rsidRPr="009410D2" w:rsidRDefault="00636785" w:rsidP="00771484">
                      <w:pPr>
                        <w:jc w:val="center"/>
                        <w:rPr>
                          <w:sz w:val="16"/>
                          <w:szCs w:val="16"/>
                        </w:rPr>
                      </w:pPr>
                      <w:r w:rsidRPr="009410D2">
                        <w:rPr>
                          <w:sz w:val="16"/>
                          <w:szCs w:val="16"/>
                        </w:rPr>
                        <w:t xml:space="preserve"> (</w:t>
                      </w:r>
                      <w:r>
                        <w:rPr>
                          <w:sz w:val="16"/>
                          <w:szCs w:val="16"/>
                        </w:rPr>
                        <w:t>$ per tonne</w:t>
                      </w:r>
                      <w:r w:rsidRPr="009410D2">
                        <w:rPr>
                          <w:sz w:val="16"/>
                          <w:szCs w:val="16"/>
                        </w:rPr>
                        <w:t xml:space="preserve"> of pollutants</w:t>
                      </w:r>
                      <w:r>
                        <w:rPr>
                          <w:sz w:val="16"/>
                          <w:szCs w:val="16"/>
                        </w:rPr>
                        <w:t>)</w:t>
                      </w:r>
                    </w:p>
                  </w:txbxContent>
                </v:textbox>
              </v:shape>
            </w:pict>
          </mc:Fallback>
        </mc:AlternateContent>
      </w:r>
    </w:p>
    <w:p w:rsidR="00A01ECA" w:rsidRPr="001A48D3" w:rsidRDefault="00836FFF" w:rsidP="00C4701A">
      <w:pPr>
        <w:spacing w:after="120"/>
      </w:pPr>
      <w:r>
        <w:rPr>
          <w:noProof/>
        </w:rPr>
        <mc:AlternateContent>
          <mc:Choice Requires="wps">
            <w:drawing>
              <wp:anchor distT="0" distB="0" distL="114300" distR="114300" simplePos="0" relativeHeight="251659776" behindDoc="0" locked="0" layoutInCell="1" allowOverlap="1" wp14:anchorId="1D3EECCF" wp14:editId="120F8949">
                <wp:simplePos x="0" y="0"/>
                <wp:positionH relativeFrom="column">
                  <wp:posOffset>2222500</wp:posOffset>
                </wp:positionH>
                <wp:positionV relativeFrom="paragraph">
                  <wp:posOffset>257810</wp:posOffset>
                </wp:positionV>
                <wp:extent cx="370205" cy="260350"/>
                <wp:effectExtent l="0" t="0" r="0" b="0"/>
                <wp:wrapNone/>
                <wp:docPr id="17" name="Text Box 5" descr="The diagram is a technical diagram. If you are unable to view this image, please contact the Department of Infrastructure &amp; Regional Development for a hard copy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6035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36785" w:rsidRPr="00771484" w:rsidRDefault="00636785" w:rsidP="00771484">
                            <w:pPr>
                              <w:spacing w:after="200" w:line="276" w:lineRule="auto"/>
                              <w:jc w:val="center"/>
                            </w:pPr>
                            <w:r w:rsidRPr="00771484">
                              <w:rPr>
                                <w:rFonts w:ascii="Arial Black" w:hAnsi="Arial Black"/>
                              </w:rPr>
                              <w:t>=</w:t>
                            </w:r>
                          </w:p>
                          <w:p w:rsidR="00636785" w:rsidRPr="00EB6525" w:rsidRDefault="00636785" w:rsidP="00A01ECA">
                            <w:pPr>
                              <w:jc w:val="center"/>
                            </w:pPr>
                            <w:r>
                              <w:rPr>
                                <w:rFonts w:ascii="Arial Black" w:hAnsi="Arial Blac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alt="The diagram is a technical diagram. If you are unable to view this image, please contact the Department of Infrastructure &amp; Regional Development for a hard copy of this document." style="position:absolute;margin-left:175pt;margin-top:20.3pt;width:29.15pt;height: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" strokeweight="1pt">
                <v:stroke dashstyle="dash"/>
                <v:shadow color="#868686"/>
                <v:textbox>
                  <w:txbxContent>
                    <w:p w:rsidR="00636785" w:rsidRPr="00771484" w:rsidRDefault="00636785" w:rsidP="00771484">
                      <w:pPr>
                        <w:spacing w:after="200" w:line="276" w:lineRule="auto"/>
                        <w:jc w:val="center"/>
                      </w:pPr>
                      <w:r w:rsidRPr="00771484">
                        <w:rPr>
                          <w:rFonts w:ascii="Arial Black" w:hAnsi="Arial Black"/>
                        </w:rPr>
                        <w:t>=</w:t>
                      </w:r>
                    </w:p>
                    <w:p w:rsidR="00636785" w:rsidRPr="00EB6525" w:rsidRDefault="00636785" w:rsidP="00A01ECA">
                      <w:pPr>
                        <w:jc w:val="center"/>
                      </w:pPr>
                      <w:r>
                        <w:rPr>
                          <w:rFonts w:ascii="Arial Black" w:hAnsi="Arial Black"/>
                        </w:rPr>
                        <w:t>=</w:t>
                      </w:r>
                    </w:p>
                  </w:txbxContent>
                </v:textbox>
              </v:shape>
            </w:pict>
          </mc:Fallback>
        </mc:AlternateContent>
      </w:r>
    </w:p>
    <w:p w:rsidR="00A01ECA" w:rsidRPr="001A48D3" w:rsidRDefault="00836FFF" w:rsidP="00C4701A">
      <w:pPr>
        <w:spacing w:after="120"/>
      </w:pPr>
      <w:r>
        <w:rPr>
          <w:noProof/>
        </w:rPr>
        <mc:AlternateContent>
          <mc:Choice Requires="wps">
            <w:drawing>
              <wp:anchor distT="0" distB="0" distL="114300" distR="114300" simplePos="0" relativeHeight="251656704" behindDoc="0" locked="0" layoutInCell="1" allowOverlap="1" wp14:anchorId="79125EF4" wp14:editId="50D1A1A3">
                <wp:simplePos x="0" y="0"/>
                <wp:positionH relativeFrom="column">
                  <wp:posOffset>1070610</wp:posOffset>
                </wp:positionH>
                <wp:positionV relativeFrom="paragraph">
                  <wp:posOffset>248285</wp:posOffset>
                </wp:positionV>
                <wp:extent cx="2696845" cy="575945"/>
                <wp:effectExtent l="0" t="0" r="0" b="0"/>
                <wp:wrapNone/>
                <wp:docPr id="16" name="AutoShape 6" descr="The diagram is a technical diagram. If you are unable to view this image, please contact the Department of Infrastructure &amp; Regional Development for a hard copy of this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845" cy="575945"/>
                        </a:xfrm>
                        <a:prstGeom prst="flowChartAlternateProcess">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rsidR="00636785" w:rsidRPr="00757C79" w:rsidRDefault="00636785" w:rsidP="00A01ECA">
                            <w:pPr>
                              <w:jc w:val="center"/>
                              <w:rPr>
                                <w:b/>
                                <w:sz w:val="20"/>
                              </w:rPr>
                            </w:pPr>
                            <w:r w:rsidRPr="00757C79">
                              <w:rPr>
                                <w:b/>
                                <w:sz w:val="20"/>
                              </w:rPr>
                              <w:t xml:space="preserve">Total health cost </w:t>
                            </w:r>
                            <w:proofErr w:type="gramStart"/>
                            <w:r w:rsidRPr="00757C79">
                              <w:rPr>
                                <w:b/>
                                <w:sz w:val="20"/>
                              </w:rPr>
                              <w:t>avoided</w:t>
                            </w:r>
                            <w:proofErr w:type="gramEnd"/>
                            <w:r w:rsidRPr="00757C79">
                              <w:rPr>
                                <w:b/>
                                <w:sz w:val="20"/>
                              </w:rPr>
                              <w:b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176" alt="The diagram is a technical diagram. If you are unable to view this image, please contact the Department of Infrastructure &amp; Regional Development for a hard copy of this document." style="position:absolute;margin-left:84.3pt;margin-top:19.55pt;width:212.35pt;height:4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">
                <v:fill color2="#767676" rotate="t" focus="100%" type="gradient"/>
                <v:textbox>
                  <w:txbxContent>
                    <w:p w:rsidR="00636785" w:rsidRPr="00757C79" w:rsidRDefault="00636785" w:rsidP="00A01ECA">
                      <w:pPr>
                        <w:jc w:val="center"/>
                        <w:rPr>
                          <w:b/>
                          <w:sz w:val="20"/>
                        </w:rPr>
                      </w:pPr>
                      <w:r w:rsidRPr="00757C79">
                        <w:rPr>
                          <w:b/>
                          <w:sz w:val="20"/>
                        </w:rPr>
                        <w:t>Total health cost avoided</w:t>
                      </w:r>
                      <w:r w:rsidRPr="00757C79">
                        <w:rPr>
                          <w:b/>
                          <w:sz w:val="20"/>
                        </w:rPr>
                        <w:br/>
                        <w:t>($)</w:t>
                      </w:r>
                    </w:p>
                  </w:txbxContent>
                </v:textbox>
              </v:shape>
            </w:pict>
          </mc:Fallback>
        </mc:AlternateContent>
      </w:r>
    </w:p>
    <w:p w:rsidR="00A01ECA" w:rsidRPr="001A48D3" w:rsidRDefault="00A01ECA" w:rsidP="00C4701A">
      <w:pPr>
        <w:spacing w:after="120"/>
      </w:pPr>
    </w:p>
    <w:p w:rsidR="0061631E" w:rsidRPr="001A48D3" w:rsidRDefault="0061631E" w:rsidP="00C4701A">
      <w:pPr>
        <w:spacing w:after="120"/>
      </w:pPr>
    </w:p>
    <w:p w:rsidR="0061631E" w:rsidRPr="001A48D3" w:rsidRDefault="0061631E" w:rsidP="00C4701A">
      <w:pPr>
        <w:spacing w:after="120"/>
      </w:pPr>
    </w:p>
    <w:p w:rsidR="00A01ECA" w:rsidRPr="001A48D3" w:rsidRDefault="007D2ECF" w:rsidP="001E1827">
      <w:pPr>
        <w:pStyle w:val="Heading3"/>
        <w:spacing w:before="240" w:after="120"/>
        <w:rPr>
          <w:rStyle w:val="Heading5Char"/>
          <w:b w:val="0"/>
          <w:i/>
        </w:rPr>
      </w:pPr>
      <w:bookmarkStart w:id="139" w:name="_Toc430182595"/>
      <w:r w:rsidRPr="001A48D3">
        <w:t>Emissions of air pollutants</w:t>
      </w:r>
      <w:bookmarkEnd w:id="139"/>
    </w:p>
    <w:p w:rsidR="00A01ECA" w:rsidRPr="001A48D3" w:rsidRDefault="00A01ECA" w:rsidP="00C4701A">
      <w:pPr>
        <w:spacing w:after="120"/>
      </w:pPr>
      <w:r w:rsidRPr="001A48D3">
        <w:t>The main pollutants of concern for air quality are HC, NO</w:t>
      </w:r>
      <w:r w:rsidRPr="001A48D3">
        <w:rPr>
          <w:vertAlign w:val="subscript"/>
        </w:rPr>
        <w:t>x</w:t>
      </w:r>
      <w:r w:rsidRPr="001A48D3">
        <w:t xml:space="preserve"> and PM</w:t>
      </w:r>
      <w:r w:rsidRPr="001A48D3">
        <w:rPr>
          <w:vertAlign w:val="subscript"/>
        </w:rPr>
        <w:t>10</w:t>
      </w:r>
      <w:r w:rsidRPr="001A48D3">
        <w:t xml:space="preserve"> (particulates).</w:t>
      </w:r>
    </w:p>
    <w:p w:rsidR="00A01ECA" w:rsidRPr="001A48D3" w:rsidRDefault="00A01ECA" w:rsidP="00C4701A">
      <w:pPr>
        <w:spacing w:after="120"/>
      </w:pPr>
      <w:r w:rsidRPr="001A48D3">
        <w:t xml:space="preserve">Emissions of these pollutants from the Australian light vehicle fleet were modelled using a suite of BITRE fleet and projection models (including CARMOD, a model of the dynamics of the Australian car fleet; </w:t>
      </w:r>
      <w:proofErr w:type="spellStart"/>
      <w:r w:rsidRPr="001A48D3">
        <w:t>MVEm_Car</w:t>
      </w:r>
      <w:proofErr w:type="spellEnd"/>
      <w:r w:rsidRPr="001A48D3">
        <w:t xml:space="preserve">, a detailed model of exhaust and evaporative emissions from Australian cars; and </w:t>
      </w:r>
      <w:proofErr w:type="spellStart"/>
      <w:r w:rsidRPr="001A48D3">
        <w:t>MVEm_LCV</w:t>
      </w:r>
      <w:proofErr w:type="spellEnd"/>
      <w:r w:rsidRPr="001A48D3">
        <w:t xml:space="preserve">, a detailed model of exhaust and evaporative emissions from Australian light commercial vehicles). </w:t>
      </w:r>
    </w:p>
    <w:p w:rsidR="00A01ECA" w:rsidRPr="001A48D3" w:rsidRDefault="00A01ECA" w:rsidP="00C4701A">
      <w:pPr>
        <w:spacing w:after="120"/>
      </w:pPr>
      <w:r w:rsidRPr="001A48D3">
        <w:t>These models are described in a variety of BITRE publications, such as BTRE (2002, 2003, and 2006). Note that the BITRE models allow for the effects of increasing traffic congestion levels within our urban areas, for example see BTRE (2007).  Congestion imposes significant costs on society—with interruptions to urban traffic flow lengthening average journey times, making trip travel times more variable, and making vehicle engine operation less efficient. This leads not only to higher rates of fuel consumption, than would otherwise have occurred, but also to poorer urban air quality (with vehicles under congested conditions typically emitting far higher rates of air pollutants than under more freely flowing conditions).</w:t>
      </w:r>
    </w:p>
    <w:p w:rsidR="00A01ECA" w:rsidRPr="001A48D3" w:rsidRDefault="00A01ECA" w:rsidP="001E1827">
      <w:pPr>
        <w:pStyle w:val="Heading3"/>
        <w:spacing w:before="240" w:after="120"/>
      </w:pPr>
      <w:bookmarkStart w:id="140" w:name="_Toc430182596"/>
      <w:r w:rsidRPr="001A48D3">
        <w:t>Average Health Cost</w:t>
      </w:r>
      <w:bookmarkEnd w:id="140"/>
      <w:r w:rsidRPr="001A48D3">
        <w:t xml:space="preserve"> </w:t>
      </w:r>
    </w:p>
    <w:p w:rsidR="00A01ECA" w:rsidRPr="001A48D3" w:rsidRDefault="00A01ECA" w:rsidP="00C4701A">
      <w:pPr>
        <w:spacing w:after="120"/>
      </w:pPr>
      <w:r w:rsidRPr="001A48D3">
        <w:t xml:space="preserve">Ideally, a bottom-up approach would be used to analyse the health impact of the proposed new fuel standards. Such an approach would follow the methodology recommended by </w:t>
      </w:r>
      <w:proofErr w:type="spellStart"/>
      <w:r w:rsidRPr="001A48D3">
        <w:t>Jalaludin</w:t>
      </w:r>
      <w:proofErr w:type="spellEnd"/>
      <w:r w:rsidRPr="001A48D3">
        <w:t xml:space="preserve">, et al. (2009) and would comprise a series of steps to quantify and value air </w:t>
      </w:r>
      <w:r w:rsidRPr="001A48D3">
        <w:lastRenderedPageBreak/>
        <w:t>pollution in each major city, taking into account the effects of technology. However, this approach was not feasible for the current study due to data and time constraints.</w:t>
      </w:r>
    </w:p>
    <w:p w:rsidR="00A01ECA" w:rsidRPr="001A48D3" w:rsidRDefault="00A01ECA" w:rsidP="00C4701A">
      <w:pPr>
        <w:spacing w:after="120"/>
      </w:pPr>
      <w:r w:rsidRPr="001A48D3">
        <w:t>The approach adopted for this study is to piggyback on the existing studies to derive plausible estimates of dollar-per-tonne health costs from air pollution. Disaggregation of the average costs by area has to rely on very limited information available from existing studies.</w:t>
      </w:r>
    </w:p>
    <w:p w:rsidR="00A01ECA" w:rsidRPr="001A48D3" w:rsidRDefault="00A01ECA" w:rsidP="00C4701A">
      <w:pPr>
        <w:spacing w:after="120"/>
      </w:pPr>
      <w:r w:rsidRPr="001A48D3">
        <w:t>Table 2 presents estimates of dollar-per-tonne health costs obtained from a number of transport-related health impact studies for Australia. Two general observations can be made with respect to Table 2: first, unit cost estimates exhibit a considerable range of variation; second, more recent estimates tend to be much higher than those prior to the year 2000.</w:t>
      </w:r>
    </w:p>
    <w:p w:rsidR="00A01ECA" w:rsidRPr="001A48D3" w:rsidRDefault="00A01ECA" w:rsidP="00B52F7D">
      <w:pPr>
        <w:pStyle w:val="Heading3"/>
      </w:pPr>
      <w:bookmarkStart w:id="141" w:name="_Toc430182597"/>
      <w:r w:rsidRPr="001A48D3">
        <w:t>Table 2</w:t>
      </w:r>
      <w:r w:rsidRPr="001A48D3">
        <w:tab/>
        <w:t>Average capital city health cost ($/tonne of emissions)</w:t>
      </w:r>
      <w:bookmarkEnd w:id="141"/>
    </w:p>
    <w:tbl>
      <w:tblPr>
        <w:tblW w:w="7938" w:type="dxa"/>
        <w:tblInd w:w="108" w:type="dxa"/>
        <w:tblLook w:val="04A0" w:firstRow="1" w:lastRow="0" w:firstColumn="1" w:lastColumn="0" w:noHBand="0" w:noVBand="1"/>
      </w:tblPr>
      <w:tblGrid>
        <w:gridCol w:w="2694"/>
        <w:gridCol w:w="638"/>
        <w:gridCol w:w="1488"/>
        <w:gridCol w:w="1552"/>
        <w:gridCol w:w="1566"/>
      </w:tblGrid>
      <w:tr w:rsidR="00A01ECA" w:rsidRPr="001A48D3" w:rsidTr="00A01ECA">
        <w:trPr>
          <w:trHeight w:val="360"/>
        </w:trPr>
        <w:tc>
          <w:tcPr>
            <w:tcW w:w="2694" w:type="dxa"/>
            <w:tcBorders>
              <w:top w:val="single" w:sz="4" w:space="0" w:color="auto"/>
              <w:left w:val="nil"/>
              <w:bottom w:val="single" w:sz="4" w:space="0" w:color="auto"/>
              <w:right w:val="nil"/>
            </w:tcBorders>
            <w:shd w:val="clear" w:color="auto" w:fill="FFFFFF"/>
            <w:noWrap/>
            <w:vAlign w:val="bottom"/>
            <w:hideMark/>
          </w:tcPr>
          <w:p w:rsidR="00A01ECA" w:rsidRPr="001A48D3" w:rsidRDefault="00A01ECA" w:rsidP="00C4701A">
            <w:pPr>
              <w:spacing w:after="120"/>
              <w:rPr>
                <w:b/>
                <w:bCs/>
                <w:color w:val="000000"/>
                <w:sz w:val="22"/>
              </w:rPr>
            </w:pPr>
            <w:r w:rsidRPr="001A48D3">
              <w:rPr>
                <w:b/>
                <w:bCs/>
                <w:color w:val="000000"/>
                <w:sz w:val="22"/>
              </w:rPr>
              <w:t>Emission Type</w:t>
            </w:r>
          </w:p>
        </w:tc>
        <w:tc>
          <w:tcPr>
            <w:tcW w:w="638" w:type="dxa"/>
            <w:tcBorders>
              <w:top w:val="single" w:sz="4" w:space="0" w:color="auto"/>
              <w:left w:val="nil"/>
              <w:bottom w:val="single" w:sz="4" w:space="0" w:color="auto"/>
              <w:right w:val="nil"/>
            </w:tcBorders>
            <w:shd w:val="clear" w:color="auto" w:fill="FFFFFF"/>
            <w:noWrap/>
            <w:vAlign w:val="bottom"/>
            <w:hideMark/>
          </w:tcPr>
          <w:p w:rsidR="00A01ECA" w:rsidRPr="001A48D3" w:rsidRDefault="00A01ECA" w:rsidP="00C4701A">
            <w:pPr>
              <w:spacing w:after="120"/>
              <w:jc w:val="right"/>
              <w:rPr>
                <w:b/>
                <w:bCs/>
                <w:color w:val="000000"/>
                <w:sz w:val="22"/>
              </w:rPr>
            </w:pPr>
            <w:r w:rsidRPr="001A48D3">
              <w:rPr>
                <w:b/>
                <w:bCs/>
                <w:color w:val="000000"/>
                <w:sz w:val="22"/>
              </w:rPr>
              <w:t>CO</w:t>
            </w:r>
          </w:p>
        </w:tc>
        <w:tc>
          <w:tcPr>
            <w:tcW w:w="1488" w:type="dxa"/>
            <w:tcBorders>
              <w:top w:val="single" w:sz="4" w:space="0" w:color="auto"/>
              <w:left w:val="nil"/>
              <w:bottom w:val="single" w:sz="4" w:space="0" w:color="auto"/>
              <w:right w:val="nil"/>
            </w:tcBorders>
            <w:shd w:val="clear" w:color="auto" w:fill="FFFFFF"/>
            <w:noWrap/>
            <w:vAlign w:val="bottom"/>
            <w:hideMark/>
          </w:tcPr>
          <w:p w:rsidR="00A01ECA" w:rsidRPr="001A48D3" w:rsidRDefault="00A01ECA" w:rsidP="00C4701A">
            <w:pPr>
              <w:spacing w:after="120"/>
              <w:jc w:val="right"/>
              <w:rPr>
                <w:b/>
                <w:bCs/>
                <w:color w:val="000000"/>
                <w:sz w:val="22"/>
              </w:rPr>
            </w:pPr>
            <w:r w:rsidRPr="001A48D3">
              <w:rPr>
                <w:b/>
                <w:bCs/>
                <w:color w:val="000000"/>
                <w:sz w:val="22"/>
              </w:rPr>
              <w:t>HC</w:t>
            </w:r>
          </w:p>
        </w:tc>
        <w:tc>
          <w:tcPr>
            <w:tcW w:w="1552" w:type="dxa"/>
            <w:tcBorders>
              <w:top w:val="single" w:sz="4" w:space="0" w:color="auto"/>
              <w:left w:val="nil"/>
              <w:bottom w:val="single" w:sz="4" w:space="0" w:color="auto"/>
              <w:right w:val="nil"/>
            </w:tcBorders>
            <w:shd w:val="clear" w:color="auto" w:fill="FFFFFF"/>
            <w:noWrap/>
            <w:vAlign w:val="bottom"/>
            <w:hideMark/>
          </w:tcPr>
          <w:p w:rsidR="00A01ECA" w:rsidRPr="001A48D3" w:rsidRDefault="00A01ECA" w:rsidP="00C4701A">
            <w:pPr>
              <w:spacing w:after="120"/>
              <w:jc w:val="right"/>
              <w:rPr>
                <w:b/>
                <w:bCs/>
                <w:color w:val="000000"/>
                <w:sz w:val="22"/>
              </w:rPr>
            </w:pPr>
            <w:r w:rsidRPr="001A48D3">
              <w:rPr>
                <w:b/>
                <w:bCs/>
                <w:color w:val="000000"/>
                <w:sz w:val="22"/>
              </w:rPr>
              <w:t>NO</w:t>
            </w:r>
            <w:r w:rsidRPr="001A48D3">
              <w:rPr>
                <w:b/>
                <w:bCs/>
                <w:color w:val="000000"/>
                <w:sz w:val="22"/>
                <w:vertAlign w:val="subscript"/>
              </w:rPr>
              <w:t>x</w:t>
            </w:r>
          </w:p>
        </w:tc>
        <w:tc>
          <w:tcPr>
            <w:tcW w:w="1566" w:type="dxa"/>
            <w:tcBorders>
              <w:top w:val="single" w:sz="4" w:space="0" w:color="auto"/>
              <w:left w:val="nil"/>
              <w:bottom w:val="single" w:sz="4" w:space="0" w:color="auto"/>
              <w:right w:val="nil"/>
            </w:tcBorders>
            <w:shd w:val="clear" w:color="auto" w:fill="FFFFFF"/>
            <w:noWrap/>
            <w:vAlign w:val="bottom"/>
            <w:hideMark/>
          </w:tcPr>
          <w:p w:rsidR="00A01ECA" w:rsidRPr="001A48D3" w:rsidRDefault="00A01ECA" w:rsidP="00C4701A">
            <w:pPr>
              <w:spacing w:after="120"/>
              <w:jc w:val="right"/>
              <w:rPr>
                <w:b/>
                <w:bCs/>
                <w:color w:val="000000"/>
                <w:sz w:val="22"/>
              </w:rPr>
            </w:pPr>
            <w:r w:rsidRPr="001A48D3">
              <w:rPr>
                <w:b/>
                <w:bCs/>
                <w:color w:val="000000"/>
                <w:sz w:val="22"/>
              </w:rPr>
              <w:t>PM</w:t>
            </w:r>
            <w:r w:rsidRPr="001A48D3">
              <w:rPr>
                <w:b/>
                <w:bCs/>
                <w:color w:val="000000"/>
                <w:sz w:val="22"/>
                <w:vertAlign w:val="subscript"/>
              </w:rPr>
              <w:t>10</w:t>
            </w:r>
          </w:p>
        </w:tc>
      </w:tr>
      <w:tr w:rsidR="00A01ECA" w:rsidRPr="001A48D3" w:rsidTr="00A01ECA">
        <w:trPr>
          <w:trHeight w:val="288"/>
        </w:trPr>
        <w:tc>
          <w:tcPr>
            <w:tcW w:w="2694" w:type="dxa"/>
            <w:tcBorders>
              <w:top w:val="single" w:sz="4" w:space="0" w:color="auto"/>
              <w:left w:val="nil"/>
              <w:bottom w:val="nil"/>
              <w:right w:val="nil"/>
            </w:tcBorders>
            <w:shd w:val="clear" w:color="000000" w:fill="F2F2F2"/>
            <w:noWrap/>
            <w:vAlign w:val="bottom"/>
            <w:hideMark/>
          </w:tcPr>
          <w:p w:rsidR="00A01ECA" w:rsidRPr="001A48D3" w:rsidRDefault="00A01ECA" w:rsidP="00C4701A">
            <w:pPr>
              <w:spacing w:after="120"/>
              <w:rPr>
                <w:color w:val="3F3151"/>
                <w:sz w:val="20"/>
              </w:rPr>
            </w:pPr>
            <w:r w:rsidRPr="001A48D3">
              <w:rPr>
                <w:color w:val="3F3151"/>
                <w:sz w:val="20"/>
              </w:rPr>
              <w:t>Coffey Geosciences (2003)</w:t>
            </w:r>
          </w:p>
        </w:tc>
        <w:tc>
          <w:tcPr>
            <w:tcW w:w="638" w:type="dxa"/>
            <w:tcBorders>
              <w:top w:val="single" w:sz="4" w:space="0" w:color="auto"/>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13</w:t>
            </w:r>
          </w:p>
        </w:tc>
        <w:tc>
          <w:tcPr>
            <w:tcW w:w="1488" w:type="dxa"/>
            <w:tcBorders>
              <w:top w:val="single" w:sz="4" w:space="0" w:color="auto"/>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2,200</w:t>
            </w:r>
          </w:p>
        </w:tc>
        <w:tc>
          <w:tcPr>
            <w:tcW w:w="1552" w:type="dxa"/>
            <w:tcBorders>
              <w:top w:val="single" w:sz="4" w:space="0" w:color="auto"/>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59</w:t>
            </w:r>
          </w:p>
        </w:tc>
        <w:tc>
          <w:tcPr>
            <w:tcW w:w="1566" w:type="dxa"/>
            <w:tcBorders>
              <w:top w:val="single" w:sz="4" w:space="0" w:color="auto"/>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232,000</w:t>
            </w:r>
          </w:p>
        </w:tc>
      </w:tr>
      <w:tr w:rsidR="00A01ECA" w:rsidRPr="001A48D3" w:rsidTr="00A01ECA">
        <w:trPr>
          <w:trHeight w:val="288"/>
        </w:trPr>
        <w:tc>
          <w:tcPr>
            <w:tcW w:w="2694" w:type="dxa"/>
            <w:tcBorders>
              <w:top w:val="nil"/>
              <w:left w:val="nil"/>
              <w:bottom w:val="nil"/>
              <w:right w:val="nil"/>
            </w:tcBorders>
            <w:shd w:val="clear" w:color="000000" w:fill="FFFFFF"/>
            <w:noWrap/>
            <w:vAlign w:val="bottom"/>
            <w:hideMark/>
          </w:tcPr>
          <w:p w:rsidR="00A01ECA" w:rsidRPr="001A48D3" w:rsidRDefault="00A01ECA" w:rsidP="00C4701A">
            <w:pPr>
              <w:spacing w:after="120"/>
              <w:rPr>
                <w:color w:val="3F3151"/>
                <w:sz w:val="20"/>
              </w:rPr>
            </w:pPr>
            <w:proofErr w:type="spellStart"/>
            <w:r w:rsidRPr="001A48D3">
              <w:rPr>
                <w:color w:val="3F3151"/>
                <w:sz w:val="20"/>
              </w:rPr>
              <w:t>Watkiss</w:t>
            </w:r>
            <w:proofErr w:type="spellEnd"/>
            <w:r w:rsidRPr="001A48D3">
              <w:rPr>
                <w:color w:val="3F3151"/>
                <w:sz w:val="20"/>
              </w:rPr>
              <w:t xml:space="preserve"> (2002)</w:t>
            </w:r>
            <w:r w:rsidRPr="001A48D3">
              <w:rPr>
                <w:i/>
                <w:color w:val="3F3151"/>
                <w:sz w:val="20"/>
                <w:vertAlign w:val="superscript"/>
              </w:rPr>
              <w:t>a</w:t>
            </w:r>
          </w:p>
        </w:tc>
        <w:tc>
          <w:tcPr>
            <w:tcW w:w="638" w:type="dxa"/>
            <w:tcBorders>
              <w:top w:val="nil"/>
              <w:left w:val="nil"/>
              <w:bottom w:val="nil"/>
              <w:right w:val="nil"/>
            </w:tcBorders>
            <w:shd w:val="clear" w:color="000000" w:fill="FFFFFF"/>
            <w:noWrap/>
            <w:vAlign w:val="bottom"/>
            <w:hideMark/>
          </w:tcPr>
          <w:p w:rsidR="00A01ECA" w:rsidRPr="001A48D3" w:rsidRDefault="00A01ECA" w:rsidP="00C4701A">
            <w:pPr>
              <w:spacing w:after="120"/>
              <w:jc w:val="right"/>
              <w:rPr>
                <w:color w:val="3F3151"/>
                <w:sz w:val="20"/>
              </w:rPr>
            </w:pPr>
            <w:r w:rsidRPr="001A48D3">
              <w:rPr>
                <w:color w:val="3F3151"/>
                <w:sz w:val="20"/>
              </w:rPr>
              <w:t>2</w:t>
            </w:r>
          </w:p>
        </w:tc>
        <w:tc>
          <w:tcPr>
            <w:tcW w:w="1488" w:type="dxa"/>
            <w:tcBorders>
              <w:top w:val="nil"/>
              <w:left w:val="nil"/>
              <w:bottom w:val="nil"/>
              <w:right w:val="nil"/>
            </w:tcBorders>
            <w:shd w:val="clear" w:color="000000" w:fill="FFFFFF"/>
            <w:noWrap/>
            <w:vAlign w:val="bottom"/>
            <w:hideMark/>
          </w:tcPr>
          <w:p w:rsidR="00A01ECA" w:rsidRPr="001A48D3" w:rsidRDefault="00A01ECA" w:rsidP="00C4701A">
            <w:pPr>
              <w:spacing w:after="120"/>
              <w:jc w:val="right"/>
              <w:rPr>
                <w:color w:val="3F3151"/>
                <w:sz w:val="20"/>
              </w:rPr>
            </w:pPr>
            <w:r w:rsidRPr="001A48D3">
              <w:rPr>
                <w:color w:val="3F3151"/>
                <w:sz w:val="20"/>
              </w:rPr>
              <w:t>875</w:t>
            </w:r>
          </w:p>
        </w:tc>
        <w:tc>
          <w:tcPr>
            <w:tcW w:w="1552" w:type="dxa"/>
            <w:tcBorders>
              <w:top w:val="nil"/>
              <w:left w:val="nil"/>
              <w:bottom w:val="nil"/>
              <w:right w:val="nil"/>
            </w:tcBorders>
            <w:shd w:val="clear" w:color="000000" w:fill="FFFFFF"/>
            <w:noWrap/>
            <w:vAlign w:val="bottom"/>
            <w:hideMark/>
          </w:tcPr>
          <w:p w:rsidR="00A01ECA" w:rsidRPr="001A48D3" w:rsidRDefault="00A01ECA" w:rsidP="00C4701A">
            <w:pPr>
              <w:spacing w:after="120"/>
              <w:jc w:val="right"/>
              <w:rPr>
                <w:color w:val="3F3151"/>
                <w:sz w:val="20"/>
              </w:rPr>
            </w:pPr>
            <w:r w:rsidRPr="001A48D3">
              <w:rPr>
                <w:color w:val="3F3151"/>
                <w:sz w:val="20"/>
              </w:rPr>
              <w:t>1,750</w:t>
            </w:r>
          </w:p>
        </w:tc>
        <w:tc>
          <w:tcPr>
            <w:tcW w:w="1566" w:type="dxa"/>
            <w:tcBorders>
              <w:top w:val="nil"/>
              <w:left w:val="nil"/>
              <w:bottom w:val="nil"/>
              <w:right w:val="nil"/>
            </w:tcBorders>
            <w:shd w:val="clear" w:color="000000" w:fill="FFFFFF"/>
            <w:noWrap/>
            <w:vAlign w:val="bottom"/>
            <w:hideMark/>
          </w:tcPr>
          <w:p w:rsidR="00A01ECA" w:rsidRPr="001A48D3" w:rsidRDefault="00A01ECA" w:rsidP="00C4701A">
            <w:pPr>
              <w:spacing w:after="120"/>
              <w:jc w:val="right"/>
              <w:rPr>
                <w:color w:val="3F3151"/>
                <w:sz w:val="20"/>
              </w:rPr>
            </w:pPr>
            <w:r w:rsidRPr="001A48D3">
              <w:rPr>
                <w:color w:val="3F3151"/>
                <w:sz w:val="20"/>
              </w:rPr>
              <w:t>217,415</w:t>
            </w:r>
          </w:p>
        </w:tc>
      </w:tr>
      <w:tr w:rsidR="00A01ECA" w:rsidRPr="001A48D3" w:rsidTr="00A01ECA">
        <w:trPr>
          <w:trHeight w:val="312"/>
        </w:trPr>
        <w:tc>
          <w:tcPr>
            <w:tcW w:w="2694" w:type="dxa"/>
            <w:tcBorders>
              <w:top w:val="nil"/>
              <w:left w:val="nil"/>
              <w:bottom w:val="nil"/>
              <w:right w:val="nil"/>
            </w:tcBorders>
            <w:shd w:val="clear" w:color="000000" w:fill="F2F2F2"/>
            <w:noWrap/>
            <w:vAlign w:val="bottom"/>
            <w:hideMark/>
          </w:tcPr>
          <w:p w:rsidR="00A01ECA" w:rsidRPr="001A48D3" w:rsidRDefault="00A01ECA" w:rsidP="00C4701A">
            <w:pPr>
              <w:spacing w:after="120"/>
              <w:rPr>
                <w:color w:val="3F3151"/>
                <w:sz w:val="20"/>
              </w:rPr>
            </w:pPr>
            <w:r w:rsidRPr="001A48D3">
              <w:rPr>
                <w:color w:val="3F3151"/>
                <w:sz w:val="20"/>
              </w:rPr>
              <w:t>Beer (2002) – Ozone included</w:t>
            </w:r>
          </w:p>
        </w:tc>
        <w:tc>
          <w:tcPr>
            <w:tcW w:w="638"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 </w:t>
            </w:r>
          </w:p>
        </w:tc>
        <w:tc>
          <w:tcPr>
            <w:tcW w:w="1488"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 </w:t>
            </w:r>
          </w:p>
        </w:tc>
        <w:tc>
          <w:tcPr>
            <w:tcW w:w="1552"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 </w:t>
            </w:r>
          </w:p>
        </w:tc>
        <w:tc>
          <w:tcPr>
            <w:tcW w:w="1566"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 </w:t>
            </w:r>
          </w:p>
        </w:tc>
      </w:tr>
      <w:tr w:rsidR="00A01ECA" w:rsidRPr="001A48D3" w:rsidTr="00A01ECA">
        <w:trPr>
          <w:trHeight w:val="300"/>
        </w:trPr>
        <w:tc>
          <w:tcPr>
            <w:tcW w:w="2694" w:type="dxa"/>
            <w:tcBorders>
              <w:top w:val="nil"/>
              <w:left w:val="nil"/>
              <w:bottom w:val="nil"/>
              <w:right w:val="nil"/>
            </w:tcBorders>
            <w:shd w:val="clear" w:color="000000" w:fill="F2F2F2"/>
            <w:noWrap/>
            <w:vAlign w:val="bottom"/>
            <w:hideMark/>
          </w:tcPr>
          <w:p w:rsidR="00A01ECA" w:rsidRPr="001A48D3" w:rsidRDefault="00A01ECA" w:rsidP="00C4701A">
            <w:pPr>
              <w:spacing w:after="120"/>
              <w:ind w:firstLineChars="200" w:firstLine="400"/>
              <w:rPr>
                <w:color w:val="3F3151"/>
                <w:sz w:val="20"/>
              </w:rPr>
            </w:pPr>
            <w:r w:rsidRPr="001A48D3">
              <w:rPr>
                <w:color w:val="3F3151"/>
                <w:sz w:val="20"/>
              </w:rPr>
              <w:t>Upper bound</w:t>
            </w:r>
          </w:p>
        </w:tc>
        <w:tc>
          <w:tcPr>
            <w:tcW w:w="638"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9</w:t>
            </w:r>
          </w:p>
        </w:tc>
        <w:tc>
          <w:tcPr>
            <w:tcW w:w="1488"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72,500</w:t>
            </w:r>
          </w:p>
        </w:tc>
        <w:tc>
          <w:tcPr>
            <w:tcW w:w="1552"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900</w:t>
            </w:r>
          </w:p>
        </w:tc>
        <w:tc>
          <w:tcPr>
            <w:tcW w:w="1566"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221,100</w:t>
            </w:r>
          </w:p>
        </w:tc>
      </w:tr>
      <w:tr w:rsidR="00A01ECA" w:rsidRPr="001A48D3" w:rsidTr="00A01ECA">
        <w:trPr>
          <w:trHeight w:val="288"/>
        </w:trPr>
        <w:tc>
          <w:tcPr>
            <w:tcW w:w="2694" w:type="dxa"/>
            <w:tcBorders>
              <w:top w:val="nil"/>
              <w:left w:val="nil"/>
              <w:bottom w:val="nil"/>
              <w:right w:val="nil"/>
            </w:tcBorders>
            <w:shd w:val="clear" w:color="000000" w:fill="F2F2F2"/>
            <w:noWrap/>
            <w:vAlign w:val="bottom"/>
            <w:hideMark/>
          </w:tcPr>
          <w:p w:rsidR="00A01ECA" w:rsidRPr="001A48D3" w:rsidRDefault="00A01ECA" w:rsidP="00C4701A">
            <w:pPr>
              <w:spacing w:after="120"/>
              <w:ind w:firstLineChars="200" w:firstLine="400"/>
              <w:rPr>
                <w:color w:val="3F3151"/>
                <w:sz w:val="20"/>
              </w:rPr>
            </w:pPr>
            <w:r w:rsidRPr="001A48D3">
              <w:rPr>
                <w:color w:val="3F3151"/>
                <w:sz w:val="20"/>
              </w:rPr>
              <w:t>Best estimate</w:t>
            </w:r>
          </w:p>
        </w:tc>
        <w:tc>
          <w:tcPr>
            <w:tcW w:w="638"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3</w:t>
            </w:r>
          </w:p>
        </w:tc>
        <w:tc>
          <w:tcPr>
            <w:tcW w:w="1488"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19,331</w:t>
            </w:r>
          </w:p>
        </w:tc>
        <w:tc>
          <w:tcPr>
            <w:tcW w:w="1552"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870</w:t>
            </w:r>
          </w:p>
        </w:tc>
        <w:tc>
          <w:tcPr>
            <w:tcW w:w="1566"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147,429</w:t>
            </w:r>
          </w:p>
        </w:tc>
      </w:tr>
      <w:tr w:rsidR="00A01ECA" w:rsidRPr="001A48D3" w:rsidTr="00A01ECA">
        <w:trPr>
          <w:trHeight w:val="288"/>
        </w:trPr>
        <w:tc>
          <w:tcPr>
            <w:tcW w:w="2694" w:type="dxa"/>
            <w:tcBorders>
              <w:top w:val="nil"/>
              <w:left w:val="nil"/>
              <w:bottom w:val="nil"/>
              <w:right w:val="nil"/>
            </w:tcBorders>
            <w:shd w:val="clear" w:color="000000" w:fill="F2F2F2"/>
            <w:noWrap/>
            <w:vAlign w:val="bottom"/>
            <w:hideMark/>
          </w:tcPr>
          <w:p w:rsidR="00A01ECA" w:rsidRPr="001A48D3" w:rsidRDefault="00A01ECA" w:rsidP="00C4701A">
            <w:pPr>
              <w:spacing w:after="120"/>
              <w:ind w:firstLineChars="200" w:firstLine="400"/>
              <w:rPr>
                <w:color w:val="3F3151"/>
                <w:sz w:val="20"/>
              </w:rPr>
            </w:pPr>
            <w:r w:rsidRPr="001A48D3">
              <w:rPr>
                <w:color w:val="3F3151"/>
                <w:sz w:val="20"/>
              </w:rPr>
              <w:t>Lower bond</w:t>
            </w:r>
          </w:p>
        </w:tc>
        <w:tc>
          <w:tcPr>
            <w:tcW w:w="638"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2</w:t>
            </w:r>
          </w:p>
        </w:tc>
        <w:tc>
          <w:tcPr>
            <w:tcW w:w="1488"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11,700</w:t>
            </w:r>
          </w:p>
        </w:tc>
        <w:tc>
          <w:tcPr>
            <w:tcW w:w="1552"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280</w:t>
            </w:r>
          </w:p>
        </w:tc>
        <w:tc>
          <w:tcPr>
            <w:tcW w:w="1566"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108,300</w:t>
            </w:r>
          </w:p>
        </w:tc>
      </w:tr>
      <w:tr w:rsidR="00A01ECA" w:rsidRPr="001A48D3" w:rsidTr="00A01ECA">
        <w:trPr>
          <w:trHeight w:val="288"/>
        </w:trPr>
        <w:tc>
          <w:tcPr>
            <w:tcW w:w="2694" w:type="dxa"/>
            <w:tcBorders>
              <w:top w:val="nil"/>
              <w:left w:val="nil"/>
              <w:bottom w:val="nil"/>
              <w:right w:val="nil"/>
            </w:tcBorders>
            <w:shd w:val="clear" w:color="000000" w:fill="F2F2F2"/>
            <w:noWrap/>
            <w:vAlign w:val="bottom"/>
            <w:hideMark/>
          </w:tcPr>
          <w:p w:rsidR="00A01ECA" w:rsidRPr="001A48D3" w:rsidRDefault="00A01ECA" w:rsidP="00C4701A">
            <w:pPr>
              <w:spacing w:after="120"/>
              <w:rPr>
                <w:color w:val="3F3151"/>
                <w:sz w:val="20"/>
              </w:rPr>
            </w:pPr>
            <w:r w:rsidRPr="001A48D3">
              <w:rPr>
                <w:color w:val="3F3151"/>
                <w:sz w:val="20"/>
              </w:rPr>
              <w:t>Beer (2002) – Ozone excluded</w:t>
            </w:r>
          </w:p>
        </w:tc>
        <w:tc>
          <w:tcPr>
            <w:tcW w:w="638"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3</w:t>
            </w:r>
          </w:p>
        </w:tc>
        <w:tc>
          <w:tcPr>
            <w:tcW w:w="1488"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18,719</w:t>
            </w:r>
          </w:p>
        </w:tc>
        <w:tc>
          <w:tcPr>
            <w:tcW w:w="1552"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11</w:t>
            </w:r>
          </w:p>
        </w:tc>
        <w:tc>
          <w:tcPr>
            <w:tcW w:w="1566" w:type="dxa"/>
            <w:tcBorders>
              <w:top w:val="nil"/>
              <w:left w:val="nil"/>
              <w:bottom w:val="nil"/>
              <w:right w:val="nil"/>
            </w:tcBorders>
            <w:shd w:val="clear" w:color="000000" w:fill="F2F2F2"/>
            <w:noWrap/>
            <w:vAlign w:val="bottom"/>
            <w:hideMark/>
          </w:tcPr>
          <w:p w:rsidR="00A01ECA" w:rsidRPr="001A48D3" w:rsidRDefault="00A01ECA" w:rsidP="00C4701A">
            <w:pPr>
              <w:spacing w:after="120"/>
              <w:jc w:val="right"/>
              <w:rPr>
                <w:color w:val="3F3151"/>
                <w:sz w:val="20"/>
              </w:rPr>
            </w:pPr>
            <w:r w:rsidRPr="001A48D3">
              <w:rPr>
                <w:color w:val="3F3151"/>
                <w:sz w:val="20"/>
              </w:rPr>
              <w:t>147,429</w:t>
            </w:r>
          </w:p>
        </w:tc>
      </w:tr>
      <w:tr w:rsidR="00A01ECA" w:rsidRPr="001A48D3" w:rsidTr="00A01ECA">
        <w:trPr>
          <w:trHeight w:val="288"/>
        </w:trPr>
        <w:tc>
          <w:tcPr>
            <w:tcW w:w="2694" w:type="dxa"/>
            <w:tcBorders>
              <w:top w:val="nil"/>
              <w:left w:val="nil"/>
              <w:bottom w:val="nil"/>
              <w:right w:val="nil"/>
            </w:tcBorders>
            <w:shd w:val="clear" w:color="000000" w:fill="FFFFFF"/>
            <w:noWrap/>
            <w:vAlign w:val="bottom"/>
            <w:hideMark/>
          </w:tcPr>
          <w:p w:rsidR="00A01ECA" w:rsidRPr="001A48D3" w:rsidRDefault="00A01ECA" w:rsidP="00C4701A">
            <w:pPr>
              <w:spacing w:after="120"/>
              <w:rPr>
                <w:color w:val="3F3151"/>
                <w:sz w:val="20"/>
              </w:rPr>
            </w:pPr>
            <w:r w:rsidRPr="001A48D3">
              <w:rPr>
                <w:color w:val="3F3151"/>
                <w:sz w:val="20"/>
              </w:rPr>
              <w:t>BTRE (2005)</w:t>
            </w:r>
          </w:p>
        </w:tc>
        <w:tc>
          <w:tcPr>
            <w:tcW w:w="638" w:type="dxa"/>
            <w:tcBorders>
              <w:top w:val="nil"/>
              <w:left w:val="nil"/>
              <w:bottom w:val="nil"/>
              <w:right w:val="nil"/>
            </w:tcBorders>
            <w:shd w:val="clear" w:color="000000" w:fill="FFFFFF"/>
            <w:noWrap/>
            <w:vAlign w:val="bottom"/>
            <w:hideMark/>
          </w:tcPr>
          <w:p w:rsidR="00A01ECA" w:rsidRPr="001A48D3" w:rsidRDefault="00A01ECA" w:rsidP="00C4701A">
            <w:pPr>
              <w:spacing w:after="120"/>
              <w:jc w:val="right"/>
              <w:rPr>
                <w:color w:val="3F3151"/>
                <w:sz w:val="20"/>
              </w:rPr>
            </w:pPr>
            <w:proofErr w:type="spellStart"/>
            <w:r w:rsidRPr="001A48D3">
              <w:rPr>
                <w:color w:val="3F3151"/>
                <w:sz w:val="20"/>
              </w:rPr>
              <w:t>na</w:t>
            </w:r>
            <w:proofErr w:type="spellEnd"/>
          </w:p>
        </w:tc>
        <w:tc>
          <w:tcPr>
            <w:tcW w:w="1488" w:type="dxa"/>
            <w:tcBorders>
              <w:top w:val="nil"/>
              <w:left w:val="nil"/>
              <w:bottom w:val="nil"/>
              <w:right w:val="nil"/>
            </w:tcBorders>
            <w:shd w:val="clear" w:color="000000" w:fill="FFFFFF"/>
            <w:noWrap/>
            <w:vAlign w:val="bottom"/>
            <w:hideMark/>
          </w:tcPr>
          <w:p w:rsidR="00A01ECA" w:rsidRPr="001A48D3" w:rsidRDefault="00A01ECA" w:rsidP="00C4701A">
            <w:pPr>
              <w:spacing w:after="120"/>
              <w:jc w:val="right"/>
              <w:rPr>
                <w:color w:val="3F3151"/>
                <w:sz w:val="20"/>
              </w:rPr>
            </w:pPr>
            <w:proofErr w:type="spellStart"/>
            <w:r w:rsidRPr="001A48D3">
              <w:rPr>
                <w:color w:val="3F3151"/>
                <w:sz w:val="20"/>
              </w:rPr>
              <w:t>na</w:t>
            </w:r>
            <w:proofErr w:type="spellEnd"/>
          </w:p>
        </w:tc>
        <w:tc>
          <w:tcPr>
            <w:tcW w:w="1552" w:type="dxa"/>
            <w:tcBorders>
              <w:top w:val="nil"/>
              <w:left w:val="nil"/>
              <w:bottom w:val="nil"/>
              <w:right w:val="nil"/>
            </w:tcBorders>
            <w:shd w:val="clear" w:color="000000" w:fill="FFFFFF"/>
            <w:noWrap/>
            <w:vAlign w:val="bottom"/>
            <w:hideMark/>
          </w:tcPr>
          <w:p w:rsidR="00A01ECA" w:rsidRPr="001A48D3" w:rsidRDefault="00A01ECA" w:rsidP="00C4701A">
            <w:pPr>
              <w:spacing w:after="120"/>
              <w:jc w:val="right"/>
              <w:rPr>
                <w:color w:val="3F3151"/>
                <w:sz w:val="20"/>
              </w:rPr>
            </w:pPr>
            <w:proofErr w:type="spellStart"/>
            <w:r w:rsidRPr="001A48D3">
              <w:rPr>
                <w:color w:val="3F3151"/>
                <w:sz w:val="20"/>
              </w:rPr>
              <w:t>na</w:t>
            </w:r>
            <w:proofErr w:type="spellEnd"/>
          </w:p>
        </w:tc>
        <w:tc>
          <w:tcPr>
            <w:tcW w:w="1566" w:type="dxa"/>
            <w:tcBorders>
              <w:top w:val="nil"/>
              <w:left w:val="nil"/>
              <w:bottom w:val="nil"/>
              <w:right w:val="nil"/>
            </w:tcBorders>
            <w:shd w:val="clear" w:color="000000" w:fill="FFFFFF"/>
            <w:noWrap/>
            <w:vAlign w:val="bottom"/>
            <w:hideMark/>
          </w:tcPr>
          <w:p w:rsidR="00A01ECA" w:rsidRPr="001A48D3" w:rsidRDefault="00A01ECA" w:rsidP="00C4701A">
            <w:pPr>
              <w:spacing w:after="120"/>
              <w:jc w:val="right"/>
              <w:rPr>
                <w:color w:val="3F3151"/>
                <w:sz w:val="20"/>
              </w:rPr>
            </w:pPr>
            <w:r w:rsidRPr="001A48D3">
              <w:rPr>
                <w:color w:val="3F3151"/>
                <w:sz w:val="20"/>
              </w:rPr>
              <w:t>167,626</w:t>
            </w:r>
            <w:r w:rsidRPr="001A48D3">
              <w:rPr>
                <w:i/>
                <w:color w:val="3F3151"/>
                <w:sz w:val="20"/>
                <w:vertAlign w:val="superscript"/>
              </w:rPr>
              <w:t xml:space="preserve"> b</w:t>
            </w:r>
          </w:p>
        </w:tc>
      </w:tr>
      <w:tr w:rsidR="00A01ECA" w:rsidRPr="001A48D3" w:rsidTr="00A01ECA">
        <w:trPr>
          <w:trHeight w:val="288"/>
        </w:trPr>
        <w:tc>
          <w:tcPr>
            <w:tcW w:w="2694" w:type="dxa"/>
            <w:tcBorders>
              <w:top w:val="nil"/>
              <w:left w:val="nil"/>
              <w:bottom w:val="nil"/>
              <w:right w:val="nil"/>
            </w:tcBorders>
            <w:shd w:val="clear" w:color="auto" w:fill="F2F2F2"/>
            <w:noWrap/>
            <w:vAlign w:val="bottom"/>
            <w:hideMark/>
          </w:tcPr>
          <w:p w:rsidR="00A01ECA" w:rsidRPr="001A48D3" w:rsidRDefault="00A01ECA" w:rsidP="00C4701A">
            <w:pPr>
              <w:spacing w:after="120"/>
              <w:rPr>
                <w:color w:val="3F3151"/>
                <w:sz w:val="20"/>
              </w:rPr>
            </w:pPr>
            <w:r w:rsidRPr="001A48D3">
              <w:rPr>
                <w:color w:val="3F3151"/>
                <w:sz w:val="20"/>
              </w:rPr>
              <w:t>Environment Australia (2000)</w:t>
            </w:r>
          </w:p>
        </w:tc>
        <w:tc>
          <w:tcPr>
            <w:tcW w:w="638" w:type="dxa"/>
            <w:tcBorders>
              <w:top w:val="nil"/>
              <w:left w:val="nil"/>
              <w:bottom w:val="nil"/>
              <w:right w:val="nil"/>
            </w:tcBorders>
            <w:shd w:val="clear" w:color="auto" w:fill="F2F2F2"/>
            <w:noWrap/>
            <w:vAlign w:val="bottom"/>
            <w:hideMark/>
          </w:tcPr>
          <w:p w:rsidR="00A01ECA" w:rsidRPr="001A48D3" w:rsidRDefault="00A01ECA" w:rsidP="00C4701A">
            <w:pPr>
              <w:spacing w:after="120"/>
              <w:jc w:val="right"/>
              <w:rPr>
                <w:color w:val="3F3151"/>
                <w:sz w:val="20"/>
              </w:rPr>
            </w:pPr>
            <w:r w:rsidRPr="001A48D3">
              <w:rPr>
                <w:color w:val="3F3151"/>
                <w:sz w:val="20"/>
              </w:rPr>
              <w:t>12</w:t>
            </w:r>
          </w:p>
        </w:tc>
        <w:tc>
          <w:tcPr>
            <w:tcW w:w="1488" w:type="dxa"/>
            <w:tcBorders>
              <w:top w:val="nil"/>
              <w:left w:val="nil"/>
              <w:bottom w:val="nil"/>
              <w:right w:val="nil"/>
            </w:tcBorders>
            <w:shd w:val="clear" w:color="auto" w:fill="F2F2F2"/>
            <w:noWrap/>
            <w:vAlign w:val="bottom"/>
            <w:hideMark/>
          </w:tcPr>
          <w:p w:rsidR="00A01ECA" w:rsidRPr="001A48D3" w:rsidRDefault="00A01ECA" w:rsidP="00C4701A">
            <w:pPr>
              <w:spacing w:after="120"/>
              <w:jc w:val="right"/>
              <w:rPr>
                <w:color w:val="3F3151"/>
                <w:sz w:val="20"/>
              </w:rPr>
            </w:pPr>
            <w:r w:rsidRPr="001A48D3">
              <w:rPr>
                <w:color w:val="3F3151"/>
                <w:sz w:val="20"/>
              </w:rPr>
              <w:t>1,440</w:t>
            </w:r>
          </w:p>
        </w:tc>
        <w:tc>
          <w:tcPr>
            <w:tcW w:w="1552" w:type="dxa"/>
            <w:tcBorders>
              <w:top w:val="nil"/>
              <w:left w:val="nil"/>
              <w:bottom w:val="nil"/>
              <w:right w:val="nil"/>
            </w:tcBorders>
            <w:shd w:val="clear" w:color="auto" w:fill="F2F2F2"/>
            <w:noWrap/>
            <w:vAlign w:val="bottom"/>
            <w:hideMark/>
          </w:tcPr>
          <w:p w:rsidR="00A01ECA" w:rsidRPr="001A48D3" w:rsidRDefault="00A01ECA" w:rsidP="00C4701A">
            <w:pPr>
              <w:spacing w:after="120"/>
              <w:jc w:val="right"/>
              <w:rPr>
                <w:color w:val="3F3151"/>
                <w:sz w:val="20"/>
              </w:rPr>
            </w:pPr>
            <w:r w:rsidRPr="001A48D3">
              <w:rPr>
                <w:color w:val="3F3151"/>
                <w:sz w:val="20"/>
              </w:rPr>
              <w:t>1,385</w:t>
            </w:r>
          </w:p>
        </w:tc>
        <w:tc>
          <w:tcPr>
            <w:tcW w:w="1566" w:type="dxa"/>
            <w:tcBorders>
              <w:top w:val="nil"/>
              <w:left w:val="nil"/>
              <w:bottom w:val="nil"/>
              <w:right w:val="nil"/>
            </w:tcBorders>
            <w:shd w:val="clear" w:color="auto" w:fill="F2F2F2"/>
            <w:noWrap/>
            <w:vAlign w:val="bottom"/>
            <w:hideMark/>
          </w:tcPr>
          <w:p w:rsidR="00A01ECA" w:rsidRPr="001A48D3" w:rsidRDefault="00A01ECA" w:rsidP="00C4701A">
            <w:pPr>
              <w:spacing w:after="120"/>
              <w:jc w:val="right"/>
              <w:rPr>
                <w:color w:val="3F3151"/>
                <w:sz w:val="20"/>
              </w:rPr>
            </w:pPr>
            <w:r w:rsidRPr="001A48D3">
              <w:rPr>
                <w:color w:val="3F3151"/>
                <w:sz w:val="20"/>
              </w:rPr>
              <w:t>17,600</w:t>
            </w:r>
          </w:p>
        </w:tc>
      </w:tr>
      <w:tr w:rsidR="00A01ECA" w:rsidRPr="001A48D3" w:rsidTr="00A01ECA">
        <w:trPr>
          <w:trHeight w:val="360"/>
        </w:trPr>
        <w:tc>
          <w:tcPr>
            <w:tcW w:w="2694" w:type="dxa"/>
            <w:tcBorders>
              <w:top w:val="nil"/>
              <w:left w:val="nil"/>
              <w:right w:val="nil"/>
            </w:tcBorders>
            <w:shd w:val="clear" w:color="auto" w:fill="FFFFFF"/>
            <w:noWrap/>
            <w:vAlign w:val="bottom"/>
            <w:hideMark/>
          </w:tcPr>
          <w:p w:rsidR="00A01ECA" w:rsidRPr="001A48D3" w:rsidRDefault="00A01ECA" w:rsidP="00C4701A">
            <w:pPr>
              <w:spacing w:after="120"/>
              <w:rPr>
                <w:color w:val="3F3151"/>
                <w:sz w:val="20"/>
              </w:rPr>
            </w:pPr>
            <w:r w:rsidRPr="001A48D3">
              <w:rPr>
                <w:color w:val="3F3151"/>
                <w:sz w:val="20"/>
              </w:rPr>
              <w:t>NSW EPA (1998)</w:t>
            </w:r>
          </w:p>
        </w:tc>
        <w:tc>
          <w:tcPr>
            <w:tcW w:w="638" w:type="dxa"/>
            <w:tcBorders>
              <w:top w:val="nil"/>
              <w:left w:val="nil"/>
              <w:right w:val="nil"/>
            </w:tcBorders>
            <w:shd w:val="clear" w:color="auto" w:fill="FFFFFF"/>
            <w:noWrap/>
            <w:vAlign w:val="bottom"/>
            <w:hideMark/>
          </w:tcPr>
          <w:p w:rsidR="00A01ECA" w:rsidRPr="001A48D3" w:rsidRDefault="00A01ECA" w:rsidP="00C4701A">
            <w:pPr>
              <w:spacing w:after="120"/>
              <w:jc w:val="right"/>
              <w:rPr>
                <w:color w:val="3F3151"/>
                <w:sz w:val="20"/>
              </w:rPr>
            </w:pPr>
            <w:proofErr w:type="spellStart"/>
            <w:r w:rsidRPr="001A48D3">
              <w:rPr>
                <w:color w:val="3F3151"/>
                <w:sz w:val="20"/>
              </w:rPr>
              <w:t>na</w:t>
            </w:r>
            <w:proofErr w:type="spellEnd"/>
          </w:p>
        </w:tc>
        <w:tc>
          <w:tcPr>
            <w:tcW w:w="1488" w:type="dxa"/>
            <w:tcBorders>
              <w:top w:val="nil"/>
              <w:left w:val="nil"/>
              <w:right w:val="nil"/>
            </w:tcBorders>
            <w:shd w:val="clear" w:color="auto" w:fill="FFFFFF"/>
            <w:noWrap/>
            <w:vAlign w:val="bottom"/>
            <w:hideMark/>
          </w:tcPr>
          <w:p w:rsidR="00A01ECA" w:rsidRPr="001A48D3" w:rsidRDefault="00A01ECA" w:rsidP="00C4701A">
            <w:pPr>
              <w:spacing w:after="120"/>
              <w:jc w:val="right"/>
              <w:rPr>
                <w:color w:val="3F3151"/>
                <w:sz w:val="20"/>
              </w:rPr>
            </w:pPr>
            <w:proofErr w:type="spellStart"/>
            <w:r w:rsidRPr="001A48D3">
              <w:rPr>
                <w:color w:val="3F3151"/>
                <w:sz w:val="20"/>
              </w:rPr>
              <w:t>na</w:t>
            </w:r>
            <w:proofErr w:type="spellEnd"/>
          </w:p>
        </w:tc>
        <w:tc>
          <w:tcPr>
            <w:tcW w:w="1552" w:type="dxa"/>
            <w:tcBorders>
              <w:top w:val="nil"/>
              <w:left w:val="nil"/>
              <w:right w:val="nil"/>
            </w:tcBorders>
            <w:shd w:val="clear" w:color="auto" w:fill="FFFFFF"/>
            <w:noWrap/>
            <w:vAlign w:val="bottom"/>
            <w:hideMark/>
          </w:tcPr>
          <w:p w:rsidR="00A01ECA" w:rsidRPr="001A48D3" w:rsidRDefault="00A01ECA" w:rsidP="00C4701A">
            <w:pPr>
              <w:spacing w:after="120"/>
              <w:jc w:val="right"/>
              <w:rPr>
                <w:color w:val="3F3151"/>
                <w:sz w:val="20"/>
              </w:rPr>
            </w:pPr>
            <w:r w:rsidRPr="001A48D3">
              <w:rPr>
                <w:color w:val="3F3151"/>
                <w:sz w:val="20"/>
              </w:rPr>
              <w:t>68</w:t>
            </w:r>
          </w:p>
        </w:tc>
        <w:tc>
          <w:tcPr>
            <w:tcW w:w="1566" w:type="dxa"/>
            <w:tcBorders>
              <w:top w:val="nil"/>
              <w:left w:val="nil"/>
              <w:right w:val="nil"/>
            </w:tcBorders>
            <w:shd w:val="clear" w:color="auto" w:fill="FFFFFF"/>
            <w:noWrap/>
            <w:vAlign w:val="bottom"/>
            <w:hideMark/>
          </w:tcPr>
          <w:p w:rsidR="00A01ECA" w:rsidRPr="001A48D3" w:rsidRDefault="00A01ECA" w:rsidP="00C4701A">
            <w:pPr>
              <w:spacing w:after="120"/>
              <w:jc w:val="right"/>
              <w:rPr>
                <w:color w:val="3F3151"/>
                <w:sz w:val="20"/>
              </w:rPr>
            </w:pPr>
            <w:r w:rsidRPr="001A48D3">
              <w:rPr>
                <w:color w:val="3F3151"/>
                <w:sz w:val="20"/>
              </w:rPr>
              <w:t>310</w:t>
            </w:r>
          </w:p>
        </w:tc>
      </w:tr>
      <w:tr w:rsidR="00A01ECA" w:rsidRPr="001A48D3" w:rsidTr="00A01ECA">
        <w:trPr>
          <w:trHeight w:val="288"/>
        </w:trPr>
        <w:tc>
          <w:tcPr>
            <w:tcW w:w="2694" w:type="dxa"/>
            <w:tcBorders>
              <w:top w:val="nil"/>
              <w:left w:val="nil"/>
              <w:bottom w:val="single" w:sz="4" w:space="0" w:color="auto"/>
              <w:right w:val="nil"/>
            </w:tcBorders>
            <w:shd w:val="clear" w:color="auto" w:fill="F2F2F2"/>
            <w:noWrap/>
            <w:vAlign w:val="bottom"/>
            <w:hideMark/>
          </w:tcPr>
          <w:p w:rsidR="00A01ECA" w:rsidRPr="001A48D3" w:rsidRDefault="00A01ECA" w:rsidP="00C4701A">
            <w:pPr>
              <w:spacing w:after="120"/>
              <w:rPr>
                <w:color w:val="3F3151"/>
                <w:sz w:val="20"/>
              </w:rPr>
            </w:pPr>
            <w:r w:rsidRPr="001A48D3">
              <w:rPr>
                <w:color w:val="3F3151"/>
                <w:sz w:val="20"/>
              </w:rPr>
              <w:t>NSW EPA (1997)</w:t>
            </w:r>
          </w:p>
        </w:tc>
        <w:tc>
          <w:tcPr>
            <w:tcW w:w="638" w:type="dxa"/>
            <w:tcBorders>
              <w:top w:val="nil"/>
              <w:left w:val="nil"/>
              <w:bottom w:val="single" w:sz="4" w:space="0" w:color="auto"/>
              <w:right w:val="nil"/>
            </w:tcBorders>
            <w:shd w:val="clear" w:color="auto" w:fill="F2F2F2"/>
            <w:noWrap/>
            <w:vAlign w:val="bottom"/>
            <w:hideMark/>
          </w:tcPr>
          <w:p w:rsidR="00A01ECA" w:rsidRPr="001A48D3" w:rsidRDefault="00A01ECA" w:rsidP="00C4701A">
            <w:pPr>
              <w:spacing w:after="120"/>
              <w:jc w:val="right"/>
              <w:rPr>
                <w:color w:val="3F3151"/>
                <w:sz w:val="20"/>
              </w:rPr>
            </w:pPr>
            <w:r w:rsidRPr="001A48D3">
              <w:rPr>
                <w:color w:val="3F3151"/>
                <w:sz w:val="20"/>
              </w:rPr>
              <w:t>25</w:t>
            </w:r>
          </w:p>
        </w:tc>
        <w:tc>
          <w:tcPr>
            <w:tcW w:w="1488" w:type="dxa"/>
            <w:tcBorders>
              <w:top w:val="nil"/>
              <w:left w:val="nil"/>
              <w:bottom w:val="single" w:sz="4" w:space="0" w:color="auto"/>
              <w:right w:val="nil"/>
            </w:tcBorders>
            <w:shd w:val="clear" w:color="auto" w:fill="F2F2F2"/>
            <w:noWrap/>
            <w:vAlign w:val="bottom"/>
            <w:hideMark/>
          </w:tcPr>
          <w:p w:rsidR="00A01ECA" w:rsidRPr="001A48D3" w:rsidRDefault="00A01ECA" w:rsidP="00C4701A">
            <w:pPr>
              <w:spacing w:after="120"/>
              <w:jc w:val="right"/>
              <w:rPr>
                <w:color w:val="3F3151"/>
                <w:sz w:val="20"/>
              </w:rPr>
            </w:pPr>
            <w:r w:rsidRPr="001A48D3">
              <w:rPr>
                <w:color w:val="3F3151"/>
                <w:sz w:val="20"/>
              </w:rPr>
              <w:t>960</w:t>
            </w:r>
          </w:p>
        </w:tc>
        <w:tc>
          <w:tcPr>
            <w:tcW w:w="1552" w:type="dxa"/>
            <w:tcBorders>
              <w:top w:val="nil"/>
              <w:left w:val="nil"/>
              <w:bottom w:val="single" w:sz="4" w:space="0" w:color="auto"/>
              <w:right w:val="nil"/>
            </w:tcBorders>
            <w:shd w:val="clear" w:color="auto" w:fill="F2F2F2"/>
            <w:noWrap/>
            <w:vAlign w:val="bottom"/>
            <w:hideMark/>
          </w:tcPr>
          <w:p w:rsidR="00A01ECA" w:rsidRPr="001A48D3" w:rsidRDefault="00A01ECA" w:rsidP="00C4701A">
            <w:pPr>
              <w:spacing w:after="120"/>
              <w:jc w:val="right"/>
              <w:rPr>
                <w:color w:val="3F3151"/>
                <w:sz w:val="20"/>
              </w:rPr>
            </w:pPr>
            <w:r w:rsidRPr="001A48D3">
              <w:rPr>
                <w:color w:val="3F3151"/>
                <w:sz w:val="20"/>
              </w:rPr>
              <w:t>1,490</w:t>
            </w:r>
          </w:p>
        </w:tc>
        <w:tc>
          <w:tcPr>
            <w:tcW w:w="1566" w:type="dxa"/>
            <w:tcBorders>
              <w:top w:val="nil"/>
              <w:left w:val="nil"/>
              <w:bottom w:val="single" w:sz="4" w:space="0" w:color="auto"/>
              <w:right w:val="nil"/>
            </w:tcBorders>
            <w:shd w:val="clear" w:color="auto" w:fill="F2F2F2"/>
            <w:noWrap/>
            <w:vAlign w:val="bottom"/>
            <w:hideMark/>
          </w:tcPr>
          <w:p w:rsidR="00A01ECA" w:rsidRPr="001A48D3" w:rsidRDefault="00A01ECA" w:rsidP="00C4701A">
            <w:pPr>
              <w:spacing w:after="120"/>
              <w:jc w:val="right"/>
              <w:rPr>
                <w:color w:val="3F3151"/>
                <w:sz w:val="20"/>
              </w:rPr>
            </w:pPr>
            <w:r w:rsidRPr="001A48D3">
              <w:rPr>
                <w:color w:val="3F3151"/>
                <w:sz w:val="20"/>
              </w:rPr>
              <w:t>1,810</w:t>
            </w:r>
          </w:p>
        </w:tc>
      </w:tr>
    </w:tbl>
    <w:p w:rsidR="00A01ECA" w:rsidRPr="001A48D3" w:rsidRDefault="00A01ECA" w:rsidP="00C4701A">
      <w:pPr>
        <w:tabs>
          <w:tab w:val="left" w:pos="709"/>
          <w:tab w:val="left" w:pos="851"/>
        </w:tabs>
        <w:spacing w:after="120"/>
        <w:rPr>
          <w:i/>
          <w:sz w:val="16"/>
          <w:szCs w:val="16"/>
        </w:rPr>
      </w:pPr>
      <w:r w:rsidRPr="001A48D3">
        <w:rPr>
          <w:i/>
          <w:sz w:val="16"/>
          <w:szCs w:val="16"/>
        </w:rPr>
        <w:t>Note:</w:t>
      </w:r>
      <w:r w:rsidRPr="001A48D3">
        <w:rPr>
          <w:i/>
          <w:sz w:val="16"/>
          <w:szCs w:val="16"/>
        </w:rPr>
        <w:tab/>
      </w:r>
      <w:r w:rsidRPr="001A48D3">
        <w:rPr>
          <w:i/>
          <w:color w:val="3F3151"/>
          <w:sz w:val="16"/>
          <w:szCs w:val="16"/>
          <w:vertAlign w:val="superscript"/>
        </w:rPr>
        <w:t>a</w:t>
      </w:r>
      <w:r w:rsidRPr="001A48D3">
        <w:rPr>
          <w:i/>
          <w:sz w:val="16"/>
          <w:szCs w:val="16"/>
        </w:rPr>
        <w:tab/>
        <w:t xml:space="preserve">Simple average for inner and outer areas of major capital cities (see Table 3 for detailed </w:t>
      </w:r>
      <w:proofErr w:type="spellStart"/>
      <w:r w:rsidRPr="001A48D3">
        <w:rPr>
          <w:i/>
          <w:sz w:val="16"/>
          <w:szCs w:val="16"/>
        </w:rPr>
        <w:t>Watkiss</w:t>
      </w:r>
      <w:proofErr w:type="spellEnd"/>
      <w:r w:rsidRPr="001A48D3">
        <w:rPr>
          <w:i/>
          <w:sz w:val="16"/>
          <w:szCs w:val="16"/>
        </w:rPr>
        <w:t xml:space="preserve"> (2002) results).</w:t>
      </w:r>
    </w:p>
    <w:p w:rsidR="00A01ECA" w:rsidRPr="001A48D3" w:rsidRDefault="00A01ECA" w:rsidP="00C4701A">
      <w:pPr>
        <w:tabs>
          <w:tab w:val="left" w:pos="709"/>
          <w:tab w:val="left" w:pos="851"/>
        </w:tabs>
        <w:spacing w:after="120"/>
        <w:rPr>
          <w:i/>
          <w:sz w:val="16"/>
          <w:szCs w:val="16"/>
        </w:rPr>
      </w:pPr>
      <w:r w:rsidRPr="001A48D3">
        <w:rPr>
          <w:i/>
          <w:color w:val="3F3151"/>
          <w:sz w:val="16"/>
          <w:szCs w:val="16"/>
          <w:vertAlign w:val="superscript"/>
        </w:rPr>
        <w:tab/>
        <w:t>b</w:t>
      </w:r>
      <w:r w:rsidRPr="001A48D3">
        <w:rPr>
          <w:i/>
          <w:sz w:val="16"/>
          <w:szCs w:val="16"/>
        </w:rPr>
        <w:tab/>
        <w:t>Estimate for the year 2000, derived from results reported in BTRE (2005).</w:t>
      </w:r>
    </w:p>
    <w:p w:rsidR="00A01ECA" w:rsidRPr="001A48D3" w:rsidRDefault="00A01ECA" w:rsidP="00C4701A">
      <w:pPr>
        <w:spacing w:after="120"/>
        <w:rPr>
          <w:i/>
          <w:sz w:val="16"/>
          <w:szCs w:val="16"/>
        </w:rPr>
      </w:pPr>
      <w:r w:rsidRPr="001A48D3">
        <w:rPr>
          <w:i/>
          <w:sz w:val="16"/>
          <w:szCs w:val="16"/>
        </w:rPr>
        <w:t>Source:</w:t>
      </w:r>
      <w:r w:rsidRPr="001A48D3">
        <w:rPr>
          <w:i/>
          <w:sz w:val="16"/>
          <w:szCs w:val="16"/>
        </w:rPr>
        <w:tab/>
        <w:t xml:space="preserve">Coffey Geosciences (2003), </w:t>
      </w:r>
      <w:proofErr w:type="spellStart"/>
      <w:r w:rsidRPr="001A48D3">
        <w:rPr>
          <w:i/>
          <w:sz w:val="16"/>
          <w:szCs w:val="16"/>
        </w:rPr>
        <w:t>Watkiss</w:t>
      </w:r>
      <w:proofErr w:type="spellEnd"/>
      <w:r w:rsidRPr="001A48D3">
        <w:rPr>
          <w:i/>
          <w:sz w:val="16"/>
          <w:szCs w:val="16"/>
        </w:rPr>
        <w:t xml:space="preserve"> (2002) and BTRE (2005).</w:t>
      </w:r>
    </w:p>
    <w:p w:rsidR="00A01ECA" w:rsidRPr="001A48D3" w:rsidRDefault="00A01ECA" w:rsidP="001E1827">
      <w:pPr>
        <w:spacing w:before="240" w:after="120"/>
      </w:pPr>
      <w:r w:rsidRPr="001A48D3">
        <w:t>Coffey Geosciences (2003) is the first comprehensive benefit–cost analysis of the fuel quality and vehicle emissions standards in Australia. In estimating the health benefits of the new fuel quality and vehicle emissions standards, the study adopted a bottom-up approach that allowed explicit assumptions to be made in relation to a number of key parameters such as Relative Risk</w:t>
      </w:r>
      <w:r w:rsidRPr="001A48D3">
        <w:rPr>
          <w:rStyle w:val="FootnoteReference"/>
        </w:rPr>
        <w:footnoteReference w:id="91"/>
      </w:r>
      <w:r w:rsidRPr="001A48D3">
        <w:t xml:space="preserve"> and unit values of mortality and morbidity. For example, Coffey Geosciences (2003) assumed an exposure–response relationship value of 1.043 for long-term mortality in response to a change in 10ug/m</w:t>
      </w:r>
      <w:r w:rsidRPr="001A48D3">
        <w:rPr>
          <w:vertAlign w:val="superscript"/>
        </w:rPr>
        <w:t>3</w:t>
      </w:r>
      <w:r w:rsidRPr="001A48D3">
        <w:t xml:space="preserve"> concentration, which indicates that the number of deaths from all causes would rise to 1.043 times the current rate for a 10ug/m</w:t>
      </w:r>
      <w:r w:rsidRPr="001A48D3">
        <w:rPr>
          <w:vertAlign w:val="superscript"/>
        </w:rPr>
        <w:t>3</w:t>
      </w:r>
      <w:r w:rsidRPr="001A48D3">
        <w:t xml:space="preserve"> increase in average PM</w:t>
      </w:r>
      <w:r w:rsidRPr="001A48D3">
        <w:rPr>
          <w:vertAlign w:val="subscript"/>
        </w:rPr>
        <w:t>10</w:t>
      </w:r>
      <w:r w:rsidRPr="001A48D3">
        <w:t xml:space="preserve"> concentration. In terms of unit value for life, the study adopted a value of $5m, largely in line with those derived from the willingness-to-pay approach.</w:t>
      </w:r>
    </w:p>
    <w:p w:rsidR="00A01ECA" w:rsidRPr="001A48D3" w:rsidRDefault="00A01ECA" w:rsidP="00C4701A">
      <w:pPr>
        <w:spacing w:after="120"/>
      </w:pPr>
      <w:r w:rsidRPr="001A48D3">
        <w:t>The average health cost from PM</w:t>
      </w:r>
      <w:r w:rsidRPr="001A48D3">
        <w:rPr>
          <w:vertAlign w:val="subscript"/>
        </w:rPr>
        <w:t>10</w:t>
      </w:r>
      <w:r w:rsidRPr="001A48D3">
        <w:t xml:space="preserve"> for the eight Australian capital cities estimated by Coffey Geosciences (2003) was the highest ($232,000 per tonne) among the studies reviewed. Unfortunately, the study did not make any distinction in the average health cost between inner and outer areas of major capital cities nor between large and small capital cities. This </w:t>
      </w:r>
      <w:r w:rsidRPr="001A48D3">
        <w:lastRenderedPageBreak/>
        <w:t xml:space="preserve">gap in knowledge can be partially filled by relying on an earlier study undertaken by </w:t>
      </w:r>
      <w:proofErr w:type="spellStart"/>
      <w:r w:rsidRPr="001A48D3">
        <w:t>Watkiss</w:t>
      </w:r>
      <w:proofErr w:type="spellEnd"/>
      <w:r w:rsidRPr="001A48D3">
        <w:t xml:space="preserve"> (2002). </w:t>
      </w:r>
    </w:p>
    <w:p w:rsidR="00A01ECA" w:rsidRPr="001A48D3" w:rsidRDefault="00A01ECA" w:rsidP="00C4701A">
      <w:pPr>
        <w:spacing w:after="120"/>
      </w:pPr>
      <w:proofErr w:type="spellStart"/>
      <w:r w:rsidRPr="001A48D3">
        <w:t>Watkiss</w:t>
      </w:r>
      <w:proofErr w:type="spellEnd"/>
      <w:r w:rsidRPr="001A48D3">
        <w:t xml:space="preserve"> (2002) estimated air pollution costs in Australia by transferring European health cost estimates from the </w:t>
      </w:r>
      <w:proofErr w:type="spellStart"/>
      <w:r w:rsidRPr="001A48D3">
        <w:t>ExternE</w:t>
      </w:r>
      <w:proofErr w:type="spellEnd"/>
      <w:r w:rsidRPr="001A48D3">
        <w:t xml:space="preserve"> study</w:t>
      </w:r>
      <w:r w:rsidRPr="001A48D3">
        <w:rPr>
          <w:rStyle w:val="FootnoteReference"/>
        </w:rPr>
        <w:footnoteReference w:id="92"/>
      </w:r>
      <w:r w:rsidRPr="001A48D3">
        <w:t xml:space="preserve">, adjusted for the demographic characteristics of Australian urban areas. Based on European data, </w:t>
      </w:r>
      <w:proofErr w:type="spellStart"/>
      <w:r w:rsidRPr="001A48D3">
        <w:t>Watkiss</w:t>
      </w:r>
      <w:proofErr w:type="spellEnd"/>
      <w:r w:rsidRPr="001A48D3">
        <w:t xml:space="preserve"> (2002) estimated the relationship between average emission costs and population density and provided separate unit health cost estimates that vary according to population density. For conservative pollutants, costs per tonne emitted are proportional to population density, and for ozone precursors, costs per tonne are equal throughout the metropolitan areas of the capital cities and zero elsewhere.</w:t>
      </w:r>
    </w:p>
    <w:p w:rsidR="00A01ECA" w:rsidRPr="001A48D3" w:rsidRDefault="00A01ECA" w:rsidP="00C4701A">
      <w:pPr>
        <w:spacing w:after="120"/>
      </w:pPr>
      <w:r w:rsidRPr="001A48D3">
        <w:t xml:space="preserve">Table 3 presents the detailed results from </w:t>
      </w:r>
      <w:proofErr w:type="spellStart"/>
      <w:r w:rsidRPr="001A48D3">
        <w:t>Watkiss</w:t>
      </w:r>
      <w:proofErr w:type="spellEnd"/>
      <w:r w:rsidRPr="001A48D3">
        <w:t xml:space="preserve"> (2002) for average health costs from air pollutants by area. For particles, which are the dominant source of health impact, the unit health cost estimate for major cities is roughly of the same order of magnitude ($217,415=[$341,650+$93,180]/2) as some other Australian studies such as Coffey (2003) and Beer (2002), although it can vary significantly within the major capital cities. </w:t>
      </w:r>
    </w:p>
    <w:p w:rsidR="00A01ECA" w:rsidRPr="001A48D3" w:rsidRDefault="00A01ECA" w:rsidP="00B52F7D">
      <w:pPr>
        <w:pStyle w:val="Heading3"/>
      </w:pPr>
      <w:bookmarkStart w:id="142" w:name="_Toc430182598"/>
      <w:r w:rsidRPr="001A48D3">
        <w:t>Table 3</w:t>
      </w:r>
      <w:r w:rsidRPr="001A48D3">
        <w:tab/>
        <w:t>Average health cost ($/tonne of emissions) by area</w:t>
      </w:r>
      <w:bookmarkEnd w:id="142"/>
    </w:p>
    <w:tbl>
      <w:tblPr>
        <w:tblW w:w="8080" w:type="dxa"/>
        <w:tblInd w:w="108" w:type="dxa"/>
        <w:tblLook w:val="04A0" w:firstRow="1" w:lastRow="0" w:firstColumn="1" w:lastColumn="0" w:noHBand="0" w:noVBand="1"/>
      </w:tblPr>
      <w:tblGrid>
        <w:gridCol w:w="1418"/>
        <w:gridCol w:w="142"/>
        <w:gridCol w:w="2409"/>
        <w:gridCol w:w="1418"/>
        <w:gridCol w:w="1701"/>
        <w:gridCol w:w="1131"/>
      </w:tblGrid>
      <w:tr w:rsidR="00A01ECA" w:rsidRPr="001A48D3" w:rsidTr="00A01ECA">
        <w:trPr>
          <w:trHeight w:val="288"/>
        </w:trPr>
        <w:tc>
          <w:tcPr>
            <w:tcW w:w="1560" w:type="dxa"/>
            <w:gridSpan w:val="2"/>
            <w:tcBorders>
              <w:top w:val="single" w:sz="4" w:space="0" w:color="auto"/>
              <w:left w:val="nil"/>
              <w:bottom w:val="nil"/>
              <w:right w:val="nil"/>
            </w:tcBorders>
            <w:shd w:val="clear" w:color="auto" w:fill="FFFFFF"/>
            <w:noWrap/>
            <w:vAlign w:val="bottom"/>
            <w:hideMark/>
          </w:tcPr>
          <w:p w:rsidR="00A01ECA" w:rsidRPr="001A48D3" w:rsidRDefault="00A01ECA" w:rsidP="00C4701A">
            <w:pPr>
              <w:spacing w:after="120"/>
              <w:rPr>
                <w:color w:val="000000"/>
                <w:sz w:val="22"/>
              </w:rPr>
            </w:pPr>
            <w:r w:rsidRPr="001A48D3">
              <w:rPr>
                <w:color w:val="000000"/>
                <w:sz w:val="22"/>
              </w:rPr>
              <w:t>Emission Type</w:t>
            </w:r>
          </w:p>
        </w:tc>
        <w:tc>
          <w:tcPr>
            <w:tcW w:w="2409" w:type="dxa"/>
            <w:tcBorders>
              <w:top w:val="single" w:sz="4" w:space="0" w:color="auto"/>
              <w:left w:val="nil"/>
              <w:bottom w:val="nil"/>
              <w:right w:val="nil"/>
            </w:tcBorders>
            <w:shd w:val="clear" w:color="auto" w:fill="FFFFFF"/>
            <w:noWrap/>
            <w:vAlign w:val="bottom"/>
            <w:hideMark/>
          </w:tcPr>
          <w:p w:rsidR="00A01ECA" w:rsidRPr="001A48D3" w:rsidRDefault="00A01ECA" w:rsidP="00C4701A">
            <w:pPr>
              <w:spacing w:after="120"/>
              <w:jc w:val="center"/>
              <w:rPr>
                <w:color w:val="000000"/>
                <w:sz w:val="22"/>
              </w:rPr>
            </w:pPr>
            <w:r w:rsidRPr="001A48D3">
              <w:rPr>
                <w:color w:val="000000"/>
                <w:sz w:val="22"/>
              </w:rPr>
              <w:t>Band 1</w:t>
            </w:r>
          </w:p>
        </w:tc>
        <w:tc>
          <w:tcPr>
            <w:tcW w:w="1418" w:type="dxa"/>
            <w:tcBorders>
              <w:top w:val="single" w:sz="4" w:space="0" w:color="auto"/>
              <w:left w:val="nil"/>
              <w:bottom w:val="nil"/>
              <w:right w:val="nil"/>
            </w:tcBorders>
            <w:shd w:val="clear" w:color="auto" w:fill="FFFFFF"/>
            <w:noWrap/>
            <w:vAlign w:val="bottom"/>
            <w:hideMark/>
          </w:tcPr>
          <w:p w:rsidR="00A01ECA" w:rsidRPr="001A48D3" w:rsidRDefault="00A01ECA" w:rsidP="00C4701A">
            <w:pPr>
              <w:spacing w:after="120"/>
              <w:jc w:val="center"/>
              <w:rPr>
                <w:color w:val="000000"/>
                <w:sz w:val="22"/>
              </w:rPr>
            </w:pPr>
            <w:r w:rsidRPr="001A48D3">
              <w:rPr>
                <w:color w:val="000000"/>
                <w:sz w:val="22"/>
              </w:rPr>
              <w:t>Band 2</w:t>
            </w:r>
          </w:p>
        </w:tc>
        <w:tc>
          <w:tcPr>
            <w:tcW w:w="1701" w:type="dxa"/>
            <w:tcBorders>
              <w:top w:val="single" w:sz="4" w:space="0" w:color="auto"/>
              <w:left w:val="nil"/>
              <w:bottom w:val="nil"/>
              <w:right w:val="nil"/>
            </w:tcBorders>
            <w:shd w:val="clear" w:color="auto" w:fill="FFFFFF"/>
            <w:noWrap/>
            <w:vAlign w:val="bottom"/>
            <w:hideMark/>
          </w:tcPr>
          <w:p w:rsidR="00A01ECA" w:rsidRPr="001A48D3" w:rsidRDefault="00A01ECA" w:rsidP="00C4701A">
            <w:pPr>
              <w:spacing w:after="120"/>
              <w:jc w:val="center"/>
              <w:rPr>
                <w:color w:val="000000"/>
                <w:sz w:val="22"/>
              </w:rPr>
            </w:pPr>
            <w:r w:rsidRPr="001A48D3">
              <w:rPr>
                <w:color w:val="000000"/>
                <w:sz w:val="22"/>
              </w:rPr>
              <w:t>Band 3</w:t>
            </w:r>
          </w:p>
        </w:tc>
        <w:tc>
          <w:tcPr>
            <w:tcW w:w="992" w:type="dxa"/>
            <w:tcBorders>
              <w:top w:val="single" w:sz="4" w:space="0" w:color="auto"/>
              <w:left w:val="nil"/>
              <w:bottom w:val="nil"/>
              <w:right w:val="nil"/>
            </w:tcBorders>
            <w:shd w:val="clear" w:color="auto" w:fill="FFFFFF"/>
            <w:noWrap/>
            <w:vAlign w:val="bottom"/>
            <w:hideMark/>
          </w:tcPr>
          <w:p w:rsidR="00A01ECA" w:rsidRPr="001A48D3" w:rsidRDefault="00A01ECA" w:rsidP="00C4701A">
            <w:pPr>
              <w:spacing w:after="120"/>
              <w:jc w:val="center"/>
              <w:rPr>
                <w:color w:val="000000"/>
                <w:sz w:val="22"/>
              </w:rPr>
            </w:pPr>
            <w:r w:rsidRPr="001A48D3">
              <w:rPr>
                <w:color w:val="000000"/>
                <w:sz w:val="22"/>
              </w:rPr>
              <w:t>Band 4</w:t>
            </w:r>
          </w:p>
        </w:tc>
      </w:tr>
      <w:tr w:rsidR="00A01ECA" w:rsidRPr="001A48D3" w:rsidTr="00A01ECA">
        <w:trPr>
          <w:trHeight w:val="636"/>
        </w:trPr>
        <w:tc>
          <w:tcPr>
            <w:tcW w:w="1560" w:type="dxa"/>
            <w:gridSpan w:val="2"/>
            <w:tcBorders>
              <w:top w:val="single" w:sz="4" w:space="0" w:color="auto"/>
              <w:left w:val="nil"/>
              <w:bottom w:val="nil"/>
              <w:right w:val="nil"/>
            </w:tcBorders>
            <w:shd w:val="clear" w:color="auto" w:fill="FFFFFF"/>
            <w:noWrap/>
            <w:vAlign w:val="bottom"/>
            <w:hideMark/>
          </w:tcPr>
          <w:p w:rsidR="00A01ECA" w:rsidRPr="001A48D3" w:rsidRDefault="00A01ECA" w:rsidP="00C4701A">
            <w:pPr>
              <w:spacing w:after="120"/>
              <w:rPr>
                <w:color w:val="000000"/>
                <w:sz w:val="18"/>
                <w:szCs w:val="18"/>
              </w:rPr>
            </w:pPr>
            <w:r w:rsidRPr="001A48D3">
              <w:rPr>
                <w:color w:val="000000"/>
                <w:sz w:val="18"/>
                <w:szCs w:val="18"/>
              </w:rPr>
              <w:t> </w:t>
            </w:r>
          </w:p>
        </w:tc>
        <w:tc>
          <w:tcPr>
            <w:tcW w:w="2409" w:type="dxa"/>
            <w:tcBorders>
              <w:top w:val="single" w:sz="4" w:space="0" w:color="auto"/>
              <w:left w:val="nil"/>
              <w:bottom w:val="nil"/>
              <w:right w:val="nil"/>
            </w:tcBorders>
            <w:shd w:val="clear" w:color="auto" w:fill="FFFFFF"/>
            <w:vAlign w:val="bottom"/>
            <w:hideMark/>
          </w:tcPr>
          <w:p w:rsidR="00A01ECA" w:rsidRPr="001A48D3" w:rsidRDefault="00A01ECA" w:rsidP="00C4701A">
            <w:pPr>
              <w:spacing w:after="120"/>
              <w:jc w:val="center"/>
              <w:rPr>
                <w:color w:val="000000"/>
                <w:sz w:val="18"/>
                <w:szCs w:val="18"/>
              </w:rPr>
            </w:pPr>
            <w:r w:rsidRPr="001A48D3">
              <w:rPr>
                <w:color w:val="000000"/>
                <w:sz w:val="18"/>
                <w:szCs w:val="18"/>
              </w:rPr>
              <w:t>Inner areas of large capital cities (Melbourne, Sydney, Brisbane, Adelaide and Perth)</w:t>
            </w:r>
          </w:p>
        </w:tc>
        <w:tc>
          <w:tcPr>
            <w:tcW w:w="1418" w:type="dxa"/>
            <w:tcBorders>
              <w:top w:val="single" w:sz="4" w:space="0" w:color="auto"/>
              <w:left w:val="nil"/>
              <w:bottom w:val="nil"/>
              <w:right w:val="nil"/>
            </w:tcBorders>
            <w:shd w:val="clear" w:color="auto" w:fill="FFFFFF"/>
            <w:vAlign w:val="bottom"/>
            <w:hideMark/>
          </w:tcPr>
          <w:p w:rsidR="00A01ECA" w:rsidRPr="001A48D3" w:rsidRDefault="00A01ECA" w:rsidP="00C4701A">
            <w:pPr>
              <w:spacing w:after="120"/>
              <w:jc w:val="center"/>
              <w:rPr>
                <w:color w:val="000000"/>
                <w:sz w:val="18"/>
                <w:szCs w:val="18"/>
              </w:rPr>
            </w:pPr>
            <w:r w:rsidRPr="001A48D3">
              <w:rPr>
                <w:color w:val="000000"/>
                <w:sz w:val="18"/>
                <w:szCs w:val="18"/>
              </w:rPr>
              <w:t>Outer areas of large capital cities</w:t>
            </w:r>
          </w:p>
        </w:tc>
        <w:tc>
          <w:tcPr>
            <w:tcW w:w="1701" w:type="dxa"/>
            <w:tcBorders>
              <w:top w:val="single" w:sz="4" w:space="0" w:color="auto"/>
              <w:left w:val="nil"/>
              <w:bottom w:val="nil"/>
              <w:right w:val="nil"/>
            </w:tcBorders>
            <w:shd w:val="clear" w:color="auto" w:fill="FFFFFF"/>
            <w:vAlign w:val="bottom"/>
            <w:hideMark/>
          </w:tcPr>
          <w:p w:rsidR="00A01ECA" w:rsidRPr="001A48D3" w:rsidRDefault="00A01ECA" w:rsidP="00C4701A">
            <w:pPr>
              <w:spacing w:after="120"/>
              <w:jc w:val="center"/>
              <w:rPr>
                <w:color w:val="000000"/>
                <w:sz w:val="18"/>
                <w:szCs w:val="18"/>
              </w:rPr>
            </w:pPr>
            <w:r w:rsidRPr="001A48D3">
              <w:rPr>
                <w:color w:val="000000"/>
                <w:sz w:val="18"/>
                <w:szCs w:val="18"/>
              </w:rPr>
              <w:t>Other urban areas (Canberra, Hobart and Darwin)</w:t>
            </w:r>
          </w:p>
        </w:tc>
        <w:tc>
          <w:tcPr>
            <w:tcW w:w="992" w:type="dxa"/>
            <w:tcBorders>
              <w:top w:val="single" w:sz="4" w:space="0" w:color="auto"/>
              <w:left w:val="nil"/>
              <w:bottom w:val="nil"/>
              <w:right w:val="nil"/>
            </w:tcBorders>
            <w:shd w:val="clear" w:color="auto" w:fill="FFFFFF"/>
            <w:vAlign w:val="bottom"/>
            <w:hideMark/>
          </w:tcPr>
          <w:p w:rsidR="00A01ECA" w:rsidRPr="001A48D3" w:rsidRDefault="00A01ECA" w:rsidP="00C4701A">
            <w:pPr>
              <w:spacing w:after="120"/>
              <w:jc w:val="center"/>
              <w:rPr>
                <w:color w:val="000000"/>
                <w:sz w:val="18"/>
                <w:szCs w:val="18"/>
              </w:rPr>
            </w:pPr>
            <w:r w:rsidRPr="001A48D3">
              <w:rPr>
                <w:color w:val="000000"/>
                <w:sz w:val="18"/>
                <w:szCs w:val="18"/>
              </w:rPr>
              <w:t>Non-urban areas</w:t>
            </w:r>
          </w:p>
        </w:tc>
      </w:tr>
      <w:tr w:rsidR="00A01ECA" w:rsidRPr="001A48D3" w:rsidTr="00A01ECA">
        <w:trPr>
          <w:trHeight w:val="288"/>
        </w:trPr>
        <w:tc>
          <w:tcPr>
            <w:tcW w:w="1418" w:type="dxa"/>
            <w:tcBorders>
              <w:top w:val="single" w:sz="4" w:space="0" w:color="auto"/>
              <w:left w:val="nil"/>
              <w:bottom w:val="nil"/>
              <w:right w:val="nil"/>
            </w:tcBorders>
            <w:noWrap/>
            <w:vAlign w:val="bottom"/>
            <w:hideMark/>
          </w:tcPr>
          <w:p w:rsidR="00A01ECA" w:rsidRPr="001A48D3" w:rsidRDefault="00A01ECA" w:rsidP="00C4701A">
            <w:pPr>
              <w:spacing w:after="120"/>
              <w:rPr>
                <w:color w:val="000000"/>
                <w:sz w:val="20"/>
              </w:rPr>
            </w:pPr>
            <w:r w:rsidRPr="001A48D3">
              <w:rPr>
                <w:color w:val="000000"/>
                <w:sz w:val="20"/>
              </w:rPr>
              <w:t>Particles</w:t>
            </w:r>
          </w:p>
        </w:tc>
        <w:tc>
          <w:tcPr>
            <w:tcW w:w="2551" w:type="dxa"/>
            <w:gridSpan w:val="2"/>
            <w:tcBorders>
              <w:top w:val="single" w:sz="4" w:space="0" w:color="auto"/>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341,650</w:t>
            </w:r>
          </w:p>
        </w:tc>
        <w:tc>
          <w:tcPr>
            <w:tcW w:w="1418" w:type="dxa"/>
            <w:tcBorders>
              <w:top w:val="single" w:sz="4" w:space="0" w:color="auto"/>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93,180</w:t>
            </w:r>
          </w:p>
        </w:tc>
        <w:tc>
          <w:tcPr>
            <w:tcW w:w="1701" w:type="dxa"/>
            <w:tcBorders>
              <w:top w:val="single" w:sz="4" w:space="0" w:color="auto"/>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93,180</w:t>
            </w:r>
          </w:p>
        </w:tc>
        <w:tc>
          <w:tcPr>
            <w:tcW w:w="992" w:type="dxa"/>
            <w:tcBorders>
              <w:top w:val="single" w:sz="4" w:space="0" w:color="auto"/>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1,240</w:t>
            </w:r>
          </w:p>
        </w:tc>
      </w:tr>
      <w:tr w:rsidR="00A01ECA" w:rsidRPr="001A48D3" w:rsidTr="00A01ECA">
        <w:trPr>
          <w:trHeight w:val="288"/>
        </w:trPr>
        <w:tc>
          <w:tcPr>
            <w:tcW w:w="1418" w:type="dxa"/>
            <w:tcBorders>
              <w:top w:val="nil"/>
              <w:left w:val="nil"/>
              <w:bottom w:val="nil"/>
              <w:right w:val="nil"/>
            </w:tcBorders>
            <w:noWrap/>
            <w:vAlign w:val="bottom"/>
            <w:hideMark/>
          </w:tcPr>
          <w:p w:rsidR="00A01ECA" w:rsidRPr="001A48D3" w:rsidRDefault="00A01ECA" w:rsidP="00C4701A">
            <w:pPr>
              <w:spacing w:after="120"/>
              <w:rPr>
                <w:color w:val="000000"/>
                <w:sz w:val="20"/>
              </w:rPr>
            </w:pPr>
            <w:r w:rsidRPr="001A48D3">
              <w:rPr>
                <w:color w:val="000000"/>
                <w:sz w:val="20"/>
              </w:rPr>
              <w:t>CO</w:t>
            </w:r>
          </w:p>
        </w:tc>
        <w:tc>
          <w:tcPr>
            <w:tcW w:w="2551" w:type="dxa"/>
            <w:gridSpan w:val="2"/>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3.0</w:t>
            </w:r>
          </w:p>
        </w:tc>
        <w:tc>
          <w:tcPr>
            <w:tcW w:w="1418"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0.8</w:t>
            </w:r>
          </w:p>
        </w:tc>
        <w:tc>
          <w:tcPr>
            <w:tcW w:w="1701"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0.8</w:t>
            </w:r>
          </w:p>
        </w:tc>
        <w:tc>
          <w:tcPr>
            <w:tcW w:w="992"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0.0</w:t>
            </w:r>
          </w:p>
        </w:tc>
      </w:tr>
      <w:tr w:rsidR="00A01ECA" w:rsidRPr="001A48D3" w:rsidTr="00A01ECA">
        <w:trPr>
          <w:trHeight w:val="288"/>
        </w:trPr>
        <w:tc>
          <w:tcPr>
            <w:tcW w:w="1418" w:type="dxa"/>
            <w:tcBorders>
              <w:top w:val="nil"/>
              <w:left w:val="nil"/>
              <w:bottom w:val="nil"/>
              <w:right w:val="nil"/>
            </w:tcBorders>
            <w:noWrap/>
            <w:vAlign w:val="bottom"/>
            <w:hideMark/>
          </w:tcPr>
          <w:p w:rsidR="00A01ECA" w:rsidRPr="001A48D3" w:rsidRDefault="00A01ECA" w:rsidP="00C4701A">
            <w:pPr>
              <w:spacing w:after="120"/>
              <w:rPr>
                <w:color w:val="000000"/>
                <w:sz w:val="20"/>
              </w:rPr>
            </w:pPr>
            <w:r w:rsidRPr="001A48D3">
              <w:rPr>
                <w:color w:val="000000"/>
                <w:sz w:val="20"/>
              </w:rPr>
              <w:t>NO</w:t>
            </w:r>
            <w:r w:rsidRPr="001A48D3">
              <w:rPr>
                <w:color w:val="000000"/>
                <w:sz w:val="20"/>
                <w:vertAlign w:val="subscript"/>
              </w:rPr>
              <w:t>x</w:t>
            </w:r>
          </w:p>
        </w:tc>
        <w:tc>
          <w:tcPr>
            <w:tcW w:w="2551" w:type="dxa"/>
            <w:gridSpan w:val="2"/>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1,750</w:t>
            </w:r>
          </w:p>
        </w:tc>
        <w:tc>
          <w:tcPr>
            <w:tcW w:w="1418"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1,750</w:t>
            </w:r>
          </w:p>
        </w:tc>
        <w:tc>
          <w:tcPr>
            <w:tcW w:w="1701"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260</w:t>
            </w:r>
          </w:p>
        </w:tc>
        <w:tc>
          <w:tcPr>
            <w:tcW w:w="992"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0</w:t>
            </w:r>
          </w:p>
        </w:tc>
      </w:tr>
      <w:tr w:rsidR="00A01ECA" w:rsidRPr="001A48D3" w:rsidTr="00A01ECA">
        <w:trPr>
          <w:trHeight w:val="288"/>
        </w:trPr>
        <w:tc>
          <w:tcPr>
            <w:tcW w:w="1418" w:type="dxa"/>
            <w:tcBorders>
              <w:top w:val="nil"/>
              <w:left w:val="nil"/>
              <w:bottom w:val="nil"/>
              <w:right w:val="nil"/>
            </w:tcBorders>
            <w:noWrap/>
            <w:vAlign w:val="bottom"/>
            <w:hideMark/>
          </w:tcPr>
          <w:p w:rsidR="00A01ECA" w:rsidRPr="001A48D3" w:rsidRDefault="00A01ECA" w:rsidP="00C4701A">
            <w:pPr>
              <w:spacing w:after="120"/>
              <w:rPr>
                <w:color w:val="000000"/>
                <w:sz w:val="20"/>
              </w:rPr>
            </w:pPr>
            <w:r w:rsidRPr="001A48D3">
              <w:rPr>
                <w:color w:val="000000"/>
                <w:sz w:val="20"/>
              </w:rPr>
              <w:t>THC</w:t>
            </w:r>
          </w:p>
        </w:tc>
        <w:tc>
          <w:tcPr>
            <w:tcW w:w="2551" w:type="dxa"/>
            <w:gridSpan w:val="2"/>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875</w:t>
            </w:r>
          </w:p>
        </w:tc>
        <w:tc>
          <w:tcPr>
            <w:tcW w:w="1418"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875</w:t>
            </w:r>
          </w:p>
        </w:tc>
        <w:tc>
          <w:tcPr>
            <w:tcW w:w="1701"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175</w:t>
            </w:r>
          </w:p>
        </w:tc>
        <w:tc>
          <w:tcPr>
            <w:tcW w:w="992"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0</w:t>
            </w:r>
          </w:p>
        </w:tc>
      </w:tr>
      <w:tr w:rsidR="00A01ECA" w:rsidRPr="001A48D3" w:rsidTr="00A01ECA">
        <w:trPr>
          <w:trHeight w:val="312"/>
        </w:trPr>
        <w:tc>
          <w:tcPr>
            <w:tcW w:w="1418" w:type="dxa"/>
            <w:tcBorders>
              <w:top w:val="nil"/>
              <w:left w:val="nil"/>
              <w:bottom w:val="nil"/>
              <w:right w:val="nil"/>
            </w:tcBorders>
            <w:noWrap/>
            <w:vAlign w:val="bottom"/>
            <w:hideMark/>
          </w:tcPr>
          <w:p w:rsidR="00A01ECA" w:rsidRPr="001A48D3" w:rsidRDefault="00A01ECA" w:rsidP="00C4701A">
            <w:pPr>
              <w:spacing w:after="120"/>
              <w:rPr>
                <w:color w:val="000000"/>
                <w:sz w:val="20"/>
              </w:rPr>
            </w:pPr>
            <w:r w:rsidRPr="001A48D3">
              <w:rPr>
                <w:color w:val="000000"/>
                <w:sz w:val="20"/>
              </w:rPr>
              <w:t>SO</w:t>
            </w:r>
            <w:r w:rsidRPr="001A48D3">
              <w:rPr>
                <w:color w:val="000000"/>
                <w:sz w:val="20"/>
                <w:vertAlign w:val="subscript"/>
              </w:rPr>
              <w:t>2</w:t>
            </w:r>
          </w:p>
        </w:tc>
        <w:tc>
          <w:tcPr>
            <w:tcW w:w="2551" w:type="dxa"/>
            <w:gridSpan w:val="2"/>
            <w:tcBorders>
              <w:top w:val="nil"/>
              <w:left w:val="nil"/>
              <w:bottom w:val="nil"/>
              <w:right w:val="nil"/>
            </w:tcBorders>
            <w:noWrap/>
            <w:vAlign w:val="bottom"/>
            <w:hideMark/>
          </w:tcPr>
          <w:p w:rsidR="00A01ECA" w:rsidRPr="001A48D3" w:rsidRDefault="00A01ECA" w:rsidP="00C4701A">
            <w:pPr>
              <w:spacing w:after="120"/>
              <w:ind w:right="459"/>
              <w:jc w:val="right"/>
              <w:rPr>
                <w:sz w:val="20"/>
              </w:rPr>
            </w:pPr>
            <w:r w:rsidRPr="001A48D3">
              <w:rPr>
                <w:sz w:val="20"/>
              </w:rPr>
              <w:t>11,380</w:t>
            </w:r>
          </w:p>
        </w:tc>
        <w:tc>
          <w:tcPr>
            <w:tcW w:w="1418" w:type="dxa"/>
            <w:tcBorders>
              <w:top w:val="nil"/>
              <w:left w:val="nil"/>
              <w:bottom w:val="nil"/>
              <w:right w:val="nil"/>
            </w:tcBorders>
            <w:noWrap/>
            <w:vAlign w:val="bottom"/>
            <w:hideMark/>
          </w:tcPr>
          <w:p w:rsidR="00A01ECA" w:rsidRPr="001A48D3" w:rsidRDefault="00A01ECA" w:rsidP="00C4701A">
            <w:pPr>
              <w:spacing w:after="120"/>
              <w:ind w:right="459"/>
              <w:jc w:val="right"/>
              <w:rPr>
                <w:sz w:val="20"/>
              </w:rPr>
            </w:pPr>
            <w:r w:rsidRPr="001A48D3">
              <w:rPr>
                <w:sz w:val="20"/>
              </w:rPr>
              <w:t>4,380</w:t>
            </w:r>
          </w:p>
        </w:tc>
        <w:tc>
          <w:tcPr>
            <w:tcW w:w="1701"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2,800</w:t>
            </w:r>
          </w:p>
        </w:tc>
        <w:tc>
          <w:tcPr>
            <w:tcW w:w="992"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5,205</w:t>
            </w:r>
          </w:p>
        </w:tc>
      </w:tr>
      <w:tr w:rsidR="00A01ECA" w:rsidRPr="001A48D3" w:rsidTr="00A01ECA">
        <w:trPr>
          <w:trHeight w:val="288"/>
        </w:trPr>
        <w:tc>
          <w:tcPr>
            <w:tcW w:w="1418" w:type="dxa"/>
            <w:tcBorders>
              <w:top w:val="nil"/>
              <w:left w:val="nil"/>
              <w:bottom w:val="nil"/>
              <w:right w:val="nil"/>
            </w:tcBorders>
            <w:noWrap/>
            <w:vAlign w:val="bottom"/>
            <w:hideMark/>
          </w:tcPr>
          <w:p w:rsidR="00A01ECA" w:rsidRPr="001A48D3" w:rsidRDefault="00A01ECA" w:rsidP="00C4701A">
            <w:pPr>
              <w:spacing w:after="120"/>
              <w:rPr>
                <w:color w:val="000000"/>
                <w:sz w:val="20"/>
              </w:rPr>
            </w:pPr>
            <w:r w:rsidRPr="001A48D3">
              <w:rPr>
                <w:color w:val="000000"/>
                <w:sz w:val="20"/>
              </w:rPr>
              <w:t>Benzene</w:t>
            </w:r>
          </w:p>
        </w:tc>
        <w:tc>
          <w:tcPr>
            <w:tcW w:w="2551" w:type="dxa"/>
            <w:gridSpan w:val="2"/>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2,425</w:t>
            </w:r>
          </w:p>
        </w:tc>
        <w:tc>
          <w:tcPr>
            <w:tcW w:w="1418"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660</w:t>
            </w:r>
          </w:p>
        </w:tc>
        <w:tc>
          <w:tcPr>
            <w:tcW w:w="1701"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660</w:t>
            </w:r>
          </w:p>
        </w:tc>
        <w:tc>
          <w:tcPr>
            <w:tcW w:w="992" w:type="dxa"/>
            <w:tcBorders>
              <w:top w:val="nil"/>
              <w:left w:val="nil"/>
              <w:bottom w:val="nil"/>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0</w:t>
            </w:r>
          </w:p>
        </w:tc>
      </w:tr>
      <w:tr w:rsidR="00A01ECA" w:rsidRPr="001A48D3" w:rsidTr="00A01ECA">
        <w:trPr>
          <w:trHeight w:val="288"/>
        </w:trPr>
        <w:tc>
          <w:tcPr>
            <w:tcW w:w="1418" w:type="dxa"/>
            <w:tcBorders>
              <w:top w:val="nil"/>
              <w:left w:val="nil"/>
              <w:bottom w:val="single" w:sz="4" w:space="0" w:color="auto"/>
              <w:right w:val="nil"/>
            </w:tcBorders>
            <w:noWrap/>
            <w:vAlign w:val="bottom"/>
            <w:hideMark/>
          </w:tcPr>
          <w:p w:rsidR="00A01ECA" w:rsidRPr="001A48D3" w:rsidRDefault="00A01ECA" w:rsidP="00C4701A">
            <w:pPr>
              <w:spacing w:after="120"/>
              <w:rPr>
                <w:color w:val="000000"/>
                <w:sz w:val="20"/>
              </w:rPr>
            </w:pPr>
            <w:r w:rsidRPr="001A48D3">
              <w:rPr>
                <w:color w:val="000000"/>
                <w:sz w:val="20"/>
              </w:rPr>
              <w:t>1,3-butadiene</w:t>
            </w:r>
          </w:p>
        </w:tc>
        <w:tc>
          <w:tcPr>
            <w:tcW w:w="2551" w:type="dxa"/>
            <w:gridSpan w:val="2"/>
            <w:tcBorders>
              <w:top w:val="nil"/>
              <w:left w:val="nil"/>
              <w:bottom w:val="single" w:sz="4" w:space="0" w:color="auto"/>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90,730</w:t>
            </w:r>
          </w:p>
        </w:tc>
        <w:tc>
          <w:tcPr>
            <w:tcW w:w="1418" w:type="dxa"/>
            <w:tcBorders>
              <w:top w:val="nil"/>
              <w:left w:val="nil"/>
              <w:bottom w:val="single" w:sz="4" w:space="0" w:color="auto"/>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24,745</w:t>
            </w:r>
          </w:p>
        </w:tc>
        <w:tc>
          <w:tcPr>
            <w:tcW w:w="1701" w:type="dxa"/>
            <w:tcBorders>
              <w:top w:val="nil"/>
              <w:left w:val="nil"/>
              <w:bottom w:val="single" w:sz="4" w:space="0" w:color="auto"/>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24,745</w:t>
            </w:r>
          </w:p>
        </w:tc>
        <w:tc>
          <w:tcPr>
            <w:tcW w:w="992" w:type="dxa"/>
            <w:tcBorders>
              <w:top w:val="nil"/>
              <w:left w:val="nil"/>
              <w:bottom w:val="single" w:sz="4" w:space="0" w:color="auto"/>
              <w:right w:val="nil"/>
            </w:tcBorders>
            <w:noWrap/>
            <w:vAlign w:val="bottom"/>
            <w:hideMark/>
          </w:tcPr>
          <w:p w:rsidR="00A01ECA" w:rsidRPr="001A48D3" w:rsidRDefault="00A01ECA" w:rsidP="00C4701A">
            <w:pPr>
              <w:spacing w:after="120"/>
              <w:ind w:right="459"/>
              <w:jc w:val="right"/>
              <w:rPr>
                <w:color w:val="000000"/>
                <w:sz w:val="20"/>
              </w:rPr>
            </w:pPr>
            <w:r w:rsidRPr="001A48D3">
              <w:rPr>
                <w:color w:val="000000"/>
                <w:sz w:val="20"/>
              </w:rPr>
              <w:t>0</w:t>
            </w:r>
          </w:p>
        </w:tc>
      </w:tr>
    </w:tbl>
    <w:p w:rsidR="00A01ECA" w:rsidRPr="001A48D3" w:rsidRDefault="00A01ECA" w:rsidP="00C4701A">
      <w:pPr>
        <w:spacing w:before="120" w:after="120"/>
        <w:rPr>
          <w:i/>
          <w:sz w:val="16"/>
          <w:szCs w:val="16"/>
        </w:rPr>
      </w:pPr>
      <w:r w:rsidRPr="001A48D3">
        <w:rPr>
          <w:i/>
          <w:sz w:val="16"/>
          <w:szCs w:val="16"/>
        </w:rPr>
        <w:t>Source:</w:t>
      </w:r>
      <w:r w:rsidRPr="001A48D3">
        <w:rPr>
          <w:i/>
          <w:sz w:val="16"/>
          <w:szCs w:val="16"/>
        </w:rPr>
        <w:tab/>
      </w:r>
      <w:proofErr w:type="spellStart"/>
      <w:r w:rsidRPr="001A48D3">
        <w:rPr>
          <w:i/>
          <w:sz w:val="16"/>
          <w:szCs w:val="16"/>
        </w:rPr>
        <w:t>Watkiss</w:t>
      </w:r>
      <w:proofErr w:type="spellEnd"/>
      <w:r w:rsidRPr="001A48D3">
        <w:rPr>
          <w:i/>
          <w:sz w:val="16"/>
          <w:szCs w:val="16"/>
        </w:rPr>
        <w:t xml:space="preserve"> (2002).</w:t>
      </w:r>
    </w:p>
    <w:p w:rsidR="00A01ECA" w:rsidRPr="001A48D3" w:rsidRDefault="00A01ECA" w:rsidP="00C4701A">
      <w:pPr>
        <w:spacing w:after="120"/>
        <w:rPr>
          <w:szCs w:val="24"/>
        </w:rPr>
      </w:pPr>
      <w:r w:rsidRPr="001A48D3">
        <w:rPr>
          <w:szCs w:val="24"/>
        </w:rPr>
        <w:t xml:space="preserve">The validity of </w:t>
      </w:r>
      <w:proofErr w:type="spellStart"/>
      <w:r w:rsidRPr="001A48D3">
        <w:rPr>
          <w:szCs w:val="24"/>
        </w:rPr>
        <w:t>Watkiss</w:t>
      </w:r>
      <w:proofErr w:type="spellEnd"/>
      <w:r w:rsidRPr="001A48D3">
        <w:rPr>
          <w:szCs w:val="24"/>
        </w:rPr>
        <w:t xml:space="preserve"> results is highly dependent on the tenability of the assumption made about the same rates of background incidence for Europe and Australia. </w:t>
      </w:r>
      <w:proofErr w:type="spellStart"/>
      <w:r w:rsidRPr="001A48D3">
        <w:rPr>
          <w:szCs w:val="24"/>
        </w:rPr>
        <w:t>Watkiss</w:t>
      </w:r>
      <w:proofErr w:type="spellEnd"/>
      <w:r w:rsidRPr="001A48D3">
        <w:rPr>
          <w:szCs w:val="24"/>
        </w:rPr>
        <w:t xml:space="preserve"> (2002) argues that there are likely to be differences in the Australian population, especially with respect to health status, age, life expectancy, mortality and morbidity rates, as well as other factors (incidence of smoking, affluence, </w:t>
      </w:r>
      <w:proofErr w:type="spellStart"/>
      <w:r w:rsidRPr="001A48D3">
        <w:rPr>
          <w:szCs w:val="24"/>
        </w:rPr>
        <w:t>etc</w:t>
      </w:r>
      <w:proofErr w:type="spellEnd"/>
      <w:r w:rsidRPr="001A48D3">
        <w:rPr>
          <w:szCs w:val="24"/>
        </w:rPr>
        <w:t xml:space="preserve">), that will mean different background rates of health effects occur relative to Europe. </w:t>
      </w:r>
    </w:p>
    <w:p w:rsidR="00A01ECA" w:rsidRPr="001A48D3" w:rsidRDefault="00A01ECA" w:rsidP="00C4701A">
      <w:pPr>
        <w:spacing w:after="120"/>
        <w:rPr>
          <w:szCs w:val="24"/>
        </w:rPr>
      </w:pPr>
      <w:r w:rsidRPr="001A48D3">
        <w:rPr>
          <w:szCs w:val="24"/>
        </w:rPr>
        <w:t>Beer’s (2002) estimates of unit health costs were based on estimates of the annual short-term health costs of the four criteria pollutants</w:t>
      </w:r>
      <w:r w:rsidRPr="001A48D3">
        <w:rPr>
          <w:rStyle w:val="FootnoteReference"/>
          <w:szCs w:val="24"/>
        </w:rPr>
        <w:footnoteReference w:id="93"/>
      </w:r>
      <w:r w:rsidRPr="001A48D3">
        <w:rPr>
          <w:szCs w:val="24"/>
        </w:rPr>
        <w:t xml:space="preserve"> published in National Environment Protection Measure for Ambient Air Quality and estimates of the contribution of vehicles to </w:t>
      </w:r>
      <w:r w:rsidRPr="001A48D3">
        <w:rPr>
          <w:szCs w:val="24"/>
        </w:rPr>
        <w:lastRenderedPageBreak/>
        <w:t>concentration of criteria pollutants. The implied unit value of life used in the Beer’s analysis was $7.2m. While the central health cost estimate for PM</w:t>
      </w:r>
      <w:r w:rsidRPr="001A48D3">
        <w:rPr>
          <w:szCs w:val="24"/>
          <w:vertAlign w:val="subscript"/>
        </w:rPr>
        <w:t>10</w:t>
      </w:r>
      <w:r w:rsidRPr="001A48D3">
        <w:rPr>
          <w:szCs w:val="24"/>
        </w:rPr>
        <w:t xml:space="preserve"> was $147,429 per tonne, the upper bound of the Beer’s estimates ($221,100 per tonne) coincided with the mean estimates of Coffey Geosciences (2003) and </w:t>
      </w:r>
      <w:proofErr w:type="spellStart"/>
      <w:r w:rsidRPr="001A48D3">
        <w:rPr>
          <w:szCs w:val="24"/>
        </w:rPr>
        <w:t>Watkiss</w:t>
      </w:r>
      <w:proofErr w:type="spellEnd"/>
      <w:r w:rsidRPr="001A48D3">
        <w:rPr>
          <w:szCs w:val="24"/>
        </w:rPr>
        <w:t xml:space="preserve"> (2002). </w:t>
      </w:r>
    </w:p>
    <w:p w:rsidR="00A01ECA" w:rsidRPr="001A48D3" w:rsidRDefault="00A01ECA" w:rsidP="00C4701A">
      <w:pPr>
        <w:spacing w:after="120"/>
        <w:rPr>
          <w:szCs w:val="24"/>
        </w:rPr>
      </w:pPr>
      <w:r w:rsidRPr="001A48D3">
        <w:rPr>
          <w:szCs w:val="24"/>
        </w:rPr>
        <w:t>BTRE (2005) adopted the European approach (Impact Pathway</w:t>
      </w:r>
      <w:r w:rsidRPr="001A48D3">
        <w:rPr>
          <w:rStyle w:val="FootnoteReference"/>
          <w:szCs w:val="24"/>
        </w:rPr>
        <w:footnoteReference w:id="94"/>
      </w:r>
      <w:r w:rsidRPr="001A48D3">
        <w:rPr>
          <w:szCs w:val="24"/>
        </w:rPr>
        <w:t>) to quantify the economic costs of the health effects of transport-related air pollution in Australia. The total costs of motor vehicle-related PM</w:t>
      </w:r>
      <w:r w:rsidRPr="001A48D3">
        <w:rPr>
          <w:szCs w:val="24"/>
          <w:vertAlign w:val="subscript"/>
        </w:rPr>
        <w:t>10</w:t>
      </w:r>
      <w:r w:rsidRPr="001A48D3">
        <w:rPr>
          <w:szCs w:val="24"/>
        </w:rPr>
        <w:t xml:space="preserve"> pollution for Australian capital cities were estimated to be $2.33b for the year 2000. Total PM</w:t>
      </w:r>
      <w:r w:rsidRPr="001A48D3">
        <w:rPr>
          <w:szCs w:val="24"/>
          <w:vertAlign w:val="subscript"/>
        </w:rPr>
        <w:t>10</w:t>
      </w:r>
      <w:r w:rsidRPr="001A48D3">
        <w:rPr>
          <w:szCs w:val="24"/>
        </w:rPr>
        <w:t xml:space="preserve"> emissions were estimated to be 13.9 </w:t>
      </w:r>
      <w:proofErr w:type="spellStart"/>
      <w:r w:rsidRPr="001A48D3">
        <w:rPr>
          <w:szCs w:val="24"/>
        </w:rPr>
        <w:t>kilotonnes</w:t>
      </w:r>
      <w:proofErr w:type="spellEnd"/>
      <w:r w:rsidRPr="001A48D3">
        <w:rPr>
          <w:szCs w:val="24"/>
        </w:rPr>
        <w:t xml:space="preserve"> per year.</w:t>
      </w:r>
      <w:r w:rsidRPr="001A48D3">
        <w:rPr>
          <w:rStyle w:val="FootnoteReference"/>
          <w:szCs w:val="24"/>
        </w:rPr>
        <w:footnoteReference w:id="95"/>
      </w:r>
      <w:r w:rsidRPr="001A48D3">
        <w:rPr>
          <w:szCs w:val="24"/>
        </w:rPr>
        <w:t xml:space="preserve"> These led to a unit health cost value of $167,626 per tonne of PM</w:t>
      </w:r>
      <w:r w:rsidRPr="001A48D3">
        <w:rPr>
          <w:szCs w:val="24"/>
          <w:vertAlign w:val="subscript"/>
        </w:rPr>
        <w:t>10</w:t>
      </w:r>
      <w:r w:rsidRPr="001A48D3">
        <w:rPr>
          <w:szCs w:val="24"/>
        </w:rPr>
        <w:t xml:space="preserve"> emitted. The unit value of life used in BTRE (2005) was derived from the human capital approach and was relatively low ($1.3m). Had BTRE (2005) used a higher unit value of life (like those derived from the willingness-to-pay approach), the reported unit health cost would have been higher than those estimated by Coffey (2003) or </w:t>
      </w:r>
      <w:proofErr w:type="spellStart"/>
      <w:r w:rsidRPr="001A48D3">
        <w:rPr>
          <w:szCs w:val="24"/>
        </w:rPr>
        <w:t>Watkiss</w:t>
      </w:r>
      <w:proofErr w:type="spellEnd"/>
      <w:r w:rsidRPr="001A48D3">
        <w:rPr>
          <w:szCs w:val="24"/>
        </w:rPr>
        <w:t xml:space="preserve"> (2002).</w:t>
      </w:r>
    </w:p>
    <w:p w:rsidR="00A01ECA" w:rsidRPr="001A48D3" w:rsidRDefault="00A01ECA" w:rsidP="00C4701A">
      <w:pPr>
        <w:spacing w:after="120"/>
        <w:rPr>
          <w:szCs w:val="24"/>
        </w:rPr>
      </w:pPr>
      <w:r w:rsidRPr="001A48D3">
        <w:rPr>
          <w:szCs w:val="24"/>
        </w:rPr>
        <w:t xml:space="preserve">Unit health costs vary from location to location and according to population and meteorological factors (Coffey Geosciences 2003). For analysing the impact of the proposed new fuel standards on emissions (in terms of tonnes of pollutants emitted), the best disaggregation of the location we can have – given the available data – is to split the total emissions into those for capital cities and the rest of Australia. In order to calculate the total health benefit, estimates of unit health costs are required for each of the two areas concerned. </w:t>
      </w:r>
    </w:p>
    <w:p w:rsidR="00A01ECA" w:rsidRPr="001A48D3" w:rsidRDefault="00A01ECA" w:rsidP="00C4701A">
      <w:pPr>
        <w:spacing w:after="120"/>
        <w:rPr>
          <w:szCs w:val="24"/>
        </w:rPr>
      </w:pPr>
      <w:r w:rsidRPr="001A48D3">
        <w:rPr>
          <w:szCs w:val="24"/>
        </w:rPr>
        <w:t>The procedure that was employed to estimate unit health cost values include the following steps:</w:t>
      </w:r>
    </w:p>
    <w:p w:rsidR="00A01ECA" w:rsidRPr="001A48D3" w:rsidRDefault="00A01ECA" w:rsidP="00C4701A">
      <w:pPr>
        <w:numPr>
          <w:ilvl w:val="0"/>
          <w:numId w:val="38"/>
        </w:numPr>
        <w:spacing w:after="120"/>
      </w:pPr>
      <w:r w:rsidRPr="001A48D3">
        <w:t xml:space="preserve">Only the three most recent studies listed in Table 2 (excluding BTRE (2005)) were selected as input for estimation, namely, Coffey Geosciences (2003), </w:t>
      </w:r>
      <w:proofErr w:type="spellStart"/>
      <w:r w:rsidRPr="001A48D3">
        <w:t>Watkiss</w:t>
      </w:r>
      <w:proofErr w:type="spellEnd"/>
      <w:r w:rsidRPr="001A48D3">
        <w:t xml:space="preserve"> (2002) and Beer (2002);</w:t>
      </w:r>
    </w:p>
    <w:p w:rsidR="00A01ECA" w:rsidRPr="001A48D3" w:rsidRDefault="00A01ECA" w:rsidP="00C4701A">
      <w:pPr>
        <w:numPr>
          <w:ilvl w:val="0"/>
          <w:numId w:val="38"/>
        </w:numPr>
        <w:spacing w:after="120"/>
      </w:pPr>
      <w:r w:rsidRPr="001A48D3">
        <w:t>Unit values for capital cities were calculated by taking the simple average of the estimates from the three studies;</w:t>
      </w:r>
    </w:p>
    <w:p w:rsidR="00A01ECA" w:rsidRPr="001A48D3" w:rsidRDefault="00A01ECA" w:rsidP="00C4701A">
      <w:pPr>
        <w:numPr>
          <w:ilvl w:val="0"/>
          <w:numId w:val="38"/>
        </w:numPr>
        <w:spacing w:after="120"/>
      </w:pPr>
      <w:r w:rsidRPr="001A48D3">
        <w:t xml:space="preserve">Unit values for the rest of Australia were based on the simple average of the estimates for Band 3 and Band 4 contained in </w:t>
      </w:r>
      <w:proofErr w:type="spellStart"/>
      <w:r w:rsidRPr="001A48D3">
        <w:t>Watkiss</w:t>
      </w:r>
      <w:proofErr w:type="spellEnd"/>
      <w:r w:rsidRPr="001A48D3">
        <w:t xml:space="preserve"> (2002);</w:t>
      </w:r>
    </w:p>
    <w:p w:rsidR="00A01ECA" w:rsidRPr="001A48D3" w:rsidRDefault="00A01ECA" w:rsidP="00C4701A">
      <w:pPr>
        <w:numPr>
          <w:ilvl w:val="0"/>
          <w:numId w:val="38"/>
        </w:numPr>
        <w:spacing w:after="120"/>
      </w:pPr>
      <w:r w:rsidRPr="001A48D3">
        <w:t>Given the uncertainties surrounding around the unit value estimates, an upper bound and a lower bound were established (an average +/- 50</w:t>
      </w:r>
      <w:r w:rsidR="00D56B08" w:rsidRPr="001A48D3">
        <w:t>%</w:t>
      </w:r>
      <w:r w:rsidRPr="001A48D3">
        <w:t xml:space="preserve">) on the basis of observations made by Coffey Geosciences (2003); and </w:t>
      </w:r>
    </w:p>
    <w:p w:rsidR="00A01ECA" w:rsidRPr="001A48D3" w:rsidRDefault="00A01ECA" w:rsidP="00C4701A">
      <w:pPr>
        <w:numPr>
          <w:ilvl w:val="0"/>
          <w:numId w:val="38"/>
        </w:numPr>
        <w:spacing w:after="120"/>
      </w:pPr>
      <w:r w:rsidRPr="001A48D3">
        <w:t>Unit values presented in Table 2 were assumed to be in 2003 prices. These values were updated to 2009 prices using the CPI.</w:t>
      </w:r>
    </w:p>
    <w:p w:rsidR="00A01ECA" w:rsidRDefault="00A01ECA" w:rsidP="00C4701A">
      <w:pPr>
        <w:spacing w:after="120"/>
        <w:rPr>
          <w:szCs w:val="24"/>
        </w:rPr>
      </w:pPr>
      <w:r w:rsidRPr="001A48D3">
        <w:rPr>
          <w:szCs w:val="24"/>
        </w:rPr>
        <w:t>Table 4 presents the recommended unit values for calculating the health benefit and undertaking sensitivity analyses.</w:t>
      </w:r>
    </w:p>
    <w:p w:rsidR="002E5D02" w:rsidRPr="001A48D3" w:rsidRDefault="002E5D02" w:rsidP="00C4701A">
      <w:pPr>
        <w:spacing w:after="120"/>
        <w:rPr>
          <w:szCs w:val="24"/>
        </w:rPr>
      </w:pPr>
    </w:p>
    <w:p w:rsidR="00A01ECA" w:rsidRPr="001A48D3" w:rsidRDefault="00A01ECA" w:rsidP="00B52F7D">
      <w:pPr>
        <w:pStyle w:val="Heading3"/>
      </w:pPr>
      <w:bookmarkStart w:id="143" w:name="_Toc430182599"/>
      <w:r w:rsidRPr="001A48D3">
        <w:lastRenderedPageBreak/>
        <w:t>Table 4</w:t>
      </w:r>
      <w:r w:rsidRPr="001A48D3">
        <w:tab/>
        <w:t xml:space="preserve">Updated average health cost ($/tonne of emissions) </w:t>
      </w:r>
      <w:r w:rsidRPr="001A48D3">
        <w:br/>
        <w:t>by area (in 2009 prices)</w:t>
      </w:r>
      <w:bookmarkEnd w:id="143"/>
    </w:p>
    <w:tbl>
      <w:tblPr>
        <w:tblW w:w="6874" w:type="dxa"/>
        <w:tblInd w:w="108" w:type="dxa"/>
        <w:tblLook w:val="04A0" w:firstRow="1" w:lastRow="0" w:firstColumn="1" w:lastColumn="0" w:noHBand="0" w:noVBand="1"/>
      </w:tblPr>
      <w:tblGrid>
        <w:gridCol w:w="2268"/>
        <w:gridCol w:w="1630"/>
        <w:gridCol w:w="1417"/>
        <w:gridCol w:w="1559"/>
      </w:tblGrid>
      <w:tr w:rsidR="00A01ECA" w:rsidRPr="001A48D3" w:rsidTr="00A01ECA">
        <w:trPr>
          <w:trHeight w:val="372"/>
        </w:trPr>
        <w:tc>
          <w:tcPr>
            <w:tcW w:w="2268" w:type="dxa"/>
            <w:tcBorders>
              <w:top w:val="single" w:sz="4" w:space="0" w:color="auto"/>
              <w:left w:val="nil"/>
              <w:bottom w:val="single" w:sz="4" w:space="0" w:color="auto"/>
              <w:right w:val="nil"/>
            </w:tcBorders>
            <w:shd w:val="clear" w:color="000000" w:fill="F2F2F2"/>
            <w:noWrap/>
            <w:vAlign w:val="center"/>
            <w:hideMark/>
          </w:tcPr>
          <w:p w:rsidR="00A01ECA" w:rsidRPr="001A48D3" w:rsidRDefault="00A01ECA" w:rsidP="00C4701A">
            <w:pPr>
              <w:spacing w:after="120"/>
              <w:jc w:val="right"/>
              <w:rPr>
                <w:color w:val="000000"/>
                <w:sz w:val="22"/>
              </w:rPr>
            </w:pPr>
            <w:r w:rsidRPr="001A48D3">
              <w:rPr>
                <w:color w:val="000000"/>
                <w:sz w:val="22"/>
              </w:rPr>
              <w:t> </w:t>
            </w:r>
          </w:p>
        </w:tc>
        <w:tc>
          <w:tcPr>
            <w:tcW w:w="1630" w:type="dxa"/>
            <w:tcBorders>
              <w:top w:val="single" w:sz="4" w:space="0" w:color="auto"/>
              <w:left w:val="nil"/>
              <w:bottom w:val="single" w:sz="4" w:space="0" w:color="auto"/>
              <w:right w:val="nil"/>
            </w:tcBorders>
            <w:shd w:val="clear" w:color="000000" w:fill="F2F2F2"/>
            <w:noWrap/>
            <w:vAlign w:val="center"/>
            <w:hideMark/>
          </w:tcPr>
          <w:p w:rsidR="00A01ECA" w:rsidRPr="001A48D3" w:rsidRDefault="00A01ECA" w:rsidP="00C4701A">
            <w:pPr>
              <w:spacing w:after="120"/>
              <w:jc w:val="right"/>
              <w:rPr>
                <w:b/>
                <w:bCs/>
                <w:color w:val="000000"/>
                <w:sz w:val="22"/>
              </w:rPr>
            </w:pPr>
            <w:r w:rsidRPr="001A48D3">
              <w:rPr>
                <w:b/>
                <w:bCs/>
                <w:color w:val="000000"/>
                <w:sz w:val="22"/>
              </w:rPr>
              <w:t>HC</w:t>
            </w:r>
          </w:p>
        </w:tc>
        <w:tc>
          <w:tcPr>
            <w:tcW w:w="1417" w:type="dxa"/>
            <w:tcBorders>
              <w:top w:val="single" w:sz="4" w:space="0" w:color="auto"/>
              <w:left w:val="nil"/>
              <w:bottom w:val="single" w:sz="4" w:space="0" w:color="auto"/>
              <w:right w:val="nil"/>
            </w:tcBorders>
            <w:shd w:val="clear" w:color="000000" w:fill="F2F2F2"/>
            <w:noWrap/>
            <w:vAlign w:val="center"/>
            <w:hideMark/>
          </w:tcPr>
          <w:p w:rsidR="00A01ECA" w:rsidRPr="001A48D3" w:rsidRDefault="00A01ECA" w:rsidP="00C4701A">
            <w:pPr>
              <w:spacing w:after="120"/>
              <w:jc w:val="right"/>
              <w:rPr>
                <w:b/>
                <w:bCs/>
                <w:color w:val="000000"/>
                <w:sz w:val="22"/>
              </w:rPr>
            </w:pPr>
            <w:r w:rsidRPr="001A48D3">
              <w:rPr>
                <w:b/>
                <w:bCs/>
                <w:color w:val="000000"/>
                <w:sz w:val="22"/>
              </w:rPr>
              <w:t>NO</w:t>
            </w:r>
            <w:r w:rsidRPr="001A48D3">
              <w:rPr>
                <w:b/>
                <w:bCs/>
                <w:color w:val="000000"/>
                <w:sz w:val="22"/>
                <w:vertAlign w:val="subscript"/>
              </w:rPr>
              <w:t>x</w:t>
            </w:r>
          </w:p>
        </w:tc>
        <w:tc>
          <w:tcPr>
            <w:tcW w:w="1559" w:type="dxa"/>
            <w:tcBorders>
              <w:top w:val="single" w:sz="4" w:space="0" w:color="auto"/>
              <w:left w:val="nil"/>
              <w:bottom w:val="single" w:sz="4" w:space="0" w:color="auto"/>
              <w:right w:val="nil"/>
            </w:tcBorders>
            <w:shd w:val="clear" w:color="000000" w:fill="F2F2F2"/>
            <w:noWrap/>
            <w:vAlign w:val="center"/>
            <w:hideMark/>
          </w:tcPr>
          <w:p w:rsidR="00A01ECA" w:rsidRPr="001A48D3" w:rsidRDefault="00A01ECA" w:rsidP="00C4701A">
            <w:pPr>
              <w:spacing w:after="120"/>
              <w:jc w:val="right"/>
              <w:rPr>
                <w:b/>
                <w:bCs/>
                <w:color w:val="000000"/>
                <w:sz w:val="22"/>
              </w:rPr>
            </w:pPr>
            <w:r w:rsidRPr="001A48D3">
              <w:rPr>
                <w:b/>
                <w:bCs/>
                <w:color w:val="000000"/>
                <w:sz w:val="22"/>
              </w:rPr>
              <w:t>PM</w:t>
            </w:r>
            <w:r w:rsidRPr="001A48D3">
              <w:rPr>
                <w:b/>
                <w:bCs/>
                <w:color w:val="000000"/>
                <w:sz w:val="22"/>
                <w:vertAlign w:val="subscript"/>
              </w:rPr>
              <w:t>10</w:t>
            </w:r>
          </w:p>
        </w:tc>
      </w:tr>
      <w:tr w:rsidR="00A01ECA" w:rsidRPr="001A48D3" w:rsidTr="00A01ECA">
        <w:trPr>
          <w:trHeight w:val="288"/>
        </w:trPr>
        <w:tc>
          <w:tcPr>
            <w:tcW w:w="2268" w:type="dxa"/>
            <w:tcBorders>
              <w:top w:val="single" w:sz="4" w:space="0" w:color="auto"/>
              <w:left w:val="nil"/>
              <w:bottom w:val="nil"/>
              <w:right w:val="nil"/>
            </w:tcBorders>
            <w:noWrap/>
            <w:vAlign w:val="bottom"/>
            <w:hideMark/>
          </w:tcPr>
          <w:p w:rsidR="00A01ECA" w:rsidRPr="001A48D3" w:rsidRDefault="00A01ECA" w:rsidP="00C4701A">
            <w:pPr>
              <w:spacing w:after="120"/>
              <w:rPr>
                <w:b/>
                <w:bCs/>
                <w:color w:val="953735"/>
                <w:sz w:val="20"/>
              </w:rPr>
            </w:pPr>
            <w:r w:rsidRPr="001A48D3">
              <w:rPr>
                <w:b/>
                <w:bCs/>
                <w:color w:val="953735"/>
                <w:sz w:val="20"/>
              </w:rPr>
              <w:t>Central</w:t>
            </w:r>
          </w:p>
        </w:tc>
        <w:tc>
          <w:tcPr>
            <w:tcW w:w="1630" w:type="dxa"/>
            <w:tcBorders>
              <w:top w:val="single" w:sz="4" w:space="0" w:color="auto"/>
              <w:left w:val="nil"/>
              <w:bottom w:val="nil"/>
              <w:right w:val="nil"/>
            </w:tcBorders>
            <w:noWrap/>
            <w:vAlign w:val="bottom"/>
            <w:hideMark/>
          </w:tcPr>
          <w:p w:rsidR="00A01ECA" w:rsidRPr="001A48D3" w:rsidRDefault="00A01ECA" w:rsidP="00C4701A">
            <w:pPr>
              <w:spacing w:after="120"/>
              <w:rPr>
                <w:color w:val="000000"/>
                <w:sz w:val="20"/>
              </w:rPr>
            </w:pPr>
          </w:p>
        </w:tc>
        <w:tc>
          <w:tcPr>
            <w:tcW w:w="1417" w:type="dxa"/>
            <w:tcBorders>
              <w:top w:val="single" w:sz="4" w:space="0" w:color="auto"/>
              <w:left w:val="nil"/>
              <w:bottom w:val="nil"/>
              <w:right w:val="nil"/>
            </w:tcBorders>
            <w:noWrap/>
            <w:vAlign w:val="bottom"/>
            <w:hideMark/>
          </w:tcPr>
          <w:p w:rsidR="00A01ECA" w:rsidRPr="001A48D3" w:rsidRDefault="00A01ECA" w:rsidP="00C4701A">
            <w:pPr>
              <w:spacing w:after="120"/>
              <w:rPr>
                <w:color w:val="000000"/>
                <w:sz w:val="20"/>
              </w:rPr>
            </w:pPr>
          </w:p>
        </w:tc>
        <w:tc>
          <w:tcPr>
            <w:tcW w:w="1559" w:type="dxa"/>
            <w:tcBorders>
              <w:top w:val="single" w:sz="4" w:space="0" w:color="auto"/>
              <w:left w:val="nil"/>
              <w:bottom w:val="nil"/>
              <w:right w:val="nil"/>
            </w:tcBorders>
            <w:noWrap/>
            <w:vAlign w:val="bottom"/>
            <w:hideMark/>
          </w:tcPr>
          <w:p w:rsidR="00A01ECA" w:rsidRPr="001A48D3" w:rsidRDefault="00A01ECA" w:rsidP="00C4701A">
            <w:pPr>
              <w:spacing w:after="120"/>
              <w:rPr>
                <w:color w:val="000000"/>
                <w:sz w:val="20"/>
              </w:rPr>
            </w:pPr>
          </w:p>
        </w:tc>
      </w:tr>
      <w:tr w:rsidR="00A01ECA" w:rsidRPr="001A48D3" w:rsidTr="00A01ECA">
        <w:trPr>
          <w:trHeight w:val="288"/>
        </w:trPr>
        <w:tc>
          <w:tcPr>
            <w:tcW w:w="2268" w:type="dxa"/>
            <w:tcBorders>
              <w:top w:val="nil"/>
              <w:left w:val="nil"/>
              <w:bottom w:val="nil"/>
              <w:right w:val="nil"/>
            </w:tcBorders>
            <w:noWrap/>
            <w:vAlign w:val="bottom"/>
            <w:hideMark/>
          </w:tcPr>
          <w:p w:rsidR="00A01ECA" w:rsidRPr="001A48D3" w:rsidRDefault="00A01ECA" w:rsidP="00C4701A">
            <w:pPr>
              <w:spacing w:after="120"/>
              <w:rPr>
                <w:color w:val="000000"/>
                <w:sz w:val="18"/>
                <w:szCs w:val="18"/>
              </w:rPr>
            </w:pPr>
            <w:r w:rsidRPr="001A48D3">
              <w:rPr>
                <w:color w:val="000000"/>
                <w:sz w:val="18"/>
                <w:szCs w:val="18"/>
              </w:rPr>
              <w:t>Capital cities</w:t>
            </w:r>
          </w:p>
        </w:tc>
        <w:tc>
          <w:tcPr>
            <w:tcW w:w="1630" w:type="dxa"/>
            <w:tcBorders>
              <w:top w:val="nil"/>
              <w:left w:val="nil"/>
              <w:bottom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8,832</w:t>
            </w:r>
          </w:p>
        </w:tc>
        <w:tc>
          <w:tcPr>
            <w:tcW w:w="1417" w:type="dxa"/>
            <w:tcBorders>
              <w:top w:val="nil"/>
              <w:left w:val="nil"/>
              <w:bottom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1,056</w:t>
            </w:r>
          </w:p>
        </w:tc>
        <w:tc>
          <w:tcPr>
            <w:tcW w:w="1559" w:type="dxa"/>
            <w:tcBorders>
              <w:top w:val="nil"/>
              <w:left w:val="nil"/>
              <w:bottom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235,261</w:t>
            </w:r>
          </w:p>
        </w:tc>
      </w:tr>
      <w:tr w:rsidR="00A01ECA" w:rsidRPr="001A48D3" w:rsidTr="00A01ECA">
        <w:trPr>
          <w:trHeight w:val="288"/>
        </w:trPr>
        <w:tc>
          <w:tcPr>
            <w:tcW w:w="2268" w:type="dxa"/>
            <w:tcBorders>
              <w:top w:val="nil"/>
              <w:left w:val="nil"/>
              <w:bottom w:val="nil"/>
              <w:right w:val="nil"/>
            </w:tcBorders>
            <w:noWrap/>
            <w:vAlign w:val="bottom"/>
            <w:hideMark/>
          </w:tcPr>
          <w:p w:rsidR="00A01ECA" w:rsidRPr="001A48D3" w:rsidRDefault="00A01ECA" w:rsidP="00C4701A">
            <w:pPr>
              <w:spacing w:after="120"/>
              <w:rPr>
                <w:color w:val="000000"/>
                <w:sz w:val="18"/>
                <w:szCs w:val="18"/>
              </w:rPr>
            </w:pPr>
            <w:r w:rsidRPr="001A48D3">
              <w:rPr>
                <w:color w:val="000000"/>
                <w:sz w:val="18"/>
                <w:szCs w:val="18"/>
              </w:rPr>
              <w:t>Rest of Australia</w:t>
            </w:r>
          </w:p>
        </w:tc>
        <w:tc>
          <w:tcPr>
            <w:tcW w:w="1630" w:type="dxa"/>
            <w:tcBorders>
              <w:top w:val="nil"/>
              <w:left w:val="nil"/>
              <w:bottom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103</w:t>
            </w:r>
          </w:p>
        </w:tc>
        <w:tc>
          <w:tcPr>
            <w:tcW w:w="1417" w:type="dxa"/>
            <w:tcBorders>
              <w:top w:val="nil"/>
              <w:left w:val="nil"/>
              <w:bottom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154</w:t>
            </w:r>
          </w:p>
        </w:tc>
        <w:tc>
          <w:tcPr>
            <w:tcW w:w="1559" w:type="dxa"/>
            <w:tcBorders>
              <w:top w:val="nil"/>
              <w:left w:val="nil"/>
              <w:bottom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55,827</w:t>
            </w:r>
          </w:p>
        </w:tc>
      </w:tr>
      <w:tr w:rsidR="00A01ECA" w:rsidRPr="001A48D3" w:rsidTr="00A01ECA">
        <w:trPr>
          <w:trHeight w:val="288"/>
        </w:trPr>
        <w:tc>
          <w:tcPr>
            <w:tcW w:w="2268" w:type="dxa"/>
            <w:tcBorders>
              <w:top w:val="nil"/>
              <w:left w:val="nil"/>
              <w:bottom w:val="nil"/>
              <w:right w:val="nil"/>
            </w:tcBorders>
            <w:noWrap/>
            <w:vAlign w:val="bottom"/>
            <w:hideMark/>
          </w:tcPr>
          <w:p w:rsidR="00A01ECA" w:rsidRPr="001A48D3" w:rsidRDefault="00A01ECA" w:rsidP="00C4701A">
            <w:pPr>
              <w:spacing w:after="120"/>
              <w:rPr>
                <w:b/>
                <w:bCs/>
                <w:color w:val="953735"/>
                <w:sz w:val="20"/>
              </w:rPr>
            </w:pPr>
            <w:r w:rsidRPr="001A48D3">
              <w:rPr>
                <w:b/>
                <w:bCs/>
                <w:color w:val="953735"/>
                <w:sz w:val="20"/>
              </w:rPr>
              <w:t>Upper bound + 50%</w:t>
            </w:r>
          </w:p>
        </w:tc>
        <w:tc>
          <w:tcPr>
            <w:tcW w:w="1630" w:type="dxa"/>
            <w:tcBorders>
              <w:top w:val="nil"/>
              <w:left w:val="nil"/>
              <w:bottom w:val="nil"/>
              <w:right w:val="nil"/>
            </w:tcBorders>
            <w:noWrap/>
            <w:vAlign w:val="bottom"/>
            <w:hideMark/>
          </w:tcPr>
          <w:p w:rsidR="00A01ECA" w:rsidRPr="001A48D3" w:rsidRDefault="00A01ECA" w:rsidP="00C4701A">
            <w:pPr>
              <w:spacing w:after="120"/>
              <w:rPr>
                <w:color w:val="000000"/>
                <w:sz w:val="20"/>
              </w:rPr>
            </w:pPr>
          </w:p>
        </w:tc>
        <w:tc>
          <w:tcPr>
            <w:tcW w:w="1417" w:type="dxa"/>
            <w:tcBorders>
              <w:top w:val="nil"/>
              <w:left w:val="nil"/>
              <w:bottom w:val="nil"/>
              <w:right w:val="nil"/>
            </w:tcBorders>
            <w:noWrap/>
            <w:vAlign w:val="bottom"/>
            <w:hideMark/>
          </w:tcPr>
          <w:p w:rsidR="00A01ECA" w:rsidRPr="001A48D3" w:rsidRDefault="00A01ECA" w:rsidP="00C4701A">
            <w:pPr>
              <w:spacing w:after="120"/>
              <w:rPr>
                <w:color w:val="000000"/>
                <w:sz w:val="20"/>
              </w:rPr>
            </w:pPr>
          </w:p>
        </w:tc>
        <w:tc>
          <w:tcPr>
            <w:tcW w:w="1559" w:type="dxa"/>
            <w:tcBorders>
              <w:top w:val="nil"/>
              <w:left w:val="nil"/>
              <w:bottom w:val="nil"/>
              <w:right w:val="nil"/>
            </w:tcBorders>
            <w:noWrap/>
            <w:vAlign w:val="bottom"/>
            <w:hideMark/>
          </w:tcPr>
          <w:p w:rsidR="00A01ECA" w:rsidRPr="001A48D3" w:rsidRDefault="00A01ECA" w:rsidP="00C4701A">
            <w:pPr>
              <w:spacing w:after="120"/>
              <w:rPr>
                <w:color w:val="000000"/>
                <w:sz w:val="20"/>
              </w:rPr>
            </w:pPr>
          </w:p>
        </w:tc>
      </w:tr>
      <w:tr w:rsidR="00A01ECA" w:rsidRPr="001A48D3" w:rsidTr="00A01ECA">
        <w:trPr>
          <w:trHeight w:val="288"/>
        </w:trPr>
        <w:tc>
          <w:tcPr>
            <w:tcW w:w="2268" w:type="dxa"/>
            <w:tcBorders>
              <w:top w:val="nil"/>
              <w:left w:val="nil"/>
              <w:bottom w:val="nil"/>
              <w:right w:val="nil"/>
            </w:tcBorders>
            <w:noWrap/>
            <w:vAlign w:val="bottom"/>
            <w:hideMark/>
          </w:tcPr>
          <w:p w:rsidR="00A01ECA" w:rsidRPr="001A48D3" w:rsidRDefault="00A01ECA" w:rsidP="00C4701A">
            <w:pPr>
              <w:spacing w:after="120"/>
              <w:rPr>
                <w:color w:val="000000"/>
                <w:sz w:val="18"/>
                <w:szCs w:val="18"/>
              </w:rPr>
            </w:pPr>
            <w:r w:rsidRPr="001A48D3">
              <w:rPr>
                <w:color w:val="000000"/>
                <w:sz w:val="18"/>
                <w:szCs w:val="18"/>
              </w:rPr>
              <w:t>Capital cities</w:t>
            </w:r>
          </w:p>
        </w:tc>
        <w:tc>
          <w:tcPr>
            <w:tcW w:w="1630" w:type="dxa"/>
            <w:tcBorders>
              <w:top w:val="nil"/>
              <w:left w:val="nil"/>
              <w:bottom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13,248</w:t>
            </w:r>
          </w:p>
        </w:tc>
        <w:tc>
          <w:tcPr>
            <w:tcW w:w="1417" w:type="dxa"/>
            <w:tcBorders>
              <w:top w:val="nil"/>
              <w:left w:val="nil"/>
              <w:bottom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1,584</w:t>
            </w:r>
          </w:p>
        </w:tc>
        <w:tc>
          <w:tcPr>
            <w:tcW w:w="1559" w:type="dxa"/>
            <w:tcBorders>
              <w:top w:val="nil"/>
              <w:left w:val="nil"/>
              <w:bottom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352,891</w:t>
            </w:r>
          </w:p>
        </w:tc>
      </w:tr>
      <w:tr w:rsidR="00A01ECA" w:rsidRPr="001A48D3" w:rsidTr="00A01ECA">
        <w:trPr>
          <w:trHeight w:val="288"/>
        </w:trPr>
        <w:tc>
          <w:tcPr>
            <w:tcW w:w="2268" w:type="dxa"/>
            <w:tcBorders>
              <w:top w:val="nil"/>
              <w:left w:val="nil"/>
              <w:bottom w:val="nil"/>
              <w:right w:val="nil"/>
            </w:tcBorders>
            <w:noWrap/>
            <w:vAlign w:val="bottom"/>
            <w:hideMark/>
          </w:tcPr>
          <w:p w:rsidR="00A01ECA" w:rsidRPr="001A48D3" w:rsidRDefault="00A01ECA" w:rsidP="00C4701A">
            <w:pPr>
              <w:spacing w:after="120"/>
              <w:rPr>
                <w:color w:val="000000"/>
                <w:sz w:val="18"/>
                <w:szCs w:val="18"/>
              </w:rPr>
            </w:pPr>
            <w:r w:rsidRPr="001A48D3">
              <w:rPr>
                <w:color w:val="000000"/>
                <w:sz w:val="18"/>
                <w:szCs w:val="18"/>
              </w:rPr>
              <w:t>Rest of Australia</w:t>
            </w:r>
          </w:p>
        </w:tc>
        <w:tc>
          <w:tcPr>
            <w:tcW w:w="1630" w:type="dxa"/>
            <w:tcBorders>
              <w:top w:val="nil"/>
              <w:left w:val="nil"/>
              <w:bottom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155</w:t>
            </w:r>
          </w:p>
        </w:tc>
        <w:tc>
          <w:tcPr>
            <w:tcW w:w="1417" w:type="dxa"/>
            <w:tcBorders>
              <w:top w:val="nil"/>
              <w:left w:val="nil"/>
              <w:bottom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231</w:t>
            </w:r>
          </w:p>
        </w:tc>
        <w:tc>
          <w:tcPr>
            <w:tcW w:w="1559" w:type="dxa"/>
            <w:tcBorders>
              <w:top w:val="nil"/>
              <w:left w:val="nil"/>
              <w:bottom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83,740</w:t>
            </w:r>
          </w:p>
        </w:tc>
      </w:tr>
      <w:tr w:rsidR="00A01ECA" w:rsidRPr="001A48D3" w:rsidTr="00A01ECA">
        <w:trPr>
          <w:trHeight w:val="312"/>
        </w:trPr>
        <w:tc>
          <w:tcPr>
            <w:tcW w:w="2268" w:type="dxa"/>
            <w:tcBorders>
              <w:top w:val="nil"/>
              <w:left w:val="nil"/>
              <w:bottom w:val="nil"/>
              <w:right w:val="nil"/>
            </w:tcBorders>
            <w:noWrap/>
            <w:vAlign w:val="bottom"/>
            <w:hideMark/>
          </w:tcPr>
          <w:p w:rsidR="00A01ECA" w:rsidRPr="001A48D3" w:rsidRDefault="00A01ECA" w:rsidP="00C4701A">
            <w:pPr>
              <w:spacing w:after="120"/>
              <w:rPr>
                <w:b/>
                <w:bCs/>
                <w:color w:val="953735"/>
                <w:sz w:val="20"/>
              </w:rPr>
            </w:pPr>
            <w:r w:rsidRPr="001A48D3">
              <w:rPr>
                <w:b/>
                <w:bCs/>
                <w:color w:val="953735"/>
                <w:sz w:val="20"/>
              </w:rPr>
              <w:t>Lower bound -50 %</w:t>
            </w:r>
          </w:p>
        </w:tc>
        <w:tc>
          <w:tcPr>
            <w:tcW w:w="1630" w:type="dxa"/>
            <w:tcBorders>
              <w:top w:val="nil"/>
              <w:left w:val="nil"/>
              <w:bottom w:val="nil"/>
              <w:right w:val="nil"/>
            </w:tcBorders>
            <w:noWrap/>
            <w:vAlign w:val="bottom"/>
            <w:hideMark/>
          </w:tcPr>
          <w:p w:rsidR="00A01ECA" w:rsidRPr="001A48D3" w:rsidRDefault="00A01ECA" w:rsidP="00C4701A">
            <w:pPr>
              <w:spacing w:after="120"/>
              <w:rPr>
                <w:color w:val="000000"/>
                <w:sz w:val="20"/>
              </w:rPr>
            </w:pPr>
          </w:p>
        </w:tc>
        <w:tc>
          <w:tcPr>
            <w:tcW w:w="1417" w:type="dxa"/>
            <w:tcBorders>
              <w:top w:val="nil"/>
              <w:left w:val="nil"/>
              <w:bottom w:val="nil"/>
              <w:right w:val="nil"/>
            </w:tcBorders>
            <w:noWrap/>
            <w:vAlign w:val="bottom"/>
            <w:hideMark/>
          </w:tcPr>
          <w:p w:rsidR="00A01ECA" w:rsidRPr="001A48D3" w:rsidRDefault="00A01ECA" w:rsidP="00C4701A">
            <w:pPr>
              <w:spacing w:after="120"/>
              <w:rPr>
                <w:color w:val="000000"/>
                <w:sz w:val="20"/>
              </w:rPr>
            </w:pPr>
          </w:p>
        </w:tc>
        <w:tc>
          <w:tcPr>
            <w:tcW w:w="1559" w:type="dxa"/>
            <w:tcBorders>
              <w:top w:val="nil"/>
              <w:left w:val="nil"/>
              <w:bottom w:val="nil"/>
              <w:right w:val="nil"/>
            </w:tcBorders>
            <w:noWrap/>
            <w:vAlign w:val="bottom"/>
            <w:hideMark/>
          </w:tcPr>
          <w:p w:rsidR="00A01ECA" w:rsidRPr="001A48D3" w:rsidRDefault="00A01ECA" w:rsidP="00C4701A">
            <w:pPr>
              <w:spacing w:after="120"/>
              <w:rPr>
                <w:color w:val="000000"/>
                <w:sz w:val="20"/>
              </w:rPr>
            </w:pPr>
          </w:p>
        </w:tc>
      </w:tr>
      <w:tr w:rsidR="00A01ECA" w:rsidRPr="001A48D3" w:rsidTr="00A01ECA">
        <w:trPr>
          <w:trHeight w:val="288"/>
        </w:trPr>
        <w:tc>
          <w:tcPr>
            <w:tcW w:w="2268" w:type="dxa"/>
            <w:tcBorders>
              <w:top w:val="nil"/>
              <w:left w:val="nil"/>
              <w:right w:val="nil"/>
            </w:tcBorders>
            <w:noWrap/>
            <w:vAlign w:val="bottom"/>
            <w:hideMark/>
          </w:tcPr>
          <w:p w:rsidR="00A01ECA" w:rsidRPr="001A48D3" w:rsidRDefault="00A01ECA" w:rsidP="00C4701A">
            <w:pPr>
              <w:spacing w:after="120"/>
              <w:rPr>
                <w:color w:val="000000"/>
                <w:sz w:val="18"/>
                <w:szCs w:val="18"/>
              </w:rPr>
            </w:pPr>
            <w:r w:rsidRPr="001A48D3">
              <w:rPr>
                <w:color w:val="000000"/>
                <w:sz w:val="18"/>
                <w:szCs w:val="18"/>
              </w:rPr>
              <w:t>Capital cities</w:t>
            </w:r>
          </w:p>
        </w:tc>
        <w:tc>
          <w:tcPr>
            <w:tcW w:w="1630" w:type="dxa"/>
            <w:tcBorders>
              <w:top w:val="nil"/>
              <w:left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4,416</w:t>
            </w:r>
          </w:p>
        </w:tc>
        <w:tc>
          <w:tcPr>
            <w:tcW w:w="1417" w:type="dxa"/>
            <w:tcBorders>
              <w:top w:val="nil"/>
              <w:left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528</w:t>
            </w:r>
          </w:p>
        </w:tc>
        <w:tc>
          <w:tcPr>
            <w:tcW w:w="1559" w:type="dxa"/>
            <w:tcBorders>
              <w:top w:val="nil"/>
              <w:left w:val="nil"/>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117,630</w:t>
            </w:r>
          </w:p>
        </w:tc>
      </w:tr>
      <w:tr w:rsidR="00A01ECA" w:rsidRPr="001A48D3" w:rsidTr="00A01ECA">
        <w:trPr>
          <w:trHeight w:val="288"/>
        </w:trPr>
        <w:tc>
          <w:tcPr>
            <w:tcW w:w="2268" w:type="dxa"/>
            <w:tcBorders>
              <w:top w:val="nil"/>
              <w:left w:val="nil"/>
              <w:bottom w:val="single" w:sz="4" w:space="0" w:color="auto"/>
              <w:right w:val="nil"/>
            </w:tcBorders>
            <w:noWrap/>
            <w:vAlign w:val="bottom"/>
            <w:hideMark/>
          </w:tcPr>
          <w:p w:rsidR="00A01ECA" w:rsidRPr="001A48D3" w:rsidRDefault="00A01ECA" w:rsidP="00C4701A">
            <w:pPr>
              <w:spacing w:after="120"/>
              <w:rPr>
                <w:color w:val="000000"/>
                <w:sz w:val="18"/>
                <w:szCs w:val="18"/>
              </w:rPr>
            </w:pPr>
            <w:r w:rsidRPr="001A48D3">
              <w:rPr>
                <w:color w:val="000000"/>
                <w:sz w:val="18"/>
                <w:szCs w:val="18"/>
              </w:rPr>
              <w:t>Rest of Australia</w:t>
            </w:r>
          </w:p>
        </w:tc>
        <w:tc>
          <w:tcPr>
            <w:tcW w:w="1630" w:type="dxa"/>
            <w:tcBorders>
              <w:top w:val="nil"/>
              <w:left w:val="nil"/>
              <w:bottom w:val="single" w:sz="4" w:space="0" w:color="auto"/>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52</w:t>
            </w:r>
          </w:p>
        </w:tc>
        <w:tc>
          <w:tcPr>
            <w:tcW w:w="1417" w:type="dxa"/>
            <w:tcBorders>
              <w:top w:val="nil"/>
              <w:left w:val="nil"/>
              <w:bottom w:val="single" w:sz="4" w:space="0" w:color="auto"/>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77</w:t>
            </w:r>
          </w:p>
        </w:tc>
        <w:tc>
          <w:tcPr>
            <w:tcW w:w="1559" w:type="dxa"/>
            <w:tcBorders>
              <w:top w:val="nil"/>
              <w:left w:val="nil"/>
              <w:bottom w:val="single" w:sz="4" w:space="0" w:color="auto"/>
              <w:right w:val="nil"/>
            </w:tcBorders>
            <w:noWrap/>
            <w:vAlign w:val="bottom"/>
            <w:hideMark/>
          </w:tcPr>
          <w:p w:rsidR="00A01ECA" w:rsidRPr="001A48D3" w:rsidRDefault="00A01ECA" w:rsidP="00C4701A">
            <w:pPr>
              <w:spacing w:after="120"/>
              <w:jc w:val="right"/>
              <w:rPr>
                <w:color w:val="000000"/>
                <w:sz w:val="18"/>
                <w:szCs w:val="18"/>
              </w:rPr>
            </w:pPr>
            <w:r w:rsidRPr="001A48D3">
              <w:rPr>
                <w:color w:val="000000"/>
                <w:sz w:val="18"/>
                <w:szCs w:val="18"/>
              </w:rPr>
              <w:t>27,913</w:t>
            </w:r>
          </w:p>
        </w:tc>
      </w:tr>
    </w:tbl>
    <w:p w:rsidR="00A01ECA" w:rsidRPr="001A48D3" w:rsidRDefault="00A01ECA" w:rsidP="00C4701A">
      <w:pPr>
        <w:spacing w:before="120" w:after="120"/>
        <w:rPr>
          <w:i/>
          <w:sz w:val="16"/>
          <w:szCs w:val="16"/>
        </w:rPr>
      </w:pPr>
      <w:r w:rsidRPr="001A48D3">
        <w:rPr>
          <w:i/>
          <w:sz w:val="16"/>
          <w:szCs w:val="16"/>
        </w:rPr>
        <w:t>Source:</w:t>
      </w:r>
      <w:r w:rsidRPr="001A48D3">
        <w:rPr>
          <w:i/>
          <w:sz w:val="16"/>
          <w:szCs w:val="16"/>
        </w:rPr>
        <w:tab/>
        <w:t xml:space="preserve">Derived from the results from Coffey Geosciences (2003), </w:t>
      </w:r>
      <w:proofErr w:type="spellStart"/>
      <w:r w:rsidRPr="001A48D3">
        <w:rPr>
          <w:i/>
          <w:sz w:val="16"/>
          <w:szCs w:val="16"/>
        </w:rPr>
        <w:t>Watkiss</w:t>
      </w:r>
      <w:proofErr w:type="spellEnd"/>
      <w:r w:rsidRPr="001A48D3">
        <w:rPr>
          <w:i/>
          <w:sz w:val="16"/>
          <w:szCs w:val="16"/>
        </w:rPr>
        <w:t xml:space="preserve"> (2002) and Beer (2002).</w:t>
      </w:r>
    </w:p>
    <w:p w:rsidR="00A01ECA" w:rsidRPr="001A48D3" w:rsidRDefault="00A01ECA" w:rsidP="00B52F7D">
      <w:pPr>
        <w:pStyle w:val="Heading2"/>
      </w:pPr>
      <w:bookmarkStart w:id="144" w:name="_Toc430182600"/>
      <w:r w:rsidRPr="001A48D3">
        <w:t>Benefit–cost analysis</w:t>
      </w:r>
      <w:bookmarkEnd w:id="144"/>
    </w:p>
    <w:p w:rsidR="00A01ECA" w:rsidRPr="001A48D3" w:rsidRDefault="00A01ECA" w:rsidP="00C4701A">
      <w:pPr>
        <w:spacing w:after="120"/>
      </w:pPr>
      <w:r w:rsidRPr="001A48D3">
        <w:t xml:space="preserve">For the purpose of benefit–cost analysis, the base and price year is set to 2009 with the evaluation period extending to </w:t>
      </w:r>
      <w:r w:rsidR="006968FB" w:rsidRPr="001A48D3">
        <w:t>2029</w:t>
      </w:r>
      <w:r w:rsidRPr="001A48D3">
        <w:t xml:space="preserve">. Following the recommendations in the </w:t>
      </w:r>
      <w:r w:rsidRPr="001A48D3">
        <w:rPr>
          <w:i/>
        </w:rPr>
        <w:t>Best Practice Regulation Handbook</w:t>
      </w:r>
      <w:r w:rsidRPr="001A48D3">
        <w:t xml:space="preserve"> (OBPR 2007), the discount rate used to estimate the net present value is 7</w:t>
      </w:r>
      <w:r w:rsidR="00D56B08" w:rsidRPr="001A48D3">
        <w:t>%</w:t>
      </w:r>
      <w:r w:rsidRPr="001A48D3">
        <w:t>, with sensitivity tests at 3 and 11</w:t>
      </w:r>
      <w:r w:rsidR="00D56B08" w:rsidRPr="001A48D3">
        <w:t>%</w:t>
      </w:r>
      <w:r w:rsidRPr="001A48D3">
        <w:t>.</w:t>
      </w:r>
    </w:p>
    <w:p w:rsidR="00B71530" w:rsidRPr="001A48D3" w:rsidRDefault="00A01ECA" w:rsidP="00C4701A">
      <w:pPr>
        <w:spacing w:after="120"/>
      </w:pPr>
      <w:r w:rsidRPr="001A48D3">
        <w:t>The key indicators for economic viability are Net Present Value (NPV) and Benefit–Cost Ratio (BCR).</w:t>
      </w:r>
    </w:p>
    <w:p w:rsidR="002E5D02" w:rsidRDefault="00B71530" w:rsidP="00B52F7D">
      <w:r w:rsidRPr="001A48D3">
        <w:br w:type="page"/>
      </w:r>
    </w:p>
    <w:p w:rsidR="00A01ECA" w:rsidRPr="002E5D02" w:rsidRDefault="00A01ECA" w:rsidP="00B52F7D">
      <w:pPr>
        <w:pStyle w:val="Heading3"/>
      </w:pPr>
      <w:bookmarkStart w:id="145" w:name="_Toc430182601"/>
      <w:r w:rsidRPr="001A48D3">
        <w:lastRenderedPageBreak/>
        <w:t>Scenarios</w:t>
      </w:r>
      <w:bookmarkEnd w:id="145"/>
    </w:p>
    <w:p w:rsidR="00A01ECA" w:rsidRPr="001A48D3" w:rsidRDefault="00A01ECA" w:rsidP="00C4701A">
      <w:pPr>
        <w:spacing w:after="120"/>
      </w:pPr>
      <w:r w:rsidRPr="001A48D3">
        <w:t>Two regulatory options are analysed against the business-as-usual (BAU) case. These two options differ slightly in the timing of introduction.</w:t>
      </w:r>
    </w:p>
    <w:p w:rsidR="00A01ECA" w:rsidRPr="00B52F7D" w:rsidRDefault="00A01ECA" w:rsidP="00C4701A">
      <w:pPr>
        <w:spacing w:after="120"/>
        <w:rPr>
          <w:b/>
        </w:rPr>
      </w:pPr>
      <w:r w:rsidRPr="00B52F7D">
        <w:rPr>
          <w:b/>
        </w:rPr>
        <w:t xml:space="preserve">BAU case </w:t>
      </w:r>
    </w:p>
    <w:p w:rsidR="00A01ECA" w:rsidRPr="001A48D3" w:rsidRDefault="00A01ECA" w:rsidP="00C4701A">
      <w:pPr>
        <w:spacing w:after="120"/>
      </w:pPr>
      <w:r w:rsidRPr="001A48D3">
        <w:t xml:space="preserve">The following assumptions are made for the base case scenario. </w:t>
      </w:r>
    </w:p>
    <w:p w:rsidR="00A01ECA" w:rsidRPr="001A48D3" w:rsidRDefault="00A01ECA" w:rsidP="00C4701A">
      <w:pPr>
        <w:numPr>
          <w:ilvl w:val="0"/>
          <w:numId w:val="8"/>
        </w:numPr>
        <w:spacing w:after="120" w:line="276" w:lineRule="auto"/>
        <w:ind w:left="714" w:hanging="357"/>
      </w:pPr>
      <w:r w:rsidRPr="001A48D3">
        <w:t xml:space="preserve">Oil prices remain at current levels ($60-70 US per barrel). </w:t>
      </w:r>
    </w:p>
    <w:p w:rsidR="00A01ECA" w:rsidRPr="001A48D3" w:rsidRDefault="00A01ECA" w:rsidP="00C4701A">
      <w:pPr>
        <w:numPr>
          <w:ilvl w:val="0"/>
          <w:numId w:val="8"/>
        </w:numPr>
        <w:spacing w:after="120" w:line="276" w:lineRule="auto"/>
        <w:ind w:left="714" w:hanging="357"/>
      </w:pPr>
      <w:r w:rsidRPr="001A48D3">
        <w:t>Population grows according to the mid-range ‘Series B’ scenario values of the latest ABS population projections.</w:t>
      </w:r>
    </w:p>
    <w:p w:rsidR="00A01ECA" w:rsidRPr="001A48D3" w:rsidRDefault="00A01ECA" w:rsidP="00C4701A">
      <w:pPr>
        <w:numPr>
          <w:ilvl w:val="0"/>
          <w:numId w:val="8"/>
        </w:numPr>
        <w:spacing w:after="120" w:line="276" w:lineRule="auto"/>
        <w:ind w:left="714" w:hanging="357"/>
      </w:pPr>
      <w:r w:rsidRPr="001A48D3">
        <w:t>Income grows in line with Treasury’s latest Budget statements for short term and their Inter-generational report for longer term.</w:t>
      </w:r>
    </w:p>
    <w:p w:rsidR="00A01ECA" w:rsidRPr="001A48D3" w:rsidRDefault="00A01ECA" w:rsidP="00C4701A">
      <w:pPr>
        <w:numPr>
          <w:ilvl w:val="0"/>
          <w:numId w:val="8"/>
        </w:numPr>
        <w:spacing w:after="120" w:line="276" w:lineRule="auto"/>
        <w:ind w:left="714" w:hanging="357"/>
      </w:pPr>
      <w:r w:rsidRPr="001A48D3">
        <w:t xml:space="preserve">Average fleet travel behaviour remains roughly the same as now (e.g. cars average about 15000 km per annum), but with overall per capita travel approaching saturation levels with respect to average income levels (in line with BITRE’s projection report provided to Treasury last year – </w:t>
      </w:r>
      <w:r w:rsidRPr="001A48D3">
        <w:rPr>
          <w:i/>
        </w:rPr>
        <w:t>Modelling the Road Transport Sector</w:t>
      </w:r>
      <w:r w:rsidRPr="001A48D3">
        <w:t>).</w:t>
      </w:r>
    </w:p>
    <w:p w:rsidR="00A01ECA" w:rsidRPr="001A48D3" w:rsidRDefault="00A01ECA" w:rsidP="00C4701A">
      <w:pPr>
        <w:numPr>
          <w:ilvl w:val="0"/>
          <w:numId w:val="8"/>
        </w:numPr>
        <w:spacing w:after="120" w:line="276" w:lineRule="auto"/>
        <w:ind w:left="714" w:hanging="357"/>
      </w:pPr>
      <w:r w:rsidRPr="001A48D3">
        <w:t>There will be no change to current vehicle or fuel standards.</w:t>
      </w:r>
    </w:p>
    <w:p w:rsidR="00A01ECA" w:rsidRPr="001A48D3" w:rsidRDefault="00A01ECA" w:rsidP="00C4701A">
      <w:pPr>
        <w:numPr>
          <w:ilvl w:val="0"/>
          <w:numId w:val="8"/>
        </w:numPr>
        <w:spacing w:after="120" w:line="276" w:lineRule="auto"/>
        <w:ind w:left="714" w:hanging="357"/>
      </w:pPr>
      <w:r w:rsidRPr="001A48D3">
        <w:t xml:space="preserve">Diesel vehicles continue to increase their market share in line with current growth trends, so that they will dominate LCV sales by </w:t>
      </w:r>
      <w:r w:rsidR="00286809" w:rsidRPr="001A48D3">
        <w:t>2029</w:t>
      </w:r>
      <w:r w:rsidRPr="001A48D3">
        <w:t xml:space="preserve">. They are a major component of SUV sales, but still account for only a small proportion of sedan sales. By </w:t>
      </w:r>
      <w:r w:rsidR="00286809" w:rsidRPr="001A48D3">
        <w:t>2029</w:t>
      </w:r>
      <w:r w:rsidRPr="001A48D3">
        <w:t xml:space="preserve">, diesel vehicles are forecast to achieve an overall market share of about </w:t>
      </w:r>
      <w:r w:rsidR="006E53ED" w:rsidRPr="001A48D3">
        <w:t>35</w:t>
      </w:r>
      <w:r w:rsidRPr="001A48D3">
        <w:t>% of annual light vehicle sales.</w:t>
      </w:r>
    </w:p>
    <w:p w:rsidR="00A01ECA" w:rsidRPr="001A48D3" w:rsidRDefault="00A01ECA" w:rsidP="00C4701A">
      <w:pPr>
        <w:numPr>
          <w:ilvl w:val="0"/>
          <w:numId w:val="8"/>
        </w:numPr>
        <w:spacing w:after="120" w:line="276" w:lineRule="auto"/>
      </w:pPr>
      <w:r w:rsidRPr="001A48D3">
        <w:t>Mid-range deterioration rates are assumed for the emissions-reducing technology. Deterioration is slow, such that most vehicles are still within the standards after about 10 years. A small proportion of the fleet, growing with vehicle age, will be grossly polluting, accounting for vehicles with poor service records or malfunctioning emission control.</w:t>
      </w:r>
    </w:p>
    <w:p w:rsidR="00A01ECA" w:rsidRPr="001A48D3" w:rsidRDefault="00A01ECA" w:rsidP="00C4701A">
      <w:pPr>
        <w:spacing w:after="120"/>
      </w:pPr>
      <w:r w:rsidRPr="001A48D3">
        <w:t>The BAU case lacks some of the details of the full CARMOD model. For example, over the time-scale considered, the fleet is expected to include a significant number of plug-in hybrids. To have them in the BAU case would mean analysing electricity supply emissions, which is an unnecessary complication for the purpose at hand. Hence, the number of plug-ins is set to zero.</w:t>
      </w:r>
    </w:p>
    <w:p w:rsidR="00A01ECA" w:rsidRPr="001A48D3" w:rsidRDefault="00A01ECA" w:rsidP="00C4701A">
      <w:pPr>
        <w:spacing w:after="120"/>
        <w:rPr>
          <w:b/>
        </w:rPr>
      </w:pPr>
      <w:r w:rsidRPr="001A48D3">
        <w:rPr>
          <w:b/>
        </w:rPr>
        <w:t>Scenario 1 (S1)</w:t>
      </w:r>
    </w:p>
    <w:p w:rsidR="00A01ECA" w:rsidRPr="001A48D3" w:rsidRDefault="00A01ECA" w:rsidP="00C4701A">
      <w:pPr>
        <w:spacing w:after="120"/>
      </w:pPr>
      <w:r w:rsidRPr="001A48D3">
        <w:t>Scenario 1 is the same as the BAU case, except that the new standards are introduced according to the schedule in Table 1.</w:t>
      </w:r>
    </w:p>
    <w:p w:rsidR="00A01ECA" w:rsidRPr="001A48D3" w:rsidRDefault="00A01ECA" w:rsidP="00C4701A">
      <w:pPr>
        <w:spacing w:after="120"/>
        <w:rPr>
          <w:b/>
        </w:rPr>
      </w:pPr>
      <w:r w:rsidRPr="001A48D3">
        <w:rPr>
          <w:b/>
        </w:rPr>
        <w:t>Scenario 1A (S1A)</w:t>
      </w:r>
    </w:p>
    <w:p w:rsidR="00A01ECA" w:rsidRPr="001A48D3" w:rsidRDefault="00A01ECA" w:rsidP="00C4701A">
      <w:pPr>
        <w:spacing w:after="120"/>
      </w:pPr>
      <w:r w:rsidRPr="001A48D3">
        <w:t>Scenario 1A is the same as for Scenario 1, except for the delayed introduction of the new standards, as show in Table 1.</w:t>
      </w:r>
    </w:p>
    <w:p w:rsidR="00A01ECA" w:rsidRPr="001A48D3" w:rsidRDefault="00A01ECA" w:rsidP="00B52F7D">
      <w:pPr>
        <w:pStyle w:val="Heading3"/>
      </w:pPr>
      <w:bookmarkStart w:id="146" w:name="_Toc430182602"/>
      <w:r w:rsidRPr="001A48D3">
        <w:lastRenderedPageBreak/>
        <w:t>Health benefits</w:t>
      </w:r>
      <w:bookmarkEnd w:id="146"/>
    </w:p>
    <w:p w:rsidR="00A01ECA" w:rsidRPr="001A48D3" w:rsidRDefault="00A01ECA" w:rsidP="00C4701A">
      <w:pPr>
        <w:spacing w:after="120"/>
      </w:pPr>
      <w:r w:rsidRPr="001A48D3">
        <w:t xml:space="preserve">Tables 5 and 6 present modelling results for reductions in pollutants emitted (’000 tonnes) and health benefits ($ millions) for scenarios S1 and S1A compared with the BAU case. It can be seen that the health impacts of the two options are very similar. </w:t>
      </w:r>
    </w:p>
    <w:p w:rsidR="00A01ECA" w:rsidRDefault="00A01ECA" w:rsidP="00B52F7D">
      <w:pPr>
        <w:pStyle w:val="Heading3"/>
      </w:pPr>
      <w:bookmarkStart w:id="147" w:name="_Toc430182603"/>
      <w:r w:rsidRPr="001A48D3">
        <w:t>Table 5</w:t>
      </w:r>
      <w:r w:rsidRPr="001A48D3">
        <w:tab/>
        <w:t>Changes in emissions from the light vehicle fleet (’000 tonnes)</w:t>
      </w:r>
      <w:bookmarkEnd w:id="147"/>
    </w:p>
    <w:tbl>
      <w:tblPr>
        <w:tblW w:w="8090" w:type="dxa"/>
        <w:tblInd w:w="98" w:type="dxa"/>
        <w:tblLook w:val="04A0" w:firstRow="1" w:lastRow="0" w:firstColumn="1" w:lastColumn="0" w:noHBand="0" w:noVBand="1"/>
      </w:tblPr>
      <w:tblGrid>
        <w:gridCol w:w="719"/>
        <w:gridCol w:w="1276"/>
        <w:gridCol w:w="1276"/>
        <w:gridCol w:w="1134"/>
        <w:gridCol w:w="1275"/>
        <w:gridCol w:w="993"/>
        <w:gridCol w:w="1417"/>
      </w:tblGrid>
      <w:tr w:rsidR="00A01ECA" w:rsidRPr="001A48D3" w:rsidTr="00A01ECA">
        <w:trPr>
          <w:trHeight w:val="288"/>
        </w:trPr>
        <w:tc>
          <w:tcPr>
            <w:tcW w:w="719" w:type="dxa"/>
            <w:vMerge w:val="restart"/>
            <w:tcBorders>
              <w:top w:val="single" w:sz="8" w:space="0" w:color="auto"/>
              <w:bottom w:val="single" w:sz="4" w:space="0" w:color="auto"/>
            </w:tcBorders>
            <w:noWrap/>
            <w:vAlign w:val="bottom"/>
            <w:hideMark/>
          </w:tcPr>
          <w:p w:rsidR="00A01ECA" w:rsidRPr="001A48D3" w:rsidRDefault="00A01ECA" w:rsidP="00C4701A">
            <w:pPr>
              <w:spacing w:after="120"/>
              <w:rPr>
                <w:color w:val="000000"/>
                <w:sz w:val="22"/>
              </w:rPr>
            </w:pPr>
            <w:r w:rsidRPr="001A48D3">
              <w:rPr>
                <w:color w:val="000000"/>
                <w:sz w:val="22"/>
              </w:rPr>
              <w:t> Year</w:t>
            </w:r>
          </w:p>
        </w:tc>
        <w:tc>
          <w:tcPr>
            <w:tcW w:w="2552" w:type="dxa"/>
            <w:gridSpan w:val="2"/>
            <w:tcBorders>
              <w:top w:val="single" w:sz="8" w:space="0" w:color="auto"/>
              <w:left w:val="nil"/>
              <w:bottom w:val="single" w:sz="4" w:space="0" w:color="auto"/>
              <w:right w:val="single" w:sz="4" w:space="0" w:color="auto"/>
            </w:tcBorders>
            <w:noWrap/>
            <w:vAlign w:val="bottom"/>
            <w:hideMark/>
          </w:tcPr>
          <w:p w:rsidR="00A01ECA" w:rsidRPr="001A48D3" w:rsidRDefault="00A01ECA" w:rsidP="001E1827">
            <w:pPr>
              <w:spacing w:before="240" w:after="120"/>
              <w:jc w:val="center"/>
              <w:rPr>
                <w:color w:val="000000"/>
                <w:sz w:val="22"/>
              </w:rPr>
            </w:pPr>
            <w:r w:rsidRPr="001A48D3">
              <w:rPr>
                <w:color w:val="000000"/>
                <w:sz w:val="22"/>
              </w:rPr>
              <w:t>HC</w:t>
            </w:r>
          </w:p>
        </w:tc>
        <w:tc>
          <w:tcPr>
            <w:tcW w:w="2409" w:type="dxa"/>
            <w:gridSpan w:val="2"/>
            <w:tcBorders>
              <w:top w:val="single" w:sz="8"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NO</w:t>
            </w:r>
            <w:r w:rsidRPr="001A48D3">
              <w:rPr>
                <w:color w:val="000000"/>
                <w:sz w:val="22"/>
                <w:vertAlign w:val="subscript"/>
              </w:rPr>
              <w:t>x</w:t>
            </w:r>
          </w:p>
        </w:tc>
        <w:tc>
          <w:tcPr>
            <w:tcW w:w="2410" w:type="dxa"/>
            <w:gridSpan w:val="2"/>
            <w:tcBorders>
              <w:top w:val="single" w:sz="8" w:space="0" w:color="auto"/>
              <w:left w:val="single" w:sz="4" w:space="0" w:color="auto"/>
              <w:bottom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PM</w:t>
            </w:r>
            <w:r w:rsidRPr="001A48D3">
              <w:rPr>
                <w:color w:val="000000"/>
                <w:sz w:val="22"/>
                <w:vertAlign w:val="subscript"/>
              </w:rPr>
              <w:t>10</w:t>
            </w:r>
          </w:p>
        </w:tc>
      </w:tr>
      <w:tr w:rsidR="00A01ECA" w:rsidRPr="001A48D3" w:rsidTr="00A01ECA">
        <w:trPr>
          <w:trHeight w:val="288"/>
        </w:trPr>
        <w:tc>
          <w:tcPr>
            <w:tcW w:w="719" w:type="dxa"/>
            <w:vMerge/>
            <w:tcBorders>
              <w:top w:val="single" w:sz="4" w:space="0" w:color="auto"/>
              <w:bottom w:val="single" w:sz="4" w:space="0" w:color="auto"/>
            </w:tcBorders>
            <w:noWrap/>
            <w:vAlign w:val="bottom"/>
            <w:hideMark/>
          </w:tcPr>
          <w:p w:rsidR="00A01ECA" w:rsidRPr="001A48D3" w:rsidRDefault="00A01ECA" w:rsidP="00C4701A">
            <w:pPr>
              <w:spacing w:after="120"/>
              <w:rPr>
                <w:color w:val="000000"/>
                <w:sz w:val="22"/>
              </w:rPr>
            </w:pPr>
          </w:p>
        </w:tc>
        <w:tc>
          <w:tcPr>
            <w:tcW w:w="1276" w:type="dxa"/>
            <w:tcBorders>
              <w:top w:val="single" w:sz="4" w:space="0" w:color="auto"/>
              <w:left w:val="nil"/>
              <w:bottom w:val="single" w:sz="4"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S1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S1A</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S1</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S1A</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S1</w:t>
            </w:r>
          </w:p>
        </w:tc>
        <w:tc>
          <w:tcPr>
            <w:tcW w:w="1417" w:type="dxa"/>
            <w:tcBorders>
              <w:left w:val="single" w:sz="4" w:space="0" w:color="auto"/>
              <w:bottom w:val="single" w:sz="4" w:space="0" w:color="auto"/>
              <w:right w:val="single" w:sz="8"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S1A</w:t>
            </w:r>
          </w:p>
        </w:tc>
      </w:tr>
      <w:tr w:rsidR="00A01ECA" w:rsidRPr="001A48D3" w:rsidTr="00A01ECA">
        <w:trPr>
          <w:trHeight w:val="288"/>
        </w:trPr>
        <w:tc>
          <w:tcPr>
            <w:tcW w:w="719" w:type="dxa"/>
            <w:tcBorders>
              <w:top w:val="single" w:sz="4" w:space="0" w:color="auto"/>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2009</w:t>
            </w:r>
          </w:p>
        </w:tc>
        <w:tc>
          <w:tcPr>
            <w:tcW w:w="1276" w:type="dxa"/>
            <w:tcBorders>
              <w:top w:val="single" w:sz="4" w:space="0" w:color="auto"/>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1276" w:type="dxa"/>
            <w:tcBorders>
              <w:top w:val="single" w:sz="4" w:space="0" w:color="auto"/>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1134" w:type="dxa"/>
            <w:tcBorders>
              <w:top w:val="single" w:sz="4" w:space="0" w:color="auto"/>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1275" w:type="dxa"/>
            <w:tcBorders>
              <w:top w:val="single" w:sz="4" w:space="0" w:color="auto"/>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993" w:type="dxa"/>
            <w:tcBorders>
              <w:top w:val="single" w:sz="4" w:space="0" w:color="auto"/>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1417" w:type="dxa"/>
            <w:tcBorders>
              <w:top w:val="single" w:sz="4" w:space="0" w:color="auto"/>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2010</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2011</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0.00</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2012</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-0.07</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-0.02</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-0.20</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-0.11</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-0.07</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-0.07</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2013</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-0.22</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-0.07</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-0.86</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-0.59</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-0.23</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-0.22</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2014</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-0.40</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-0.20</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-1.78</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-1.43</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-0.38</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-0.38</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2015</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-0.58</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-0.40</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-2.71</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-2.38</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-0.55</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-0.55</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2016</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-0.78</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-0.60</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-4.29</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-3.97</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-0.73</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-0.73</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2017</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-1.01</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-0.84</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-6.38</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-6.06</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-0.92</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-0.92</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2018</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-1.26</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-1.09</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-8.32</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-8.01</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-1.12</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-1.12</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2019</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-1.53</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-1.36</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-10.30</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-10.00</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-1.34</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-1.33</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2020</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-1.81</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-1.65</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-12.27</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-11.98</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-1.56</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-1.55</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2021</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-2.09</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-1.94</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-14.24</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-13.96</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-1.78</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-1.78</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2022</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-2.37</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-2.23</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-16.15</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-15.89</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-2.00</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-2.00</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2023</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-2.64</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-2.50</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-18.03</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-17.78</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-2.22</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-2.22</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2024</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-2.91</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-2.78</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-19.93</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-19.69</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-2.45</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-2.45</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2025</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-3.18</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-3.06</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-21.83</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-21.61</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-2.68</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-2.68</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2026</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-3.45</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-3.33</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-23.72</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-23.52</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-2.91</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-2.91</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2027</w:t>
            </w:r>
          </w:p>
        </w:tc>
        <w:tc>
          <w:tcPr>
            <w:tcW w:w="1276"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-3.70</w:t>
            </w:r>
          </w:p>
        </w:tc>
        <w:tc>
          <w:tcPr>
            <w:tcW w:w="1276"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-3.59</w:t>
            </w:r>
          </w:p>
        </w:tc>
        <w:tc>
          <w:tcPr>
            <w:tcW w:w="1134" w:type="dxa"/>
            <w:tcBorders>
              <w:top w:val="nil"/>
              <w:left w:val="single" w:sz="4" w:space="0" w:color="auto"/>
              <w:bottom w:val="nil"/>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-25.54</w:t>
            </w:r>
          </w:p>
        </w:tc>
        <w:tc>
          <w:tcPr>
            <w:tcW w:w="1275" w:type="dxa"/>
            <w:tcBorders>
              <w:top w:val="nil"/>
              <w:bottom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-25.35</w:t>
            </w:r>
          </w:p>
        </w:tc>
        <w:tc>
          <w:tcPr>
            <w:tcW w:w="993" w:type="dxa"/>
            <w:tcBorders>
              <w:top w:val="nil"/>
              <w:left w:val="single" w:sz="4" w:space="0" w:color="auto"/>
              <w:bottom w:val="nil"/>
            </w:tcBorders>
            <w:noWrap/>
            <w:vAlign w:val="center"/>
            <w:hideMark/>
          </w:tcPr>
          <w:p w:rsidR="00A01ECA" w:rsidRPr="001A48D3" w:rsidRDefault="00A01ECA" w:rsidP="00C4701A">
            <w:pPr>
              <w:spacing w:after="120"/>
              <w:jc w:val="center"/>
              <w:rPr>
                <w:sz w:val="16"/>
                <w:szCs w:val="16"/>
              </w:rPr>
            </w:pPr>
            <w:r w:rsidRPr="001A48D3">
              <w:rPr>
                <w:sz w:val="16"/>
                <w:szCs w:val="16"/>
              </w:rPr>
              <w:t>-3.14</w:t>
            </w:r>
          </w:p>
        </w:tc>
        <w:tc>
          <w:tcPr>
            <w:tcW w:w="1417"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-3.14</w:t>
            </w:r>
          </w:p>
        </w:tc>
      </w:tr>
      <w:tr w:rsidR="00A01ECA" w:rsidRPr="001A48D3" w:rsidTr="0002072E">
        <w:trPr>
          <w:trHeight w:val="288"/>
        </w:trPr>
        <w:tc>
          <w:tcPr>
            <w:tcW w:w="719" w:type="dxa"/>
            <w:tcBorders>
              <w:top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2028</w:t>
            </w:r>
          </w:p>
        </w:tc>
        <w:tc>
          <w:tcPr>
            <w:tcW w:w="1276" w:type="dxa"/>
            <w:tcBorders>
              <w:top w:val="nil"/>
              <w:lef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-3.93</w:t>
            </w:r>
          </w:p>
        </w:tc>
        <w:tc>
          <w:tcPr>
            <w:tcW w:w="1276" w:type="dxa"/>
            <w:tcBorders>
              <w:top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-3.84</w:t>
            </w:r>
          </w:p>
        </w:tc>
        <w:tc>
          <w:tcPr>
            <w:tcW w:w="1134" w:type="dxa"/>
            <w:tcBorders>
              <w:top w:val="nil"/>
              <w:lef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-27.29</w:t>
            </w:r>
          </w:p>
        </w:tc>
        <w:tc>
          <w:tcPr>
            <w:tcW w:w="1275" w:type="dxa"/>
            <w:tcBorders>
              <w:top w:val="nil"/>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-27.12</w:t>
            </w:r>
          </w:p>
        </w:tc>
        <w:tc>
          <w:tcPr>
            <w:tcW w:w="993" w:type="dxa"/>
            <w:tcBorders>
              <w:top w:val="nil"/>
              <w:left w:val="single" w:sz="4" w:space="0" w:color="auto"/>
            </w:tcBorders>
            <w:noWrap/>
            <w:vAlign w:val="center"/>
            <w:hideMark/>
          </w:tcPr>
          <w:p w:rsidR="00A01ECA" w:rsidRPr="001A48D3" w:rsidRDefault="00A01ECA" w:rsidP="00C4701A">
            <w:pPr>
              <w:spacing w:after="120"/>
              <w:jc w:val="center"/>
              <w:rPr>
                <w:sz w:val="16"/>
                <w:szCs w:val="16"/>
              </w:rPr>
            </w:pPr>
            <w:r w:rsidRPr="001A48D3">
              <w:rPr>
                <w:sz w:val="16"/>
                <w:szCs w:val="16"/>
              </w:rPr>
              <w:t>-3.35</w:t>
            </w:r>
          </w:p>
        </w:tc>
        <w:tc>
          <w:tcPr>
            <w:tcW w:w="1417" w:type="dxa"/>
            <w:tcBorders>
              <w:top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-3.35</w:t>
            </w:r>
          </w:p>
        </w:tc>
      </w:tr>
      <w:tr w:rsidR="00A01ECA" w:rsidRPr="001A48D3" w:rsidTr="0002072E">
        <w:trPr>
          <w:trHeight w:val="288"/>
        </w:trPr>
        <w:tc>
          <w:tcPr>
            <w:tcW w:w="719" w:type="dxa"/>
            <w:tcBorders>
              <w:top w:val="nil"/>
              <w:bottom w:val="single" w:sz="4" w:space="0" w:color="auto"/>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2029</w:t>
            </w:r>
          </w:p>
        </w:tc>
        <w:tc>
          <w:tcPr>
            <w:tcW w:w="1276" w:type="dxa"/>
            <w:tcBorders>
              <w:top w:val="nil"/>
              <w:left w:val="single" w:sz="4" w:space="0" w:color="auto"/>
              <w:bottom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-4.15</w:t>
            </w:r>
          </w:p>
        </w:tc>
        <w:tc>
          <w:tcPr>
            <w:tcW w:w="1276" w:type="dxa"/>
            <w:tcBorders>
              <w:top w:val="nil"/>
              <w:bottom w:val="single" w:sz="4" w:space="0" w:color="auto"/>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-4.07</w:t>
            </w:r>
          </w:p>
        </w:tc>
        <w:tc>
          <w:tcPr>
            <w:tcW w:w="1134" w:type="dxa"/>
            <w:tcBorders>
              <w:top w:val="nil"/>
              <w:left w:val="single" w:sz="4" w:space="0" w:color="auto"/>
              <w:bottom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-28.95</w:t>
            </w:r>
          </w:p>
        </w:tc>
        <w:tc>
          <w:tcPr>
            <w:tcW w:w="1275" w:type="dxa"/>
            <w:tcBorders>
              <w:top w:val="nil"/>
              <w:bottom w:val="single" w:sz="4" w:space="0" w:color="auto"/>
              <w:right w:val="single" w:sz="4" w:space="0" w:color="auto"/>
            </w:tcBorders>
            <w:noWrap/>
            <w:vAlign w:val="center"/>
            <w:hideMark/>
          </w:tcPr>
          <w:p w:rsidR="00A01ECA" w:rsidRPr="001A48D3" w:rsidRDefault="00A01ECA" w:rsidP="00C4701A">
            <w:pPr>
              <w:spacing w:after="120"/>
              <w:jc w:val="center"/>
              <w:rPr>
                <w:color w:val="000000"/>
                <w:sz w:val="16"/>
                <w:szCs w:val="16"/>
              </w:rPr>
            </w:pPr>
            <w:r w:rsidRPr="001A48D3">
              <w:rPr>
                <w:color w:val="000000"/>
                <w:sz w:val="16"/>
                <w:szCs w:val="16"/>
              </w:rPr>
              <w:t>-28.80</w:t>
            </w:r>
          </w:p>
        </w:tc>
        <w:tc>
          <w:tcPr>
            <w:tcW w:w="993" w:type="dxa"/>
            <w:tcBorders>
              <w:top w:val="nil"/>
              <w:left w:val="single" w:sz="4" w:space="0" w:color="auto"/>
              <w:bottom w:val="single" w:sz="4" w:space="0" w:color="auto"/>
            </w:tcBorders>
            <w:noWrap/>
            <w:vAlign w:val="center"/>
            <w:hideMark/>
          </w:tcPr>
          <w:p w:rsidR="00A01ECA" w:rsidRPr="001A48D3" w:rsidRDefault="00A01ECA" w:rsidP="00C4701A">
            <w:pPr>
              <w:spacing w:after="120"/>
              <w:jc w:val="center"/>
              <w:rPr>
                <w:sz w:val="16"/>
                <w:szCs w:val="16"/>
              </w:rPr>
            </w:pPr>
            <w:r w:rsidRPr="001A48D3">
              <w:rPr>
                <w:sz w:val="16"/>
                <w:szCs w:val="16"/>
              </w:rPr>
              <w:t>-3.56</w:t>
            </w:r>
          </w:p>
        </w:tc>
        <w:tc>
          <w:tcPr>
            <w:tcW w:w="1417" w:type="dxa"/>
            <w:tcBorders>
              <w:top w:val="nil"/>
              <w:bottom w:val="single" w:sz="4" w:space="0" w:color="auto"/>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-3.56</w:t>
            </w:r>
          </w:p>
        </w:tc>
      </w:tr>
    </w:tbl>
    <w:p w:rsidR="00A01ECA" w:rsidRPr="001A48D3" w:rsidRDefault="00A01ECA" w:rsidP="00C4701A">
      <w:pPr>
        <w:spacing w:before="120" w:after="120"/>
        <w:rPr>
          <w:i/>
          <w:sz w:val="16"/>
          <w:szCs w:val="16"/>
        </w:rPr>
      </w:pPr>
      <w:r w:rsidRPr="001A48D3">
        <w:rPr>
          <w:i/>
          <w:sz w:val="16"/>
          <w:szCs w:val="16"/>
        </w:rPr>
        <w:t>Note:</w:t>
      </w:r>
      <w:r w:rsidRPr="001A48D3">
        <w:rPr>
          <w:i/>
          <w:sz w:val="16"/>
          <w:szCs w:val="16"/>
        </w:rPr>
        <w:tab/>
        <w:t>Reduction from the BAU scenario. Negative values imply reduction in emissions.</w:t>
      </w:r>
    </w:p>
    <w:p w:rsidR="00A01ECA" w:rsidRPr="001A48D3" w:rsidRDefault="00A01ECA" w:rsidP="00C4701A">
      <w:pPr>
        <w:spacing w:before="120" w:after="120"/>
        <w:rPr>
          <w:i/>
          <w:sz w:val="16"/>
          <w:szCs w:val="16"/>
        </w:rPr>
      </w:pPr>
      <w:r w:rsidRPr="001A48D3">
        <w:rPr>
          <w:i/>
          <w:sz w:val="16"/>
          <w:szCs w:val="16"/>
        </w:rPr>
        <w:t>Source:</w:t>
      </w:r>
      <w:r w:rsidRPr="001A48D3">
        <w:rPr>
          <w:i/>
          <w:sz w:val="16"/>
          <w:szCs w:val="16"/>
        </w:rPr>
        <w:tab/>
        <w:t xml:space="preserve"> BITRE estimates.</w:t>
      </w:r>
    </w:p>
    <w:p w:rsidR="00A01ECA" w:rsidRPr="001A48D3" w:rsidRDefault="00A01ECA" w:rsidP="00B52F7D">
      <w:pPr>
        <w:pStyle w:val="Heading3"/>
      </w:pPr>
      <w:r w:rsidRPr="001A48D3">
        <w:br w:type="page"/>
      </w:r>
      <w:bookmarkStart w:id="148" w:name="_Toc430182604"/>
      <w:r w:rsidRPr="001A48D3">
        <w:lastRenderedPageBreak/>
        <w:t>Table 6</w:t>
      </w:r>
      <w:r w:rsidRPr="001A48D3">
        <w:tab/>
        <w:t>Health benefits ($ millions)</w:t>
      </w:r>
      <w:bookmarkEnd w:id="148"/>
    </w:p>
    <w:tbl>
      <w:tblPr>
        <w:tblW w:w="7807" w:type="dxa"/>
        <w:tblInd w:w="98" w:type="dxa"/>
        <w:tblLook w:val="04A0" w:firstRow="1" w:lastRow="0" w:firstColumn="1" w:lastColumn="0" w:noHBand="0" w:noVBand="1"/>
      </w:tblPr>
      <w:tblGrid>
        <w:gridCol w:w="719"/>
        <w:gridCol w:w="851"/>
        <w:gridCol w:w="850"/>
        <w:gridCol w:w="709"/>
        <w:gridCol w:w="992"/>
        <w:gridCol w:w="851"/>
        <w:gridCol w:w="1134"/>
        <w:gridCol w:w="850"/>
        <w:gridCol w:w="851"/>
      </w:tblGrid>
      <w:tr w:rsidR="00A01ECA" w:rsidRPr="001A48D3" w:rsidTr="001E1827">
        <w:trPr>
          <w:trHeight w:val="288"/>
          <w:tblHeader/>
        </w:trPr>
        <w:tc>
          <w:tcPr>
            <w:tcW w:w="719" w:type="dxa"/>
            <w:vMerge w:val="restart"/>
            <w:tcBorders>
              <w:top w:val="single" w:sz="8" w:space="0" w:color="auto"/>
              <w:bottom w:val="single" w:sz="8" w:space="0" w:color="auto"/>
            </w:tcBorders>
            <w:noWrap/>
            <w:vAlign w:val="bottom"/>
            <w:hideMark/>
          </w:tcPr>
          <w:p w:rsidR="00A01ECA" w:rsidRPr="001A48D3" w:rsidRDefault="00A01ECA" w:rsidP="00C4701A">
            <w:pPr>
              <w:spacing w:after="120"/>
              <w:rPr>
                <w:color w:val="000000"/>
                <w:sz w:val="22"/>
              </w:rPr>
            </w:pPr>
            <w:r w:rsidRPr="001A48D3">
              <w:rPr>
                <w:color w:val="000000"/>
                <w:sz w:val="22"/>
              </w:rPr>
              <w:t> Year</w:t>
            </w:r>
          </w:p>
        </w:tc>
        <w:tc>
          <w:tcPr>
            <w:tcW w:w="1701" w:type="dxa"/>
            <w:gridSpan w:val="2"/>
            <w:tcBorders>
              <w:top w:val="single" w:sz="8" w:space="0" w:color="auto"/>
              <w:left w:val="nil"/>
              <w:bottom w:val="single" w:sz="8"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HC</w:t>
            </w:r>
          </w:p>
        </w:tc>
        <w:tc>
          <w:tcPr>
            <w:tcW w:w="1701" w:type="dxa"/>
            <w:gridSpan w:val="2"/>
            <w:tcBorders>
              <w:top w:val="single" w:sz="8" w:space="0" w:color="auto"/>
              <w:left w:val="single" w:sz="4" w:space="0" w:color="auto"/>
              <w:bottom w:val="single" w:sz="8"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NO</w:t>
            </w:r>
            <w:r w:rsidRPr="001A48D3">
              <w:rPr>
                <w:color w:val="000000"/>
                <w:sz w:val="22"/>
                <w:vertAlign w:val="subscript"/>
              </w:rPr>
              <w:t>x</w:t>
            </w:r>
          </w:p>
        </w:tc>
        <w:tc>
          <w:tcPr>
            <w:tcW w:w="1985" w:type="dxa"/>
            <w:gridSpan w:val="2"/>
            <w:tcBorders>
              <w:top w:val="single" w:sz="8" w:space="0" w:color="auto"/>
              <w:left w:val="single" w:sz="4" w:space="0" w:color="auto"/>
              <w:bottom w:val="single" w:sz="8"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PM</w:t>
            </w:r>
            <w:r w:rsidRPr="001A48D3">
              <w:rPr>
                <w:color w:val="000000"/>
                <w:sz w:val="22"/>
                <w:vertAlign w:val="subscript"/>
              </w:rPr>
              <w:t>10</w:t>
            </w:r>
          </w:p>
        </w:tc>
        <w:tc>
          <w:tcPr>
            <w:tcW w:w="1701" w:type="dxa"/>
            <w:gridSpan w:val="2"/>
            <w:tcBorders>
              <w:top w:val="single" w:sz="8" w:space="0" w:color="auto"/>
              <w:bottom w:val="single" w:sz="8" w:space="0" w:color="auto"/>
            </w:tcBorders>
          </w:tcPr>
          <w:p w:rsidR="00A01ECA" w:rsidRPr="001A48D3" w:rsidRDefault="00A01ECA" w:rsidP="00C4701A">
            <w:pPr>
              <w:spacing w:after="120"/>
              <w:jc w:val="center"/>
              <w:rPr>
                <w:color w:val="000000"/>
                <w:sz w:val="22"/>
              </w:rPr>
            </w:pPr>
            <w:r w:rsidRPr="001A48D3">
              <w:rPr>
                <w:color w:val="000000"/>
                <w:sz w:val="22"/>
              </w:rPr>
              <w:t>Total</w:t>
            </w:r>
          </w:p>
        </w:tc>
      </w:tr>
      <w:tr w:rsidR="00A01ECA" w:rsidRPr="001A48D3" w:rsidTr="001E1827">
        <w:trPr>
          <w:trHeight w:val="288"/>
          <w:tblHeader/>
        </w:trPr>
        <w:tc>
          <w:tcPr>
            <w:tcW w:w="719" w:type="dxa"/>
            <w:vMerge/>
            <w:tcBorders>
              <w:top w:val="single" w:sz="8" w:space="0" w:color="auto"/>
              <w:bottom w:val="single" w:sz="8" w:space="0" w:color="auto"/>
            </w:tcBorders>
            <w:noWrap/>
            <w:vAlign w:val="bottom"/>
            <w:hideMark/>
          </w:tcPr>
          <w:p w:rsidR="00A01ECA" w:rsidRPr="001A48D3" w:rsidRDefault="00A01ECA" w:rsidP="00C4701A">
            <w:pPr>
              <w:spacing w:after="120"/>
              <w:rPr>
                <w:color w:val="000000"/>
                <w:sz w:val="22"/>
              </w:rPr>
            </w:pPr>
          </w:p>
        </w:tc>
        <w:tc>
          <w:tcPr>
            <w:tcW w:w="851" w:type="dxa"/>
            <w:tcBorders>
              <w:top w:val="single" w:sz="8" w:space="0" w:color="auto"/>
              <w:left w:val="nil"/>
              <w:bottom w:val="single" w:sz="8"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S1</w:t>
            </w:r>
          </w:p>
        </w:tc>
        <w:tc>
          <w:tcPr>
            <w:tcW w:w="850" w:type="dxa"/>
            <w:tcBorders>
              <w:top w:val="single" w:sz="8" w:space="0" w:color="auto"/>
              <w:left w:val="single" w:sz="4" w:space="0" w:color="auto"/>
              <w:bottom w:val="single" w:sz="8"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S1A</w:t>
            </w:r>
          </w:p>
        </w:tc>
        <w:tc>
          <w:tcPr>
            <w:tcW w:w="709" w:type="dxa"/>
            <w:tcBorders>
              <w:top w:val="single" w:sz="8" w:space="0" w:color="auto"/>
              <w:left w:val="single" w:sz="4" w:space="0" w:color="auto"/>
              <w:bottom w:val="single" w:sz="8"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S1</w:t>
            </w:r>
          </w:p>
        </w:tc>
        <w:tc>
          <w:tcPr>
            <w:tcW w:w="992" w:type="dxa"/>
            <w:tcBorders>
              <w:top w:val="single" w:sz="8" w:space="0" w:color="auto"/>
              <w:left w:val="single" w:sz="4" w:space="0" w:color="auto"/>
              <w:bottom w:val="single" w:sz="8"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S1A</w:t>
            </w:r>
          </w:p>
        </w:tc>
        <w:tc>
          <w:tcPr>
            <w:tcW w:w="851" w:type="dxa"/>
            <w:tcBorders>
              <w:top w:val="single" w:sz="8" w:space="0" w:color="auto"/>
              <w:left w:val="single" w:sz="4" w:space="0" w:color="auto"/>
              <w:bottom w:val="single" w:sz="8" w:space="0" w:color="auto"/>
              <w:right w:val="single" w:sz="4"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S1</w:t>
            </w:r>
          </w:p>
        </w:tc>
        <w:tc>
          <w:tcPr>
            <w:tcW w:w="1134" w:type="dxa"/>
            <w:tcBorders>
              <w:top w:val="single" w:sz="8" w:space="0" w:color="auto"/>
              <w:left w:val="single" w:sz="4" w:space="0" w:color="auto"/>
              <w:bottom w:val="single" w:sz="8" w:space="0" w:color="auto"/>
              <w:right w:val="single" w:sz="8" w:space="0" w:color="auto"/>
            </w:tcBorders>
            <w:noWrap/>
            <w:vAlign w:val="bottom"/>
            <w:hideMark/>
          </w:tcPr>
          <w:p w:rsidR="00A01ECA" w:rsidRPr="001A48D3" w:rsidRDefault="00A01ECA" w:rsidP="00C4701A">
            <w:pPr>
              <w:spacing w:after="120"/>
              <w:jc w:val="center"/>
              <w:rPr>
                <w:color w:val="000000"/>
                <w:sz w:val="22"/>
              </w:rPr>
            </w:pPr>
            <w:r w:rsidRPr="001A48D3">
              <w:rPr>
                <w:color w:val="000000"/>
                <w:sz w:val="22"/>
              </w:rPr>
              <w:t>S1A</w:t>
            </w:r>
          </w:p>
        </w:tc>
        <w:tc>
          <w:tcPr>
            <w:tcW w:w="850" w:type="dxa"/>
            <w:tcBorders>
              <w:top w:val="single" w:sz="8" w:space="0" w:color="auto"/>
              <w:left w:val="single" w:sz="8" w:space="0" w:color="auto"/>
              <w:bottom w:val="single" w:sz="8" w:space="0" w:color="auto"/>
              <w:right w:val="single" w:sz="8" w:space="0" w:color="auto"/>
            </w:tcBorders>
            <w:vAlign w:val="bottom"/>
          </w:tcPr>
          <w:p w:rsidR="00A01ECA" w:rsidRPr="001A48D3" w:rsidRDefault="00A01ECA" w:rsidP="00C4701A">
            <w:pPr>
              <w:spacing w:after="120"/>
              <w:jc w:val="center"/>
              <w:rPr>
                <w:color w:val="000000"/>
                <w:sz w:val="22"/>
              </w:rPr>
            </w:pPr>
            <w:r w:rsidRPr="001A48D3">
              <w:rPr>
                <w:color w:val="000000"/>
                <w:sz w:val="22"/>
              </w:rPr>
              <w:t>S1</w:t>
            </w:r>
          </w:p>
        </w:tc>
        <w:tc>
          <w:tcPr>
            <w:tcW w:w="851" w:type="dxa"/>
            <w:tcBorders>
              <w:top w:val="single" w:sz="8" w:space="0" w:color="auto"/>
              <w:left w:val="single" w:sz="8" w:space="0" w:color="auto"/>
              <w:bottom w:val="single" w:sz="8" w:space="0" w:color="auto"/>
            </w:tcBorders>
            <w:vAlign w:val="bottom"/>
          </w:tcPr>
          <w:p w:rsidR="00A01ECA" w:rsidRPr="001A48D3" w:rsidRDefault="00A01ECA" w:rsidP="00C4701A">
            <w:pPr>
              <w:spacing w:after="120"/>
              <w:jc w:val="center"/>
              <w:rPr>
                <w:color w:val="000000"/>
                <w:sz w:val="22"/>
              </w:rPr>
            </w:pPr>
            <w:r w:rsidRPr="001A48D3">
              <w:rPr>
                <w:color w:val="000000"/>
                <w:sz w:val="22"/>
              </w:rPr>
              <w:t>S1A</w:t>
            </w:r>
          </w:p>
        </w:tc>
      </w:tr>
      <w:tr w:rsidR="00A01ECA" w:rsidRPr="001A48D3" w:rsidTr="00A01ECA">
        <w:trPr>
          <w:trHeight w:val="288"/>
        </w:trPr>
        <w:tc>
          <w:tcPr>
            <w:tcW w:w="719" w:type="dxa"/>
            <w:tcBorders>
              <w:top w:val="single" w:sz="8" w:space="0" w:color="auto"/>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2009</w:t>
            </w:r>
          </w:p>
        </w:tc>
        <w:tc>
          <w:tcPr>
            <w:tcW w:w="851" w:type="dxa"/>
            <w:tcBorders>
              <w:top w:val="single" w:sz="8" w:space="0" w:color="auto"/>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850" w:type="dxa"/>
            <w:tcBorders>
              <w:top w:val="single" w:sz="8" w:space="0" w:color="auto"/>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709" w:type="dxa"/>
            <w:tcBorders>
              <w:top w:val="single" w:sz="8" w:space="0" w:color="auto"/>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992" w:type="dxa"/>
            <w:tcBorders>
              <w:top w:val="single" w:sz="8" w:space="0" w:color="auto"/>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851" w:type="dxa"/>
            <w:tcBorders>
              <w:top w:val="single" w:sz="8" w:space="0" w:color="auto"/>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1134" w:type="dxa"/>
            <w:tcBorders>
              <w:top w:val="single" w:sz="8" w:space="0" w:color="auto"/>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850" w:type="dxa"/>
            <w:tcBorders>
              <w:top w:val="single" w:sz="8" w:space="0" w:color="auto"/>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w:t>
            </w:r>
          </w:p>
        </w:tc>
        <w:tc>
          <w:tcPr>
            <w:tcW w:w="851" w:type="dxa"/>
            <w:tcBorders>
              <w:top w:val="single" w:sz="8"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2010</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2011</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0.00</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2012</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-0.44</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-0.10</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-0.15</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-0.08</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-12.11</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-12.08</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-12.7</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-12.3</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2013</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-1.39</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-0.41</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-0.62</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-0.42</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-36.45</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-36.40</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-38.5</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-37.2</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2014</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-2.48</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-1.24</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-1.29</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-1.02</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-62.43</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-62.34</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-66.2</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-64.6</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2015</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-3.60</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-2.45</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-1.94</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-1.70</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-89.89</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-89.77</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-95.4</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-93.9</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2016</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-4.84</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-3.71</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-3.05</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-2.81</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-119.40</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-119.25</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-127.3</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-125.8</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2017</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-6.29</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-5.18</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-4.49</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-4.25</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-151.18</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-151.01</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-162.0</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-160.4</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2018</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-7.84</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-6.76</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-5.81</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-5.58</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-185.29</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-185.10</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-198.9</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-197.4</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2019</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-9.55</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-8.49</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-7.15</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-6.93</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-221.50</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-221.29</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-238.2</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-236.7</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2020</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-11.33</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-10.31</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-8.47</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-8.26</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-258.92</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-258.71</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-278.7</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-277.3</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2021</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-13.10</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-12.12</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-9.77</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-9.57</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-297.24</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-297.03</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-320.1</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-318.7</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2022</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-14.81</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-13.88</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-11.01</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-10.83</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-334.24</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-334.02</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-360.1</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-358.7</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2023</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-16.48</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-15.59</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-12.21</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-12.03</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-370.96</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-370.74</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-399.7</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-398.4</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2024</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-18.24</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-17.39</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-13.43</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-13.26</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-410.89</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-410.67</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-442.6</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-441.3</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2025</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-19.96</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-19.16</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-14.71</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-14.55</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-451.01</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-450.80</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-485.7</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-484.5</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2026</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-21.63</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-20.90</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-16.01</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-15.86</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-490.82</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-490.61</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-528.5</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-527.4</w:t>
            </w:r>
          </w:p>
        </w:tc>
      </w:tr>
      <w:tr w:rsidR="00A01ECA" w:rsidRPr="001A48D3" w:rsidTr="00A01ECA">
        <w:trPr>
          <w:trHeight w:val="288"/>
        </w:trPr>
        <w:tc>
          <w:tcPr>
            <w:tcW w:w="719"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2027</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-23.22</w:t>
            </w:r>
          </w:p>
        </w:tc>
        <w:tc>
          <w:tcPr>
            <w:tcW w:w="850"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-22.54</w:t>
            </w:r>
          </w:p>
        </w:tc>
        <w:tc>
          <w:tcPr>
            <w:tcW w:w="709"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-17.25</w:t>
            </w:r>
          </w:p>
        </w:tc>
        <w:tc>
          <w:tcPr>
            <w:tcW w:w="992"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-17.11</w:t>
            </w:r>
          </w:p>
        </w:tc>
        <w:tc>
          <w:tcPr>
            <w:tcW w:w="851" w:type="dxa"/>
            <w:tcBorders>
              <w:top w:val="nil"/>
              <w:left w:val="single" w:sz="4" w:space="0" w:color="auto"/>
              <w:bottom w:val="nil"/>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-529.06</w:t>
            </w:r>
          </w:p>
        </w:tc>
        <w:tc>
          <w:tcPr>
            <w:tcW w:w="1134" w:type="dxa"/>
            <w:tcBorders>
              <w:top w:val="nil"/>
              <w:bottom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-528.87</w:t>
            </w:r>
          </w:p>
        </w:tc>
        <w:tc>
          <w:tcPr>
            <w:tcW w:w="850" w:type="dxa"/>
            <w:tcBorders>
              <w:top w:val="nil"/>
              <w:left w:val="single" w:sz="4" w:space="0" w:color="auto"/>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-569.5</w:t>
            </w:r>
          </w:p>
        </w:tc>
        <w:tc>
          <w:tcPr>
            <w:tcW w:w="851" w:type="dxa"/>
            <w:tcBorders>
              <w:top w:val="nil"/>
              <w:bottom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-568.5</w:t>
            </w:r>
          </w:p>
        </w:tc>
      </w:tr>
      <w:tr w:rsidR="00A01ECA" w:rsidRPr="001A48D3" w:rsidTr="0002072E">
        <w:trPr>
          <w:trHeight w:val="288"/>
        </w:trPr>
        <w:tc>
          <w:tcPr>
            <w:tcW w:w="719" w:type="dxa"/>
            <w:tcBorders>
              <w:top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2028</w:t>
            </w:r>
          </w:p>
        </w:tc>
        <w:tc>
          <w:tcPr>
            <w:tcW w:w="851" w:type="dxa"/>
            <w:tcBorders>
              <w:top w:val="nil"/>
              <w:lef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-24.71</w:t>
            </w:r>
          </w:p>
        </w:tc>
        <w:tc>
          <w:tcPr>
            <w:tcW w:w="850" w:type="dxa"/>
            <w:tcBorders>
              <w:top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-24.11</w:t>
            </w:r>
          </w:p>
        </w:tc>
        <w:tc>
          <w:tcPr>
            <w:tcW w:w="709" w:type="dxa"/>
            <w:tcBorders>
              <w:top w:val="nil"/>
              <w:lef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-18.44</w:t>
            </w:r>
          </w:p>
        </w:tc>
        <w:tc>
          <w:tcPr>
            <w:tcW w:w="992" w:type="dxa"/>
            <w:tcBorders>
              <w:top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-18.32</w:t>
            </w:r>
          </w:p>
        </w:tc>
        <w:tc>
          <w:tcPr>
            <w:tcW w:w="851" w:type="dxa"/>
            <w:tcBorders>
              <w:top w:val="nil"/>
              <w:lef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-565.97</w:t>
            </w:r>
          </w:p>
        </w:tc>
        <w:tc>
          <w:tcPr>
            <w:tcW w:w="1134" w:type="dxa"/>
            <w:tcBorders>
              <w:top w:val="nil"/>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-565.79</w:t>
            </w:r>
          </w:p>
        </w:tc>
        <w:tc>
          <w:tcPr>
            <w:tcW w:w="850" w:type="dxa"/>
            <w:tcBorders>
              <w:top w:val="nil"/>
              <w:left w:val="single" w:sz="4" w:space="0" w:color="auto"/>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-609.1</w:t>
            </w:r>
          </w:p>
        </w:tc>
        <w:tc>
          <w:tcPr>
            <w:tcW w:w="851" w:type="dxa"/>
            <w:tcBorders>
              <w:top w:val="nil"/>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-608.2</w:t>
            </w:r>
          </w:p>
        </w:tc>
      </w:tr>
      <w:tr w:rsidR="00A01ECA" w:rsidRPr="001A48D3" w:rsidTr="0002072E">
        <w:trPr>
          <w:trHeight w:val="288"/>
        </w:trPr>
        <w:tc>
          <w:tcPr>
            <w:tcW w:w="719" w:type="dxa"/>
            <w:tcBorders>
              <w:top w:val="nil"/>
              <w:bottom w:val="single" w:sz="4" w:space="0" w:color="auto"/>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2029</w:t>
            </w:r>
          </w:p>
        </w:tc>
        <w:tc>
          <w:tcPr>
            <w:tcW w:w="851" w:type="dxa"/>
            <w:tcBorders>
              <w:top w:val="nil"/>
              <w:left w:val="single" w:sz="4" w:space="0" w:color="auto"/>
              <w:bottom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-26.13</w:t>
            </w:r>
          </w:p>
        </w:tc>
        <w:tc>
          <w:tcPr>
            <w:tcW w:w="850" w:type="dxa"/>
            <w:tcBorders>
              <w:top w:val="nil"/>
              <w:bottom w:val="single" w:sz="4" w:space="0" w:color="auto"/>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-25.60</w:t>
            </w:r>
          </w:p>
        </w:tc>
        <w:tc>
          <w:tcPr>
            <w:tcW w:w="709" w:type="dxa"/>
            <w:tcBorders>
              <w:top w:val="nil"/>
              <w:left w:val="single" w:sz="4" w:space="0" w:color="auto"/>
              <w:bottom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-19.58</w:t>
            </w:r>
          </w:p>
        </w:tc>
        <w:tc>
          <w:tcPr>
            <w:tcW w:w="992" w:type="dxa"/>
            <w:tcBorders>
              <w:top w:val="nil"/>
              <w:bottom w:val="single" w:sz="4" w:space="0" w:color="auto"/>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-19.47</w:t>
            </w:r>
          </w:p>
        </w:tc>
        <w:tc>
          <w:tcPr>
            <w:tcW w:w="851" w:type="dxa"/>
            <w:tcBorders>
              <w:top w:val="nil"/>
              <w:left w:val="single" w:sz="4" w:space="0" w:color="auto"/>
              <w:bottom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-601.52</w:t>
            </w:r>
          </w:p>
        </w:tc>
        <w:tc>
          <w:tcPr>
            <w:tcW w:w="1134" w:type="dxa"/>
            <w:tcBorders>
              <w:top w:val="nil"/>
              <w:bottom w:val="single" w:sz="4" w:space="0" w:color="auto"/>
              <w:right w:val="single" w:sz="4" w:space="0" w:color="auto"/>
            </w:tcBorders>
            <w:noWrap/>
            <w:vAlign w:val="center"/>
            <w:hideMark/>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-601.36</w:t>
            </w:r>
          </w:p>
        </w:tc>
        <w:tc>
          <w:tcPr>
            <w:tcW w:w="850" w:type="dxa"/>
            <w:tcBorders>
              <w:top w:val="nil"/>
              <w:left w:val="single" w:sz="4" w:space="0" w:color="auto"/>
              <w:bottom w:val="single" w:sz="4" w:space="0" w:color="auto"/>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-647.2</w:t>
            </w:r>
          </w:p>
        </w:tc>
        <w:tc>
          <w:tcPr>
            <w:tcW w:w="851" w:type="dxa"/>
            <w:tcBorders>
              <w:top w:val="nil"/>
              <w:bottom w:val="single" w:sz="4" w:space="0" w:color="auto"/>
            </w:tcBorders>
            <w:vAlign w:val="center"/>
          </w:tcPr>
          <w:p w:rsidR="00A01ECA" w:rsidRPr="001A48D3" w:rsidRDefault="00A01ECA" w:rsidP="00C4701A">
            <w:pPr>
              <w:autoSpaceDE w:val="0"/>
              <w:autoSpaceDN w:val="0"/>
              <w:adjustRightInd w:val="0"/>
              <w:spacing w:after="120"/>
              <w:jc w:val="center"/>
              <w:rPr>
                <w:rFonts w:cs="Calibri"/>
                <w:color w:val="000000"/>
                <w:sz w:val="16"/>
                <w:szCs w:val="16"/>
              </w:rPr>
            </w:pPr>
            <w:r w:rsidRPr="001A48D3">
              <w:rPr>
                <w:rFonts w:cs="Calibri"/>
                <w:color w:val="000000"/>
                <w:sz w:val="16"/>
                <w:szCs w:val="16"/>
              </w:rPr>
              <w:t>-646.4</w:t>
            </w:r>
          </w:p>
        </w:tc>
      </w:tr>
    </w:tbl>
    <w:p w:rsidR="00A01ECA" w:rsidRPr="001A48D3" w:rsidRDefault="00A01ECA" w:rsidP="00C4701A">
      <w:pPr>
        <w:spacing w:before="120" w:after="120"/>
        <w:rPr>
          <w:i/>
          <w:sz w:val="16"/>
          <w:szCs w:val="16"/>
        </w:rPr>
      </w:pPr>
      <w:r w:rsidRPr="001A48D3">
        <w:rPr>
          <w:i/>
          <w:sz w:val="16"/>
          <w:szCs w:val="16"/>
        </w:rPr>
        <w:t>Note:</w:t>
      </w:r>
      <w:r w:rsidRPr="001A48D3">
        <w:rPr>
          <w:i/>
          <w:sz w:val="16"/>
          <w:szCs w:val="16"/>
        </w:rPr>
        <w:tab/>
        <w:t>Reduction from the BAU scenario. Negative values imply savings in health cost.</w:t>
      </w:r>
    </w:p>
    <w:p w:rsidR="00A01ECA" w:rsidRPr="001A48D3" w:rsidRDefault="00A01ECA" w:rsidP="00C4701A">
      <w:pPr>
        <w:spacing w:before="120" w:after="120"/>
        <w:rPr>
          <w:i/>
          <w:sz w:val="16"/>
          <w:szCs w:val="16"/>
        </w:rPr>
      </w:pPr>
      <w:r w:rsidRPr="001A48D3">
        <w:rPr>
          <w:i/>
          <w:sz w:val="16"/>
          <w:szCs w:val="16"/>
        </w:rPr>
        <w:t>Source:</w:t>
      </w:r>
      <w:r w:rsidRPr="001A48D3">
        <w:rPr>
          <w:i/>
          <w:sz w:val="16"/>
          <w:szCs w:val="16"/>
        </w:rPr>
        <w:tab/>
        <w:t xml:space="preserve"> BITRE estimates.</w:t>
      </w:r>
    </w:p>
    <w:p w:rsidR="00A01ECA" w:rsidRPr="001A48D3" w:rsidRDefault="00A01ECA" w:rsidP="00B52F7D">
      <w:pPr>
        <w:pStyle w:val="Heading3"/>
      </w:pPr>
      <w:bookmarkStart w:id="149" w:name="_Toc430182605"/>
      <w:r w:rsidRPr="001A48D3">
        <w:t>Implementation costs</w:t>
      </w:r>
      <w:bookmarkEnd w:id="149"/>
    </w:p>
    <w:p w:rsidR="00A01ECA" w:rsidRPr="001A48D3" w:rsidRDefault="00A01ECA" w:rsidP="00C4701A">
      <w:pPr>
        <w:spacing w:after="120"/>
      </w:pPr>
      <w:r w:rsidRPr="001A48D3">
        <w:t>The cost estimates for vehicle emission control technologies (Table 7) were sourced from European studies (CEC 2005 and EC 2006). These European estimates were converted to Australian-dollar estimates using the average exchange rate over the past few years.</w:t>
      </w:r>
    </w:p>
    <w:p w:rsidR="00A01ECA" w:rsidRPr="001A48D3" w:rsidRDefault="00A01ECA" w:rsidP="00B52F7D">
      <w:pPr>
        <w:pStyle w:val="Heading3"/>
      </w:pPr>
      <w:bookmarkStart w:id="150" w:name="_Toc430182606"/>
      <w:r w:rsidRPr="001A48D3">
        <w:t>Table 7</w:t>
      </w:r>
      <w:r w:rsidRPr="001A48D3">
        <w:tab/>
        <w:t>Incremental vehicle costs (Euro/vehicle)</w:t>
      </w:r>
      <w:bookmarkEnd w:id="150"/>
    </w:p>
    <w:tbl>
      <w:tblPr>
        <w:tblW w:w="7655" w:type="dxa"/>
        <w:tblInd w:w="108" w:type="dxa"/>
        <w:tblLook w:val="04A0" w:firstRow="1" w:lastRow="0" w:firstColumn="1" w:lastColumn="0" w:noHBand="0" w:noVBand="1"/>
      </w:tblPr>
      <w:tblGrid>
        <w:gridCol w:w="1256"/>
        <w:gridCol w:w="1154"/>
        <w:gridCol w:w="1276"/>
        <w:gridCol w:w="1276"/>
        <w:gridCol w:w="1134"/>
        <w:gridCol w:w="1559"/>
      </w:tblGrid>
      <w:tr w:rsidR="00A01ECA" w:rsidRPr="001A48D3" w:rsidTr="001E1827">
        <w:trPr>
          <w:trHeight w:val="300"/>
          <w:tblHeader/>
        </w:trPr>
        <w:tc>
          <w:tcPr>
            <w:tcW w:w="1256" w:type="dxa"/>
            <w:tcBorders>
              <w:top w:val="single" w:sz="8" w:space="0" w:color="auto"/>
              <w:left w:val="nil"/>
              <w:right w:val="nil"/>
            </w:tcBorders>
            <w:shd w:val="clear" w:color="auto" w:fill="FFFFFF"/>
            <w:noWrap/>
            <w:vAlign w:val="bottom"/>
            <w:hideMark/>
          </w:tcPr>
          <w:p w:rsidR="00A01ECA" w:rsidRPr="001A48D3" w:rsidRDefault="00A01ECA" w:rsidP="00C4701A">
            <w:pPr>
              <w:spacing w:after="120"/>
              <w:rPr>
                <w:color w:val="000000"/>
                <w:sz w:val="20"/>
              </w:rPr>
            </w:pPr>
          </w:p>
        </w:tc>
        <w:tc>
          <w:tcPr>
            <w:tcW w:w="2430" w:type="dxa"/>
            <w:gridSpan w:val="2"/>
            <w:tcBorders>
              <w:top w:val="single" w:sz="8" w:space="0" w:color="auto"/>
              <w:left w:val="nil"/>
              <w:bottom w:val="single" w:sz="8" w:space="0" w:color="auto"/>
              <w:right w:val="single" w:sz="4" w:space="0" w:color="auto"/>
            </w:tcBorders>
            <w:shd w:val="clear" w:color="auto" w:fill="FFFFFF"/>
            <w:vAlign w:val="bottom"/>
          </w:tcPr>
          <w:p w:rsidR="00A01ECA" w:rsidRPr="001A48D3" w:rsidRDefault="00A01ECA" w:rsidP="00C4701A">
            <w:pPr>
              <w:spacing w:after="120"/>
              <w:jc w:val="center"/>
              <w:rPr>
                <w:bCs/>
                <w:color w:val="000000"/>
                <w:sz w:val="20"/>
              </w:rPr>
            </w:pPr>
            <w:r w:rsidRPr="001A48D3">
              <w:rPr>
                <w:bCs/>
                <w:color w:val="000000"/>
                <w:sz w:val="20"/>
              </w:rPr>
              <w:t xml:space="preserve">Euro </w:t>
            </w:r>
          </w:p>
        </w:tc>
        <w:tc>
          <w:tcPr>
            <w:tcW w:w="3969" w:type="dxa"/>
            <w:gridSpan w:val="3"/>
            <w:tcBorders>
              <w:top w:val="single" w:sz="8" w:space="0" w:color="auto"/>
              <w:left w:val="single" w:sz="4" w:space="0" w:color="auto"/>
              <w:bottom w:val="single" w:sz="8" w:space="0" w:color="auto"/>
              <w:right w:val="nil"/>
            </w:tcBorders>
            <w:shd w:val="clear" w:color="auto" w:fill="FFFFFF"/>
            <w:noWrap/>
            <w:vAlign w:val="bottom"/>
            <w:hideMark/>
          </w:tcPr>
          <w:p w:rsidR="00A01ECA" w:rsidRPr="001A48D3" w:rsidRDefault="00A01ECA" w:rsidP="00C4701A">
            <w:pPr>
              <w:spacing w:after="120"/>
              <w:jc w:val="center"/>
              <w:rPr>
                <w:bCs/>
                <w:color w:val="000000"/>
                <w:sz w:val="20"/>
              </w:rPr>
            </w:pPr>
            <w:r w:rsidRPr="001A48D3">
              <w:rPr>
                <w:bCs/>
                <w:color w:val="000000"/>
                <w:sz w:val="20"/>
              </w:rPr>
              <w:t>A$</w:t>
            </w:r>
          </w:p>
        </w:tc>
      </w:tr>
      <w:tr w:rsidR="00A01ECA" w:rsidRPr="001A48D3" w:rsidTr="001E1827">
        <w:trPr>
          <w:trHeight w:val="300"/>
          <w:tblHeader/>
        </w:trPr>
        <w:tc>
          <w:tcPr>
            <w:tcW w:w="1256" w:type="dxa"/>
            <w:tcBorders>
              <w:left w:val="nil"/>
              <w:bottom w:val="single" w:sz="8" w:space="0" w:color="auto"/>
              <w:right w:val="nil"/>
            </w:tcBorders>
            <w:shd w:val="clear" w:color="auto" w:fill="FFFFFF"/>
            <w:noWrap/>
            <w:vAlign w:val="bottom"/>
            <w:hideMark/>
          </w:tcPr>
          <w:p w:rsidR="00A01ECA" w:rsidRPr="001A48D3" w:rsidRDefault="00A01ECA" w:rsidP="00C4701A">
            <w:pPr>
              <w:spacing w:after="120"/>
              <w:rPr>
                <w:color w:val="000000"/>
                <w:sz w:val="20"/>
              </w:rPr>
            </w:pPr>
            <w:r w:rsidRPr="001A48D3">
              <w:rPr>
                <w:color w:val="000000"/>
                <w:sz w:val="20"/>
              </w:rPr>
              <w:t> </w:t>
            </w:r>
          </w:p>
        </w:tc>
        <w:tc>
          <w:tcPr>
            <w:tcW w:w="1154" w:type="dxa"/>
            <w:tcBorders>
              <w:top w:val="single" w:sz="8" w:space="0" w:color="auto"/>
              <w:left w:val="nil"/>
              <w:bottom w:val="single" w:sz="8" w:space="0" w:color="auto"/>
              <w:right w:val="nil"/>
            </w:tcBorders>
            <w:shd w:val="clear" w:color="auto" w:fill="FFFFFF"/>
            <w:vAlign w:val="bottom"/>
          </w:tcPr>
          <w:p w:rsidR="00A01ECA" w:rsidRPr="001A48D3" w:rsidRDefault="00A01ECA" w:rsidP="00C4701A">
            <w:pPr>
              <w:spacing w:after="120"/>
              <w:jc w:val="center"/>
              <w:rPr>
                <w:bCs/>
                <w:color w:val="000000"/>
                <w:sz w:val="20"/>
              </w:rPr>
            </w:pPr>
            <w:r w:rsidRPr="001A48D3">
              <w:rPr>
                <w:bCs/>
                <w:color w:val="000000"/>
                <w:sz w:val="20"/>
              </w:rPr>
              <w:t>Euro 4 to Euro 5</w:t>
            </w:r>
          </w:p>
        </w:tc>
        <w:tc>
          <w:tcPr>
            <w:tcW w:w="1276" w:type="dxa"/>
            <w:tcBorders>
              <w:top w:val="single" w:sz="8" w:space="0" w:color="auto"/>
              <w:left w:val="nil"/>
              <w:bottom w:val="single" w:sz="8" w:space="0" w:color="auto"/>
              <w:right w:val="single" w:sz="4" w:space="0" w:color="auto"/>
            </w:tcBorders>
            <w:shd w:val="clear" w:color="auto" w:fill="FFFFFF"/>
          </w:tcPr>
          <w:p w:rsidR="00A01ECA" w:rsidRPr="001A48D3" w:rsidRDefault="00A01ECA" w:rsidP="00C4701A">
            <w:pPr>
              <w:spacing w:after="120"/>
              <w:jc w:val="center"/>
              <w:rPr>
                <w:bCs/>
                <w:color w:val="000000"/>
                <w:sz w:val="20"/>
              </w:rPr>
            </w:pPr>
            <w:r w:rsidRPr="001A48D3">
              <w:rPr>
                <w:bCs/>
                <w:color w:val="000000"/>
                <w:sz w:val="20"/>
              </w:rPr>
              <w:t>Euro 5 to Euro 6</w:t>
            </w:r>
          </w:p>
        </w:tc>
        <w:tc>
          <w:tcPr>
            <w:tcW w:w="1276" w:type="dxa"/>
            <w:tcBorders>
              <w:top w:val="single" w:sz="8" w:space="0" w:color="auto"/>
              <w:left w:val="single" w:sz="4" w:space="0" w:color="auto"/>
              <w:bottom w:val="single" w:sz="8" w:space="0" w:color="auto"/>
              <w:right w:val="nil"/>
            </w:tcBorders>
            <w:shd w:val="clear" w:color="auto" w:fill="FFFFFF"/>
            <w:noWrap/>
            <w:vAlign w:val="bottom"/>
            <w:hideMark/>
          </w:tcPr>
          <w:p w:rsidR="00A01ECA" w:rsidRPr="001A48D3" w:rsidRDefault="00A01ECA" w:rsidP="00C4701A">
            <w:pPr>
              <w:spacing w:after="120"/>
              <w:jc w:val="center"/>
              <w:rPr>
                <w:bCs/>
                <w:color w:val="000000"/>
                <w:sz w:val="20"/>
              </w:rPr>
            </w:pPr>
            <w:r w:rsidRPr="001A48D3">
              <w:rPr>
                <w:bCs/>
                <w:color w:val="000000"/>
                <w:sz w:val="20"/>
              </w:rPr>
              <w:t>Euro 4 to Euro 5</w:t>
            </w:r>
          </w:p>
        </w:tc>
        <w:tc>
          <w:tcPr>
            <w:tcW w:w="1134" w:type="dxa"/>
            <w:tcBorders>
              <w:top w:val="single" w:sz="8" w:space="0" w:color="auto"/>
              <w:left w:val="nil"/>
              <w:bottom w:val="single" w:sz="8" w:space="0" w:color="auto"/>
              <w:right w:val="nil"/>
            </w:tcBorders>
            <w:shd w:val="clear" w:color="auto" w:fill="FFFFFF"/>
            <w:noWrap/>
            <w:vAlign w:val="bottom"/>
            <w:hideMark/>
          </w:tcPr>
          <w:p w:rsidR="00A01ECA" w:rsidRPr="001A48D3" w:rsidRDefault="00A01ECA" w:rsidP="00C4701A">
            <w:pPr>
              <w:spacing w:after="120"/>
              <w:jc w:val="center"/>
              <w:rPr>
                <w:bCs/>
                <w:color w:val="000000"/>
                <w:sz w:val="20"/>
              </w:rPr>
            </w:pPr>
            <w:r w:rsidRPr="001A48D3">
              <w:rPr>
                <w:bCs/>
                <w:color w:val="000000"/>
                <w:sz w:val="20"/>
              </w:rPr>
              <w:t>Euro 5 to Euro 6</w:t>
            </w:r>
          </w:p>
        </w:tc>
        <w:tc>
          <w:tcPr>
            <w:tcW w:w="1559" w:type="dxa"/>
            <w:tcBorders>
              <w:top w:val="single" w:sz="8" w:space="0" w:color="auto"/>
              <w:left w:val="nil"/>
              <w:bottom w:val="single" w:sz="8" w:space="0" w:color="auto"/>
              <w:right w:val="nil"/>
            </w:tcBorders>
            <w:shd w:val="clear" w:color="auto" w:fill="FFFFFF"/>
            <w:noWrap/>
            <w:vAlign w:val="center"/>
            <w:hideMark/>
          </w:tcPr>
          <w:p w:rsidR="00A01ECA" w:rsidRPr="001A48D3" w:rsidRDefault="00A01ECA" w:rsidP="00C4701A">
            <w:pPr>
              <w:spacing w:after="120"/>
              <w:rPr>
                <w:bCs/>
                <w:color w:val="000000"/>
                <w:sz w:val="20"/>
              </w:rPr>
            </w:pPr>
            <w:r w:rsidRPr="001A48D3">
              <w:rPr>
                <w:bCs/>
                <w:color w:val="000000"/>
                <w:sz w:val="20"/>
              </w:rPr>
              <w:t>Euro 4 to Euro 6</w:t>
            </w:r>
          </w:p>
        </w:tc>
      </w:tr>
      <w:tr w:rsidR="00A01ECA" w:rsidRPr="001A48D3" w:rsidTr="00A01ECA">
        <w:trPr>
          <w:trHeight w:val="288"/>
        </w:trPr>
        <w:tc>
          <w:tcPr>
            <w:tcW w:w="1256" w:type="dxa"/>
            <w:tcBorders>
              <w:top w:val="single" w:sz="8" w:space="0" w:color="auto"/>
              <w:left w:val="nil"/>
              <w:bottom w:val="nil"/>
            </w:tcBorders>
            <w:shd w:val="clear" w:color="auto" w:fill="FFFFFF"/>
            <w:noWrap/>
            <w:vAlign w:val="bottom"/>
            <w:hideMark/>
          </w:tcPr>
          <w:p w:rsidR="00A01ECA" w:rsidRPr="001A48D3" w:rsidRDefault="00A01ECA" w:rsidP="00C4701A">
            <w:pPr>
              <w:spacing w:after="120"/>
              <w:rPr>
                <w:color w:val="000000"/>
                <w:sz w:val="16"/>
                <w:szCs w:val="16"/>
              </w:rPr>
            </w:pPr>
            <w:r w:rsidRPr="001A48D3">
              <w:rPr>
                <w:color w:val="000000"/>
                <w:sz w:val="16"/>
                <w:szCs w:val="16"/>
              </w:rPr>
              <w:t>Petrol vehicle</w:t>
            </w:r>
          </w:p>
        </w:tc>
        <w:tc>
          <w:tcPr>
            <w:tcW w:w="1154" w:type="dxa"/>
            <w:tcBorders>
              <w:top w:val="single" w:sz="8" w:space="0" w:color="auto"/>
              <w:left w:val="nil"/>
              <w:bottom w:val="nil"/>
              <w:right w:val="nil"/>
            </w:tcBorders>
            <w:shd w:val="clear" w:color="auto" w:fill="FFFFFF"/>
            <w:vAlign w:val="bottom"/>
          </w:tcPr>
          <w:p w:rsidR="00A01ECA" w:rsidRPr="001A48D3" w:rsidRDefault="00A01ECA" w:rsidP="00C4701A">
            <w:pPr>
              <w:spacing w:after="120"/>
              <w:jc w:val="center"/>
              <w:rPr>
                <w:color w:val="000000"/>
                <w:sz w:val="16"/>
                <w:szCs w:val="16"/>
              </w:rPr>
            </w:pPr>
            <w:r w:rsidRPr="001A48D3">
              <w:rPr>
                <w:color w:val="000000"/>
                <w:sz w:val="16"/>
                <w:szCs w:val="16"/>
              </w:rPr>
              <w:t>51</w:t>
            </w:r>
          </w:p>
        </w:tc>
        <w:tc>
          <w:tcPr>
            <w:tcW w:w="1276" w:type="dxa"/>
            <w:tcBorders>
              <w:top w:val="single" w:sz="8" w:space="0" w:color="auto"/>
              <w:left w:val="nil"/>
              <w:bottom w:val="nil"/>
              <w:right w:val="single" w:sz="4" w:space="0" w:color="auto"/>
            </w:tcBorders>
            <w:shd w:val="clear" w:color="auto" w:fill="FFFFFF"/>
            <w:vAlign w:val="bottom"/>
          </w:tcPr>
          <w:p w:rsidR="00A01ECA" w:rsidRPr="001A48D3" w:rsidRDefault="00A01ECA" w:rsidP="00C4701A">
            <w:pPr>
              <w:spacing w:after="120"/>
              <w:jc w:val="center"/>
              <w:rPr>
                <w:color w:val="000000"/>
                <w:sz w:val="16"/>
                <w:szCs w:val="16"/>
              </w:rPr>
            </w:pPr>
            <w:r w:rsidRPr="001A48D3">
              <w:rPr>
                <w:color w:val="000000"/>
                <w:sz w:val="16"/>
                <w:szCs w:val="16"/>
              </w:rPr>
              <w:t>0</w:t>
            </w:r>
          </w:p>
        </w:tc>
        <w:tc>
          <w:tcPr>
            <w:tcW w:w="1276" w:type="dxa"/>
            <w:tcBorders>
              <w:top w:val="nil"/>
              <w:left w:val="single" w:sz="4" w:space="0" w:color="auto"/>
              <w:bottom w:val="nil"/>
              <w:right w:val="nil"/>
            </w:tcBorders>
            <w:shd w:val="clear" w:color="auto" w:fill="FFFFFF"/>
            <w:noWrap/>
            <w:vAlign w:val="bottom"/>
            <w:hideMark/>
          </w:tcPr>
          <w:p w:rsidR="00A01ECA" w:rsidRPr="001A48D3" w:rsidRDefault="00A01ECA" w:rsidP="00C4701A">
            <w:pPr>
              <w:spacing w:after="120"/>
              <w:jc w:val="center"/>
              <w:rPr>
                <w:color w:val="000000"/>
                <w:sz w:val="16"/>
                <w:szCs w:val="16"/>
              </w:rPr>
            </w:pPr>
            <w:r w:rsidRPr="001A48D3">
              <w:rPr>
                <w:color w:val="000000"/>
                <w:sz w:val="16"/>
                <w:szCs w:val="16"/>
              </w:rPr>
              <w:t>85</w:t>
            </w:r>
          </w:p>
        </w:tc>
        <w:tc>
          <w:tcPr>
            <w:tcW w:w="1134" w:type="dxa"/>
            <w:tcBorders>
              <w:top w:val="nil"/>
              <w:left w:val="nil"/>
              <w:bottom w:val="nil"/>
              <w:right w:val="nil"/>
            </w:tcBorders>
            <w:shd w:val="clear" w:color="auto" w:fill="FFFFFF"/>
            <w:noWrap/>
            <w:vAlign w:val="bottom"/>
            <w:hideMark/>
          </w:tcPr>
          <w:p w:rsidR="00A01ECA" w:rsidRPr="001A48D3" w:rsidRDefault="00A01ECA" w:rsidP="00C4701A">
            <w:pPr>
              <w:spacing w:after="120"/>
              <w:jc w:val="center"/>
              <w:rPr>
                <w:color w:val="000000"/>
                <w:sz w:val="16"/>
                <w:szCs w:val="16"/>
              </w:rPr>
            </w:pPr>
            <w:r w:rsidRPr="001A48D3">
              <w:rPr>
                <w:color w:val="000000"/>
                <w:sz w:val="16"/>
                <w:szCs w:val="16"/>
              </w:rPr>
              <w:t>0</w:t>
            </w:r>
          </w:p>
        </w:tc>
        <w:tc>
          <w:tcPr>
            <w:tcW w:w="1559" w:type="dxa"/>
            <w:tcBorders>
              <w:top w:val="nil"/>
              <w:left w:val="nil"/>
              <w:bottom w:val="nil"/>
              <w:right w:val="nil"/>
            </w:tcBorders>
            <w:shd w:val="clear" w:color="auto" w:fill="FFFFFF"/>
            <w:noWrap/>
            <w:vAlign w:val="bottom"/>
            <w:hideMark/>
          </w:tcPr>
          <w:p w:rsidR="00A01ECA" w:rsidRPr="001A48D3" w:rsidRDefault="00A01ECA" w:rsidP="00C4701A">
            <w:pPr>
              <w:spacing w:after="120"/>
              <w:jc w:val="center"/>
              <w:rPr>
                <w:color w:val="000000"/>
                <w:sz w:val="16"/>
                <w:szCs w:val="16"/>
              </w:rPr>
            </w:pPr>
            <w:r w:rsidRPr="001A48D3">
              <w:rPr>
                <w:color w:val="000000"/>
                <w:sz w:val="16"/>
                <w:szCs w:val="16"/>
              </w:rPr>
              <w:t>85</w:t>
            </w:r>
          </w:p>
        </w:tc>
      </w:tr>
      <w:tr w:rsidR="00A01ECA" w:rsidRPr="001A48D3" w:rsidTr="00A01ECA">
        <w:trPr>
          <w:trHeight w:val="300"/>
        </w:trPr>
        <w:tc>
          <w:tcPr>
            <w:tcW w:w="1256" w:type="dxa"/>
            <w:tcBorders>
              <w:top w:val="nil"/>
              <w:left w:val="nil"/>
              <w:bottom w:val="single" w:sz="8" w:space="0" w:color="auto"/>
            </w:tcBorders>
            <w:shd w:val="clear" w:color="auto" w:fill="FFFFFF"/>
            <w:noWrap/>
            <w:vAlign w:val="bottom"/>
            <w:hideMark/>
          </w:tcPr>
          <w:p w:rsidR="00A01ECA" w:rsidRPr="001A48D3" w:rsidRDefault="00A01ECA" w:rsidP="00C4701A">
            <w:pPr>
              <w:spacing w:after="120"/>
              <w:rPr>
                <w:color w:val="000000"/>
                <w:sz w:val="16"/>
                <w:szCs w:val="16"/>
              </w:rPr>
            </w:pPr>
            <w:r w:rsidRPr="001A48D3">
              <w:rPr>
                <w:color w:val="000000"/>
                <w:sz w:val="16"/>
                <w:szCs w:val="16"/>
              </w:rPr>
              <w:t>Diesel vehicle</w:t>
            </w:r>
          </w:p>
        </w:tc>
        <w:tc>
          <w:tcPr>
            <w:tcW w:w="1154" w:type="dxa"/>
            <w:tcBorders>
              <w:top w:val="nil"/>
              <w:left w:val="nil"/>
              <w:bottom w:val="single" w:sz="8" w:space="0" w:color="auto"/>
              <w:right w:val="nil"/>
            </w:tcBorders>
            <w:shd w:val="clear" w:color="auto" w:fill="FFFFFF"/>
            <w:vAlign w:val="bottom"/>
          </w:tcPr>
          <w:p w:rsidR="00A01ECA" w:rsidRPr="001A48D3" w:rsidRDefault="00A01ECA" w:rsidP="00C4701A">
            <w:pPr>
              <w:spacing w:after="120"/>
              <w:jc w:val="center"/>
              <w:rPr>
                <w:color w:val="000000"/>
                <w:sz w:val="16"/>
                <w:szCs w:val="16"/>
              </w:rPr>
            </w:pPr>
            <w:r w:rsidRPr="001A48D3">
              <w:rPr>
                <w:color w:val="000000"/>
                <w:sz w:val="16"/>
                <w:szCs w:val="16"/>
              </w:rPr>
              <w:t>377</w:t>
            </w:r>
          </w:p>
        </w:tc>
        <w:tc>
          <w:tcPr>
            <w:tcW w:w="1276" w:type="dxa"/>
            <w:tcBorders>
              <w:top w:val="nil"/>
              <w:left w:val="nil"/>
              <w:bottom w:val="single" w:sz="8" w:space="0" w:color="auto"/>
              <w:right w:val="single" w:sz="4" w:space="0" w:color="auto"/>
            </w:tcBorders>
            <w:shd w:val="clear" w:color="auto" w:fill="FFFFFF"/>
            <w:vAlign w:val="bottom"/>
          </w:tcPr>
          <w:p w:rsidR="00A01ECA" w:rsidRPr="001A48D3" w:rsidRDefault="00A01ECA" w:rsidP="00C4701A">
            <w:pPr>
              <w:spacing w:after="120"/>
              <w:jc w:val="center"/>
              <w:rPr>
                <w:color w:val="000000"/>
                <w:sz w:val="16"/>
                <w:szCs w:val="16"/>
              </w:rPr>
            </w:pPr>
            <w:r w:rsidRPr="001A48D3">
              <w:rPr>
                <w:color w:val="000000"/>
                <w:sz w:val="16"/>
                <w:szCs w:val="16"/>
              </w:rPr>
              <w:t>213</w:t>
            </w:r>
          </w:p>
        </w:tc>
        <w:tc>
          <w:tcPr>
            <w:tcW w:w="1276" w:type="dxa"/>
            <w:tcBorders>
              <w:top w:val="nil"/>
              <w:left w:val="single" w:sz="4" w:space="0" w:color="auto"/>
              <w:bottom w:val="single" w:sz="8" w:space="0" w:color="auto"/>
              <w:right w:val="nil"/>
            </w:tcBorders>
            <w:shd w:val="clear" w:color="auto" w:fill="FFFFFF"/>
            <w:noWrap/>
            <w:vAlign w:val="bottom"/>
            <w:hideMark/>
          </w:tcPr>
          <w:p w:rsidR="00A01ECA" w:rsidRPr="001A48D3" w:rsidRDefault="00A01ECA" w:rsidP="00C4701A">
            <w:pPr>
              <w:spacing w:after="120"/>
              <w:jc w:val="center"/>
              <w:rPr>
                <w:color w:val="000000"/>
                <w:sz w:val="16"/>
                <w:szCs w:val="16"/>
              </w:rPr>
            </w:pPr>
            <w:r w:rsidRPr="001A48D3">
              <w:rPr>
                <w:color w:val="000000"/>
                <w:sz w:val="16"/>
                <w:szCs w:val="16"/>
              </w:rPr>
              <w:t>628</w:t>
            </w:r>
          </w:p>
        </w:tc>
        <w:tc>
          <w:tcPr>
            <w:tcW w:w="1134" w:type="dxa"/>
            <w:tcBorders>
              <w:top w:val="nil"/>
              <w:left w:val="nil"/>
              <w:bottom w:val="single" w:sz="8" w:space="0" w:color="auto"/>
              <w:right w:val="nil"/>
            </w:tcBorders>
            <w:shd w:val="clear" w:color="auto" w:fill="FFFFFF"/>
            <w:noWrap/>
            <w:vAlign w:val="bottom"/>
            <w:hideMark/>
          </w:tcPr>
          <w:p w:rsidR="00A01ECA" w:rsidRPr="001A48D3" w:rsidRDefault="00A01ECA" w:rsidP="00C4701A">
            <w:pPr>
              <w:spacing w:after="120"/>
              <w:jc w:val="center"/>
              <w:rPr>
                <w:color w:val="000000"/>
                <w:sz w:val="16"/>
                <w:szCs w:val="16"/>
              </w:rPr>
            </w:pPr>
            <w:r w:rsidRPr="001A48D3">
              <w:rPr>
                <w:color w:val="000000"/>
                <w:sz w:val="16"/>
                <w:szCs w:val="16"/>
              </w:rPr>
              <w:t>355</w:t>
            </w:r>
          </w:p>
        </w:tc>
        <w:tc>
          <w:tcPr>
            <w:tcW w:w="1559" w:type="dxa"/>
            <w:tcBorders>
              <w:top w:val="nil"/>
              <w:left w:val="nil"/>
              <w:bottom w:val="single" w:sz="8" w:space="0" w:color="auto"/>
              <w:right w:val="nil"/>
            </w:tcBorders>
            <w:shd w:val="clear" w:color="auto" w:fill="FFFFFF"/>
            <w:noWrap/>
            <w:vAlign w:val="bottom"/>
            <w:hideMark/>
          </w:tcPr>
          <w:p w:rsidR="00A01ECA" w:rsidRPr="001A48D3" w:rsidRDefault="00A01ECA" w:rsidP="00C4701A">
            <w:pPr>
              <w:spacing w:after="120"/>
              <w:jc w:val="center"/>
              <w:rPr>
                <w:color w:val="000000"/>
                <w:sz w:val="16"/>
                <w:szCs w:val="16"/>
              </w:rPr>
            </w:pPr>
            <w:r w:rsidRPr="001A48D3">
              <w:rPr>
                <w:color w:val="000000"/>
                <w:sz w:val="16"/>
                <w:szCs w:val="16"/>
              </w:rPr>
              <w:t>983</w:t>
            </w:r>
          </w:p>
        </w:tc>
      </w:tr>
    </w:tbl>
    <w:p w:rsidR="00A01ECA" w:rsidRPr="001A48D3" w:rsidRDefault="00A01ECA" w:rsidP="00C4701A">
      <w:pPr>
        <w:spacing w:before="60" w:after="120"/>
        <w:rPr>
          <w:i/>
          <w:sz w:val="16"/>
          <w:szCs w:val="16"/>
        </w:rPr>
      </w:pPr>
      <w:r w:rsidRPr="001A48D3">
        <w:rPr>
          <w:i/>
          <w:sz w:val="16"/>
          <w:szCs w:val="16"/>
        </w:rPr>
        <w:t>Note:</w:t>
      </w:r>
      <w:r w:rsidRPr="001A48D3">
        <w:rPr>
          <w:i/>
          <w:sz w:val="16"/>
          <w:szCs w:val="16"/>
        </w:rPr>
        <w:tab/>
        <w:t>A$1=Euro0.60.</w:t>
      </w:r>
    </w:p>
    <w:p w:rsidR="00A01ECA" w:rsidRPr="001A48D3" w:rsidRDefault="00A01ECA" w:rsidP="00C4701A">
      <w:pPr>
        <w:spacing w:before="120" w:after="120"/>
        <w:rPr>
          <w:i/>
          <w:sz w:val="16"/>
          <w:szCs w:val="16"/>
        </w:rPr>
      </w:pPr>
      <w:r w:rsidRPr="001A48D3">
        <w:rPr>
          <w:i/>
          <w:sz w:val="16"/>
          <w:szCs w:val="16"/>
        </w:rPr>
        <w:t>Source:</w:t>
      </w:r>
      <w:r w:rsidRPr="001A48D3">
        <w:rPr>
          <w:i/>
          <w:sz w:val="16"/>
          <w:szCs w:val="16"/>
        </w:rPr>
        <w:tab/>
        <w:t>CEC( 2005) and EC (2006).</w:t>
      </w:r>
    </w:p>
    <w:p w:rsidR="00A01ECA" w:rsidRPr="001A48D3" w:rsidRDefault="00A01ECA" w:rsidP="00C4701A">
      <w:pPr>
        <w:spacing w:after="120"/>
      </w:pPr>
      <w:r w:rsidRPr="001A48D3">
        <w:t xml:space="preserve">In estimating the additional unit vehicle cost over time, it was assumed that incremental vehicle technology costs (reported in Table 7) decline as the market expands for the new technology. The assumed cost adjustment process follows the path shown in Figure 2, that is, the additional unit vehicle costs are kept constant to 2020, then drop by </w:t>
      </w:r>
      <w:r w:rsidR="006968FB" w:rsidRPr="001A48D3">
        <w:t xml:space="preserve">around </w:t>
      </w:r>
      <w:r w:rsidR="00694F6F" w:rsidRPr="001A48D3">
        <w:t xml:space="preserve">40 per </w:t>
      </w:r>
      <w:r w:rsidR="00694F6F" w:rsidRPr="001A48D3">
        <w:lastRenderedPageBreak/>
        <w:t xml:space="preserve">cent </w:t>
      </w:r>
      <w:r w:rsidRPr="001A48D3">
        <w:t xml:space="preserve">by </w:t>
      </w:r>
      <w:r w:rsidR="006968FB" w:rsidRPr="001A48D3">
        <w:t>2029</w:t>
      </w:r>
      <w:r w:rsidRPr="001A48D3">
        <w:t>. The adjusted additional per vehicle cost for petrol (P1) and diesel (D1) vehicles are shown in Figure 3.</w:t>
      </w:r>
    </w:p>
    <w:p w:rsidR="00A01ECA" w:rsidRPr="001A48D3" w:rsidRDefault="00A01ECA" w:rsidP="00B52F7D">
      <w:pPr>
        <w:pStyle w:val="Heading3"/>
      </w:pPr>
      <w:bookmarkStart w:id="151" w:name="_Toc430182607"/>
      <w:r w:rsidRPr="001A48D3">
        <w:t>Figure 2</w:t>
      </w:r>
      <w:r w:rsidRPr="001A48D3">
        <w:tab/>
        <w:t>Assumed cost adjustment path</w:t>
      </w:r>
      <w:bookmarkEnd w:id="151"/>
    </w:p>
    <w:p w:rsidR="00694F6F" w:rsidRPr="001A48D3" w:rsidRDefault="00836FFF" w:rsidP="00C4701A">
      <w:pPr>
        <w:spacing w:before="360" w:after="120"/>
        <w:rPr>
          <w:noProof/>
        </w:rPr>
      </w:pPr>
      <w:r>
        <w:rPr>
          <w:noProof/>
        </w:rPr>
        <w:drawing>
          <wp:inline distT="0" distB="0" distL="0" distR="0" wp14:anchorId="441C8CBF" wp14:editId="1650541B">
            <wp:extent cx="3857625" cy="1924050"/>
            <wp:effectExtent l="0" t="0" r="9525" b="0"/>
            <wp:docPr id="13" name="Chart 1" descr="The diagram is a technical diagram. If you are unable to view this image, please contact the Department of Infrastructure &amp; Regional Development for a hard copy of this docu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descr="The diagram is a technical diagram. If you are unable to view this image, please contact the Department of Infrastructure &amp; Regional Development for a hard copy of this document."/>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57625" cy="1924050"/>
                    </a:xfrm>
                    <a:prstGeom prst="rect">
                      <a:avLst/>
                    </a:prstGeom>
                    <a:noFill/>
                    <a:ln>
                      <a:noFill/>
                    </a:ln>
                  </pic:spPr>
                </pic:pic>
              </a:graphicData>
            </a:graphic>
          </wp:inline>
        </w:drawing>
      </w:r>
    </w:p>
    <w:p w:rsidR="00A01ECA" w:rsidRPr="001A48D3" w:rsidRDefault="00A01ECA" w:rsidP="00C4701A">
      <w:pPr>
        <w:spacing w:before="360" w:after="120"/>
      </w:pPr>
      <w:r w:rsidRPr="001A48D3">
        <w:t xml:space="preserve">Emissions-reducing technology on vehicles purchased during </w:t>
      </w:r>
      <w:r w:rsidR="0008519F" w:rsidRPr="001A48D3">
        <w:t xml:space="preserve">most years </w:t>
      </w:r>
      <w:r w:rsidRPr="001A48D3">
        <w:t xml:space="preserve">of the evaluation period will continue to generate benefits </w:t>
      </w:r>
      <w:r w:rsidR="0008519F" w:rsidRPr="001A48D3">
        <w:t xml:space="preserve">beyond </w:t>
      </w:r>
      <w:r w:rsidRPr="001A48D3">
        <w:t xml:space="preserve">the end of the evaluation period in </w:t>
      </w:r>
      <w:r w:rsidR="00F14147" w:rsidRPr="001A48D3">
        <w:t>2029</w:t>
      </w:r>
      <w:r w:rsidRPr="001A48D3">
        <w:t xml:space="preserve">. In benefit–cost analyses, where assets generate benefits beyond the evaluation period, the usual approach is to estimate the benefits from those assets over their entire lives and to include, as a ‘residual value’, the present value of benefits that accrue after the end of the evaluation period. For the present application, such an approach would entail a heavy calculation burden. Since the benefits from emission-reducing technology are fairly constant over the lives of the vehicles, a good approximation is obtained by prorating the cost of the technology over the lives of the vehicles, then only counting costs attributed to years before </w:t>
      </w:r>
      <w:r w:rsidR="00FC12CB" w:rsidRPr="001A48D3">
        <w:t>2029</w:t>
      </w:r>
      <w:r w:rsidRPr="001A48D3">
        <w:t>.</w:t>
      </w:r>
    </w:p>
    <w:p w:rsidR="00A01ECA" w:rsidRPr="001A48D3" w:rsidRDefault="00A01ECA" w:rsidP="00C4701A">
      <w:pPr>
        <w:spacing w:before="360" w:after="120"/>
      </w:pPr>
      <w:r w:rsidRPr="001A48D3">
        <w:t xml:space="preserve">The average vehicle life was assumed to be 17 years. For vehicles purchased during the last 16 years of the evaluation period, the cost of the emissions-reducing technology was </w:t>
      </w:r>
      <w:proofErr w:type="spellStart"/>
      <w:r w:rsidRPr="001A48D3">
        <w:t>annuitised</w:t>
      </w:r>
      <w:proofErr w:type="spellEnd"/>
      <w:r w:rsidRPr="001A48D3">
        <w:t xml:space="preserve"> over 17 years at the discount rate</w:t>
      </w:r>
      <w:r w:rsidR="001D644D" w:rsidRPr="001A48D3">
        <w:t xml:space="preserve"> of 7 percent</w:t>
      </w:r>
      <w:r w:rsidRPr="001A48D3">
        <w:t xml:space="preserve">. The annual costs for years before </w:t>
      </w:r>
      <w:r w:rsidR="001D644D" w:rsidRPr="001A48D3">
        <w:t xml:space="preserve">2030 </w:t>
      </w:r>
      <w:r w:rsidRPr="001A48D3">
        <w:t xml:space="preserve">were discounted to the present as implementation costs. Annual costs for years </w:t>
      </w:r>
      <w:r w:rsidR="001D644D" w:rsidRPr="001A48D3">
        <w:t xml:space="preserve">2030 </w:t>
      </w:r>
      <w:r w:rsidRPr="001A48D3">
        <w:t xml:space="preserve">onward were omitted, consistent with the benefits for years </w:t>
      </w:r>
      <w:r w:rsidR="001D644D" w:rsidRPr="001A48D3">
        <w:t xml:space="preserve">2030 </w:t>
      </w:r>
      <w:r w:rsidRPr="001A48D3">
        <w:t>onward being absent.</w:t>
      </w:r>
    </w:p>
    <w:p w:rsidR="002E5D02" w:rsidRDefault="00A01ECA" w:rsidP="00B52F7D">
      <w:pPr>
        <w:spacing w:before="360" w:after="120"/>
      </w:pPr>
      <w:r w:rsidRPr="001A48D3">
        <w:t>The ‘pro-rata’ curves in Figure 3 (</w:t>
      </w:r>
      <w:r w:rsidR="00AA344F" w:rsidRPr="001A48D3">
        <w:t xml:space="preserve">P2 </w:t>
      </w:r>
      <w:r w:rsidRPr="001A48D3">
        <w:t xml:space="preserve">and </w:t>
      </w:r>
      <w:r w:rsidR="00AA344F" w:rsidRPr="001A48D3">
        <w:t>D2</w:t>
      </w:r>
      <w:r w:rsidRPr="001A48D3">
        <w:t xml:space="preserve">) show the effects on costs per vehicle of excluding annualised costs after </w:t>
      </w:r>
      <w:r w:rsidR="001D644D" w:rsidRPr="001A48D3">
        <w:t xml:space="preserve">2029 </w:t>
      </w:r>
      <w:r w:rsidRPr="001A48D3">
        <w:t xml:space="preserve">of emissions-reducing technology for vehicles purchased over the last the last 16 years of the evaluation period. The pro-rata curves approach zero by the end of the period, with vehicles purchased in </w:t>
      </w:r>
      <w:r w:rsidR="001D644D" w:rsidRPr="001A48D3">
        <w:t xml:space="preserve">2029 </w:t>
      </w:r>
      <w:r w:rsidRPr="001A48D3">
        <w:t xml:space="preserve">having only one year of cost included. </w:t>
      </w:r>
    </w:p>
    <w:p w:rsidR="00A01ECA" w:rsidRPr="001A48D3" w:rsidRDefault="00A01ECA" w:rsidP="00B52F7D">
      <w:pPr>
        <w:pStyle w:val="Heading3"/>
      </w:pPr>
      <w:bookmarkStart w:id="152" w:name="_Toc430182608"/>
      <w:r w:rsidRPr="001A48D3">
        <w:lastRenderedPageBreak/>
        <w:t>Figure 3</w:t>
      </w:r>
      <w:r w:rsidRPr="001A48D3">
        <w:tab/>
        <w:t>Additional Vehicle Cost Estimates (A$/vehicle)</w:t>
      </w:r>
      <w:bookmarkEnd w:id="152"/>
    </w:p>
    <w:p w:rsidR="00A01ECA" w:rsidRPr="001A48D3" w:rsidRDefault="00836FFF" w:rsidP="00C4701A">
      <w:pPr>
        <w:spacing w:after="120"/>
      </w:pPr>
      <w:r>
        <w:rPr>
          <w:noProof/>
        </w:rPr>
        <w:drawing>
          <wp:inline distT="0" distB="0" distL="0" distR="0" wp14:anchorId="61BC13A9" wp14:editId="074B26F8">
            <wp:extent cx="3457575" cy="1819275"/>
            <wp:effectExtent l="0" t="0" r="9525" b="9525"/>
            <wp:docPr id="14" name="Chart 2" descr="The diagram is a technical diagram. If you are unable to view this image, please contact the Department of Infrastructure &amp; Regional Development for a hard copy of this docu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descr="The diagram is a technical diagram. If you are unable to view this image, please contact the Department of Infrastructure &amp; Regional Development for a hard copy of this document."/>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7575" cy="1819275"/>
                    </a:xfrm>
                    <a:prstGeom prst="rect">
                      <a:avLst/>
                    </a:prstGeom>
                    <a:noFill/>
                    <a:ln>
                      <a:noFill/>
                    </a:ln>
                  </pic:spPr>
                </pic:pic>
              </a:graphicData>
            </a:graphic>
          </wp:inline>
        </w:drawing>
      </w:r>
    </w:p>
    <w:p w:rsidR="00A01ECA" w:rsidRPr="001A48D3" w:rsidRDefault="00A01ECA" w:rsidP="001E1827">
      <w:pPr>
        <w:spacing w:before="240" w:after="120"/>
      </w:pPr>
      <w:r w:rsidRPr="001A48D3">
        <w:t>In estimating the total implementation costs, two further assumptions were made. First, it was assumed that around half of the vehicles sold in the introduction year of each standard would meet the standard’s requirements (i.e. either not from a ‘new’ model line, and therefore initially exempt, or a model already having emissions below the new standard), so only 50</w:t>
      </w:r>
      <w:r w:rsidR="00D56B08" w:rsidRPr="001A48D3">
        <w:t>%</w:t>
      </w:r>
      <w:r w:rsidRPr="001A48D3">
        <w:t xml:space="preserve"> of the new sales would attract an additional cost. Second, it was assumed for all other years that some proportion of new vehicles would have met the lower emission level even without the new standards implementation. For petrol vehicles, the proportion was set to 30</w:t>
      </w:r>
      <w:r w:rsidR="00D56B08" w:rsidRPr="001A48D3">
        <w:t>%</w:t>
      </w:r>
      <w:r w:rsidRPr="001A48D3">
        <w:t xml:space="preserve"> throughout the evaluation period. For diesel vehicles, the proportion was set to 30</w:t>
      </w:r>
      <w:r w:rsidR="00D56B08" w:rsidRPr="001A48D3">
        <w:t>%</w:t>
      </w:r>
      <w:r w:rsidRPr="001A48D3">
        <w:t xml:space="preserve"> when moving from Euro 4 to Euro 5 standards and to 5</w:t>
      </w:r>
      <w:r w:rsidR="00D56B08" w:rsidRPr="001A48D3">
        <w:t>%</w:t>
      </w:r>
      <w:r w:rsidRPr="001A48D3">
        <w:t xml:space="preserve"> from Euro 5 to Euro 6 standards (Figure 4).</w:t>
      </w:r>
    </w:p>
    <w:p w:rsidR="00A01ECA" w:rsidRPr="001A48D3" w:rsidRDefault="00A01ECA" w:rsidP="00C4701A">
      <w:pPr>
        <w:spacing w:after="120"/>
      </w:pPr>
      <w:r w:rsidRPr="001A48D3">
        <w:t>The benefits from the lower emissions of these vehicles were not included in the benefits of introducing the new standards because these benefits accrue regardless.</w:t>
      </w:r>
    </w:p>
    <w:p w:rsidR="00A01ECA" w:rsidRPr="001A48D3" w:rsidRDefault="00A01ECA" w:rsidP="00B52F7D">
      <w:pPr>
        <w:pStyle w:val="Heading3"/>
      </w:pPr>
      <w:bookmarkStart w:id="153" w:name="_Toc430182609"/>
      <w:r w:rsidRPr="001A48D3">
        <w:t>Figure 4</w:t>
      </w:r>
      <w:r w:rsidRPr="001A48D3">
        <w:tab/>
        <w:t>Proportion of new vehicles already complying with</w:t>
      </w:r>
      <w:r w:rsidR="002E5D02">
        <w:t xml:space="preserve"> </w:t>
      </w:r>
      <w:r w:rsidRPr="001A48D3">
        <w:t>the new standards (%)</w:t>
      </w:r>
      <w:bookmarkEnd w:id="153"/>
    </w:p>
    <w:p w:rsidR="00A01ECA" w:rsidRPr="001A48D3" w:rsidRDefault="00836FFF" w:rsidP="00C4701A">
      <w:pPr>
        <w:spacing w:after="120"/>
      </w:pPr>
      <w:r>
        <w:rPr>
          <w:noProof/>
        </w:rPr>
        <w:drawing>
          <wp:inline distT="0" distB="0" distL="0" distR="0" wp14:anchorId="085649EF" wp14:editId="715F1729">
            <wp:extent cx="3457575" cy="2038350"/>
            <wp:effectExtent l="0" t="0" r="9525" b="0"/>
            <wp:docPr id="15" name="Chart 3" descr="The diagram is a technical diagram. If you are unable to view this image, please contact the Department of Infrastructure &amp; Regional Development for a hard copy of this docu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descr="The diagram is a technical diagram. If you are unable to view this image, please contact the Department of Infrastructure &amp; Regional Development for a hard copy of this document."/>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57575" cy="2038350"/>
                    </a:xfrm>
                    <a:prstGeom prst="rect">
                      <a:avLst/>
                    </a:prstGeom>
                    <a:noFill/>
                    <a:ln>
                      <a:noFill/>
                    </a:ln>
                  </pic:spPr>
                </pic:pic>
              </a:graphicData>
            </a:graphic>
          </wp:inline>
        </w:drawing>
      </w:r>
    </w:p>
    <w:p w:rsidR="002E5D02" w:rsidRDefault="00A01ECA" w:rsidP="00B52F7D">
      <w:r w:rsidRPr="001A48D3">
        <w:br w:type="page"/>
      </w:r>
    </w:p>
    <w:p w:rsidR="00A01ECA" w:rsidRPr="001A48D3" w:rsidRDefault="00A01ECA" w:rsidP="00B52F7D">
      <w:pPr>
        <w:pStyle w:val="Heading2"/>
      </w:pPr>
      <w:bookmarkStart w:id="154" w:name="_Toc430182610"/>
      <w:r w:rsidRPr="001A48D3">
        <w:lastRenderedPageBreak/>
        <w:t>Net economic benefits and BCR</w:t>
      </w:r>
      <w:bookmarkEnd w:id="154"/>
    </w:p>
    <w:p w:rsidR="00A01ECA" w:rsidRPr="001A48D3" w:rsidRDefault="00A01ECA" w:rsidP="00C4701A">
      <w:pPr>
        <w:spacing w:after="120"/>
      </w:pPr>
      <w:r w:rsidRPr="001A48D3">
        <w:t xml:space="preserve">Table 8 reports the BCA results for S1 and S1A. Both options are economically viable. </w:t>
      </w:r>
    </w:p>
    <w:p w:rsidR="002E5D02" w:rsidRDefault="00A01ECA" w:rsidP="00B52F7D">
      <w:pPr>
        <w:pStyle w:val="Heading3"/>
      </w:pPr>
      <w:bookmarkStart w:id="155" w:name="_Toc430182611"/>
      <w:r w:rsidRPr="001A48D3">
        <w:t>Table 8</w:t>
      </w:r>
      <w:r w:rsidRPr="001A48D3">
        <w:tab/>
        <w:t>Summary of costs and benefits</w:t>
      </w:r>
      <w:bookmarkEnd w:id="155"/>
    </w:p>
    <w:p w:rsidR="00A01ECA" w:rsidRPr="001A48D3" w:rsidRDefault="00A01ECA" w:rsidP="00B52F7D">
      <w:pPr>
        <w:pStyle w:val="Heading3"/>
      </w:pPr>
      <w:bookmarkStart w:id="156" w:name="_Toc430182612"/>
      <w:r w:rsidRPr="001A48D3">
        <w:t>(S1)</w:t>
      </w:r>
      <w:bookmarkEnd w:id="156"/>
    </w:p>
    <w:tbl>
      <w:tblPr>
        <w:tblW w:w="8863" w:type="dxa"/>
        <w:tblInd w:w="98" w:type="dxa"/>
        <w:tblLook w:val="04A0" w:firstRow="1" w:lastRow="0" w:firstColumn="1" w:lastColumn="0" w:noHBand="0" w:noVBand="1"/>
      </w:tblPr>
      <w:tblGrid>
        <w:gridCol w:w="861"/>
        <w:gridCol w:w="992"/>
        <w:gridCol w:w="992"/>
        <w:gridCol w:w="1276"/>
        <w:gridCol w:w="1198"/>
        <w:gridCol w:w="1276"/>
        <w:gridCol w:w="992"/>
        <w:gridCol w:w="1212"/>
        <w:gridCol w:w="64"/>
      </w:tblGrid>
      <w:tr w:rsidR="00A01ECA" w:rsidRPr="001A48D3" w:rsidTr="001E1827">
        <w:trPr>
          <w:trHeight w:val="288"/>
          <w:tblHeader/>
        </w:trPr>
        <w:tc>
          <w:tcPr>
            <w:tcW w:w="861" w:type="dxa"/>
            <w:vMerge w:val="restart"/>
            <w:tcBorders>
              <w:top w:val="single" w:sz="4" w:space="0" w:color="auto"/>
              <w:left w:val="single" w:sz="4" w:space="0" w:color="auto"/>
              <w:bottom w:val="single" w:sz="4" w:space="0" w:color="auto"/>
              <w:right w:val="single" w:sz="4" w:space="0" w:color="auto"/>
            </w:tcBorders>
            <w:noWrap/>
            <w:vAlign w:val="center"/>
            <w:hideMark/>
          </w:tcPr>
          <w:p w:rsidR="00A01ECA" w:rsidRPr="001A48D3" w:rsidRDefault="00A01ECA" w:rsidP="00C4701A">
            <w:pPr>
              <w:spacing w:after="120"/>
              <w:jc w:val="center"/>
              <w:rPr>
                <w:color w:val="000000"/>
                <w:sz w:val="16"/>
                <w:szCs w:val="16"/>
              </w:rPr>
            </w:pPr>
          </w:p>
        </w:tc>
        <w:tc>
          <w:tcPr>
            <w:tcW w:w="3260" w:type="dxa"/>
            <w:gridSpan w:val="3"/>
            <w:tcBorders>
              <w:top w:val="single" w:sz="4" w:space="0" w:color="auto"/>
              <w:left w:val="single" w:sz="4" w:space="0" w:color="auto"/>
              <w:bottom w:val="single" w:sz="4" w:space="0" w:color="auto"/>
              <w:right w:val="single" w:sz="4" w:space="0" w:color="auto"/>
            </w:tcBorders>
            <w:noWrap/>
            <w:vAlign w:val="center"/>
            <w:hideMark/>
          </w:tcPr>
          <w:p w:rsidR="00A01ECA" w:rsidRPr="001A48D3" w:rsidRDefault="00A01ECA" w:rsidP="00C4701A">
            <w:pPr>
              <w:spacing w:after="120"/>
              <w:jc w:val="center"/>
              <w:rPr>
                <w:b/>
                <w:color w:val="000000"/>
                <w:sz w:val="20"/>
              </w:rPr>
            </w:pPr>
            <w:r w:rsidRPr="001A48D3">
              <w:rPr>
                <w:b/>
                <w:color w:val="000000"/>
                <w:sz w:val="20"/>
              </w:rPr>
              <w:t xml:space="preserve">Undiscounted Cash Flow </w:t>
            </w:r>
          </w:p>
          <w:p w:rsidR="00A01ECA" w:rsidRPr="001A48D3" w:rsidRDefault="00A01ECA" w:rsidP="00C4701A">
            <w:pPr>
              <w:spacing w:after="120"/>
              <w:jc w:val="center"/>
              <w:rPr>
                <w:b/>
                <w:color w:val="000000"/>
                <w:sz w:val="20"/>
              </w:rPr>
            </w:pPr>
            <w:r w:rsidRPr="001A48D3">
              <w:rPr>
                <w:b/>
                <w:color w:val="000000"/>
                <w:sz w:val="20"/>
              </w:rPr>
              <w:t>($m, in 2009 prices)</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A01ECA" w:rsidRPr="001A48D3" w:rsidRDefault="00A01ECA" w:rsidP="00C4701A">
            <w:pPr>
              <w:spacing w:after="120"/>
              <w:jc w:val="center"/>
              <w:rPr>
                <w:b/>
                <w:color w:val="000000"/>
                <w:sz w:val="20"/>
              </w:rPr>
            </w:pPr>
            <w:r w:rsidRPr="001A48D3">
              <w:rPr>
                <w:b/>
                <w:color w:val="000000"/>
                <w:sz w:val="20"/>
              </w:rPr>
              <w:t>Discounting Factor</w:t>
            </w:r>
          </w:p>
        </w:tc>
        <w:tc>
          <w:tcPr>
            <w:tcW w:w="3544" w:type="dxa"/>
            <w:gridSpan w:val="4"/>
            <w:tcBorders>
              <w:top w:val="single" w:sz="4" w:space="0" w:color="auto"/>
              <w:left w:val="single" w:sz="4" w:space="0" w:color="auto"/>
              <w:bottom w:val="single" w:sz="4" w:space="0" w:color="auto"/>
              <w:right w:val="single" w:sz="4" w:space="0" w:color="auto"/>
            </w:tcBorders>
            <w:noWrap/>
            <w:vAlign w:val="center"/>
            <w:hideMark/>
          </w:tcPr>
          <w:p w:rsidR="00A01ECA" w:rsidRPr="001A48D3" w:rsidRDefault="00A01ECA" w:rsidP="00C4701A">
            <w:pPr>
              <w:spacing w:after="120"/>
              <w:jc w:val="center"/>
              <w:rPr>
                <w:b/>
                <w:color w:val="000000"/>
                <w:sz w:val="20"/>
              </w:rPr>
            </w:pPr>
            <w:r w:rsidRPr="001A48D3">
              <w:rPr>
                <w:b/>
                <w:color w:val="000000"/>
                <w:sz w:val="20"/>
              </w:rPr>
              <w:t>Discounted Cash Flow ($m)</w:t>
            </w:r>
          </w:p>
          <w:p w:rsidR="00A01ECA" w:rsidRPr="001A48D3" w:rsidRDefault="00A01ECA" w:rsidP="00C4701A">
            <w:pPr>
              <w:spacing w:after="120"/>
              <w:jc w:val="center"/>
              <w:rPr>
                <w:b/>
                <w:color w:val="000000"/>
                <w:sz w:val="20"/>
              </w:rPr>
            </w:pPr>
            <w:r w:rsidRPr="001A48D3">
              <w:rPr>
                <w:b/>
                <w:color w:val="000000"/>
                <w:sz w:val="20"/>
              </w:rPr>
              <w:t>($m, in 2009 prices)</w:t>
            </w:r>
          </w:p>
        </w:tc>
      </w:tr>
      <w:tr w:rsidR="00A01ECA" w:rsidRPr="001A48D3" w:rsidTr="001E1827">
        <w:trPr>
          <w:trHeight w:val="288"/>
          <w:tblHeader/>
        </w:trPr>
        <w:tc>
          <w:tcPr>
            <w:tcW w:w="861" w:type="dxa"/>
            <w:vMerge/>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Cost</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Benefit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Net benefit</w:t>
            </w:r>
          </w:p>
        </w:tc>
        <w:tc>
          <w:tcPr>
            <w:tcW w:w="1198"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Cost</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Benefit</w:t>
            </w:r>
          </w:p>
        </w:tc>
        <w:tc>
          <w:tcPr>
            <w:tcW w:w="1276" w:type="dxa"/>
            <w:gridSpan w:val="2"/>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Net benefit</w:t>
            </w:r>
          </w:p>
        </w:tc>
      </w:tr>
      <w:tr w:rsidR="00D17589" w:rsidRPr="001A48D3" w:rsidTr="005147C5">
        <w:trPr>
          <w:trHeight w:val="288"/>
        </w:trPr>
        <w:tc>
          <w:tcPr>
            <w:tcW w:w="861" w:type="dxa"/>
            <w:tcBorders>
              <w:top w:val="single" w:sz="4" w:space="0" w:color="auto"/>
              <w:left w:val="single" w:sz="4" w:space="0" w:color="auto"/>
              <w:bottom w:val="nil"/>
              <w:right w:val="single" w:sz="4" w:space="0" w:color="auto"/>
            </w:tcBorders>
            <w:noWrap/>
            <w:vAlign w:val="center"/>
            <w:hideMark/>
          </w:tcPr>
          <w:p w:rsidR="00D17589" w:rsidRPr="001A48D3" w:rsidRDefault="00D17589" w:rsidP="00C4701A">
            <w:pPr>
              <w:spacing w:before="120" w:after="120"/>
              <w:jc w:val="center"/>
              <w:rPr>
                <w:color w:val="000000"/>
                <w:sz w:val="16"/>
                <w:szCs w:val="16"/>
              </w:rPr>
            </w:pPr>
            <w:r w:rsidRPr="001A48D3">
              <w:rPr>
                <w:color w:val="000000"/>
                <w:sz w:val="16"/>
                <w:szCs w:val="16"/>
              </w:rPr>
              <w:t>2009</w:t>
            </w:r>
          </w:p>
        </w:tc>
        <w:tc>
          <w:tcPr>
            <w:tcW w:w="992" w:type="dxa"/>
            <w:tcBorders>
              <w:top w:val="single" w:sz="4" w:space="0" w:color="auto"/>
              <w:left w:val="nil"/>
              <w:bottom w:val="nil"/>
              <w:right w:val="single" w:sz="4" w:space="0" w:color="auto"/>
            </w:tcBorders>
            <w:noWrap/>
            <w:vAlign w:val="bottom"/>
            <w:hideMark/>
          </w:tcPr>
          <w:p w:rsidR="00D17589" w:rsidRPr="001A48D3" w:rsidRDefault="00D17589" w:rsidP="00C4701A">
            <w:pPr>
              <w:spacing w:before="120" w:after="120"/>
              <w:jc w:val="center"/>
              <w:rPr>
                <w:color w:val="000000"/>
                <w:sz w:val="16"/>
                <w:szCs w:val="16"/>
              </w:rPr>
            </w:pPr>
            <w:r w:rsidRPr="001A48D3">
              <w:rPr>
                <w:color w:val="000000"/>
                <w:sz w:val="16"/>
                <w:szCs w:val="16"/>
              </w:rPr>
              <w:t xml:space="preserve">0.0 </w:t>
            </w:r>
          </w:p>
        </w:tc>
        <w:tc>
          <w:tcPr>
            <w:tcW w:w="992" w:type="dxa"/>
            <w:tcBorders>
              <w:top w:val="single" w:sz="4" w:space="0" w:color="auto"/>
              <w:left w:val="nil"/>
              <w:bottom w:val="nil"/>
              <w:right w:val="single" w:sz="4" w:space="0" w:color="auto"/>
            </w:tcBorders>
            <w:noWrap/>
            <w:vAlign w:val="bottom"/>
            <w:hideMark/>
          </w:tcPr>
          <w:p w:rsidR="00D17589" w:rsidRPr="001A48D3" w:rsidRDefault="00D17589" w:rsidP="00C4701A">
            <w:pPr>
              <w:spacing w:before="120" w:after="120"/>
              <w:jc w:val="center"/>
              <w:rPr>
                <w:color w:val="000000"/>
                <w:sz w:val="16"/>
                <w:szCs w:val="16"/>
              </w:rPr>
            </w:pPr>
            <w:r w:rsidRPr="001A48D3">
              <w:rPr>
                <w:color w:val="000000"/>
                <w:sz w:val="16"/>
                <w:szCs w:val="16"/>
              </w:rPr>
              <w:t xml:space="preserve">0.0 </w:t>
            </w:r>
          </w:p>
        </w:tc>
        <w:tc>
          <w:tcPr>
            <w:tcW w:w="1276" w:type="dxa"/>
            <w:tcBorders>
              <w:top w:val="single" w:sz="4" w:space="0" w:color="auto"/>
              <w:left w:val="nil"/>
              <w:bottom w:val="nil"/>
              <w:right w:val="single" w:sz="4" w:space="0" w:color="auto"/>
            </w:tcBorders>
            <w:noWrap/>
            <w:vAlign w:val="bottom"/>
            <w:hideMark/>
          </w:tcPr>
          <w:p w:rsidR="00D17589" w:rsidRPr="001A48D3" w:rsidRDefault="00D17589" w:rsidP="00C4701A">
            <w:pPr>
              <w:spacing w:before="120" w:after="120"/>
              <w:jc w:val="center"/>
              <w:rPr>
                <w:color w:val="000000"/>
                <w:sz w:val="16"/>
                <w:szCs w:val="16"/>
              </w:rPr>
            </w:pPr>
            <w:r w:rsidRPr="001A48D3">
              <w:rPr>
                <w:color w:val="000000"/>
                <w:sz w:val="16"/>
                <w:szCs w:val="16"/>
              </w:rPr>
              <w:t xml:space="preserve">0.0 </w:t>
            </w:r>
          </w:p>
        </w:tc>
        <w:tc>
          <w:tcPr>
            <w:tcW w:w="1198" w:type="dxa"/>
            <w:tcBorders>
              <w:top w:val="single" w:sz="4" w:space="0" w:color="auto"/>
              <w:left w:val="nil"/>
              <w:bottom w:val="nil"/>
              <w:right w:val="single" w:sz="4" w:space="0" w:color="auto"/>
            </w:tcBorders>
            <w:noWrap/>
            <w:vAlign w:val="center"/>
            <w:hideMark/>
          </w:tcPr>
          <w:p w:rsidR="00D17589" w:rsidRPr="001A48D3" w:rsidRDefault="00D17589" w:rsidP="00C4701A">
            <w:pPr>
              <w:spacing w:before="120" w:after="120"/>
              <w:jc w:val="center"/>
              <w:rPr>
                <w:color w:val="000000"/>
                <w:sz w:val="16"/>
                <w:szCs w:val="16"/>
              </w:rPr>
            </w:pPr>
            <w:r w:rsidRPr="001A48D3">
              <w:rPr>
                <w:color w:val="000000"/>
                <w:sz w:val="16"/>
                <w:szCs w:val="16"/>
              </w:rPr>
              <w:t>1.0000</w:t>
            </w:r>
          </w:p>
        </w:tc>
        <w:tc>
          <w:tcPr>
            <w:tcW w:w="1276" w:type="dxa"/>
            <w:tcBorders>
              <w:top w:val="single" w:sz="4" w:space="0" w:color="auto"/>
              <w:left w:val="nil"/>
              <w:bottom w:val="nil"/>
              <w:right w:val="single" w:sz="4" w:space="0" w:color="auto"/>
            </w:tcBorders>
            <w:noWrap/>
            <w:vAlign w:val="bottom"/>
            <w:hideMark/>
          </w:tcPr>
          <w:p w:rsidR="00D17589" w:rsidRPr="001A48D3" w:rsidRDefault="00D17589" w:rsidP="00C4701A">
            <w:pPr>
              <w:spacing w:before="120" w:after="120"/>
              <w:jc w:val="center"/>
              <w:rPr>
                <w:color w:val="000000"/>
                <w:sz w:val="16"/>
                <w:szCs w:val="16"/>
              </w:rPr>
            </w:pPr>
            <w:r w:rsidRPr="001A48D3">
              <w:rPr>
                <w:color w:val="000000"/>
                <w:sz w:val="16"/>
                <w:szCs w:val="16"/>
              </w:rPr>
              <w:t xml:space="preserve">0.0 </w:t>
            </w:r>
          </w:p>
        </w:tc>
        <w:tc>
          <w:tcPr>
            <w:tcW w:w="992" w:type="dxa"/>
            <w:tcBorders>
              <w:top w:val="single" w:sz="4" w:space="0" w:color="auto"/>
              <w:left w:val="nil"/>
              <w:bottom w:val="nil"/>
              <w:right w:val="single" w:sz="4" w:space="0" w:color="auto"/>
            </w:tcBorders>
            <w:noWrap/>
            <w:vAlign w:val="bottom"/>
            <w:hideMark/>
          </w:tcPr>
          <w:p w:rsidR="00D17589" w:rsidRPr="001A48D3" w:rsidRDefault="00D17589" w:rsidP="00C4701A">
            <w:pPr>
              <w:spacing w:before="120" w:after="120"/>
              <w:jc w:val="center"/>
              <w:rPr>
                <w:color w:val="000000"/>
                <w:sz w:val="16"/>
                <w:szCs w:val="16"/>
              </w:rPr>
            </w:pPr>
            <w:r w:rsidRPr="001A48D3">
              <w:rPr>
                <w:color w:val="000000"/>
                <w:sz w:val="16"/>
                <w:szCs w:val="16"/>
              </w:rPr>
              <w:t xml:space="preserve">0.0 </w:t>
            </w:r>
          </w:p>
        </w:tc>
        <w:tc>
          <w:tcPr>
            <w:tcW w:w="1276" w:type="dxa"/>
            <w:gridSpan w:val="2"/>
            <w:tcBorders>
              <w:top w:val="single" w:sz="4" w:space="0" w:color="auto"/>
              <w:left w:val="nil"/>
              <w:bottom w:val="nil"/>
              <w:right w:val="single" w:sz="4" w:space="0" w:color="auto"/>
            </w:tcBorders>
            <w:noWrap/>
            <w:vAlign w:val="bottom"/>
            <w:hideMark/>
          </w:tcPr>
          <w:p w:rsidR="00D17589" w:rsidRPr="001A48D3" w:rsidRDefault="00D17589" w:rsidP="00C4701A">
            <w:pPr>
              <w:spacing w:before="120" w:after="120"/>
              <w:jc w:val="center"/>
              <w:rPr>
                <w:color w:val="000000"/>
                <w:sz w:val="16"/>
                <w:szCs w:val="16"/>
              </w:rPr>
            </w:pPr>
            <w:r w:rsidRPr="001A48D3">
              <w:rPr>
                <w:color w:val="000000"/>
                <w:sz w:val="16"/>
                <w:szCs w:val="16"/>
              </w:rPr>
              <w:t xml:space="preserve">0.0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2010</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0.0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0.0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0.0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0.9346</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0.0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0.0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0.0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2011</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0.0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0.0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0.0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0.8734</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0.0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0.0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0.0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2012</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-79.1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12.7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-66.4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0.8163</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-64.6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10.4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-54.2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2013</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-162.7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38.5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-124.2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0.7629</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-124.1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29.3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-94.8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2014</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-162.2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66.2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-96.0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0.7130</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-115.6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47.2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-68.4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2015</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-160.9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95.4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-65.5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0.6663</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-107.2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63.6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-43.6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2016</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-166.1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127.3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-38.8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0.6227</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-103.4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79.3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-24.2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2017</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-287.8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162.0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-125.9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0.5820</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-167.5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94.3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-73.3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2018</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-282.5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198.9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-83.5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0.5439</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-153.6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108.2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-45.4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2019</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-274.7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238.2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-36.5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0.5083</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-139.6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121.1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-18.5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2020</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-261.0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278.7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17.7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0.4751</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-124.0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132.4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8.4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2021</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-240.2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320.1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79.9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0.4440</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-106.7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142.1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35.5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2022</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-214.5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360.1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145.6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0.4150</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-89.0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149.4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60.4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2023</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-188.1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399.7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211.5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0.3878</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-73.0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155.0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82.0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2024</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-161.3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442.6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281.3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0.3624</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-58.5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160.4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101.9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2025</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-134.0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485.7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351.7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0.3387</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-45.4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164.5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119.1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2026</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-106.2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528.5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422.3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0.3166</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-33.6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167.3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133.7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2027</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-78.5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569.5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491.1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0.2959</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-23.2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168.5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145.3 </w:t>
            </w:r>
          </w:p>
        </w:tc>
      </w:tr>
      <w:tr w:rsidR="00D17589" w:rsidRPr="001A48D3" w:rsidTr="005147C5">
        <w:trPr>
          <w:trHeight w:val="288"/>
        </w:trPr>
        <w:tc>
          <w:tcPr>
            <w:tcW w:w="861" w:type="dxa"/>
            <w:tcBorders>
              <w:top w:val="nil"/>
              <w:left w:val="single" w:sz="4" w:space="0" w:color="auto"/>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2028</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-51.2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609.1 </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557.9 </w:t>
            </w:r>
          </w:p>
        </w:tc>
        <w:tc>
          <w:tcPr>
            <w:tcW w:w="1198" w:type="dxa"/>
            <w:tcBorders>
              <w:top w:val="nil"/>
              <w:left w:val="nil"/>
              <w:bottom w:val="nil"/>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0.2765</w:t>
            </w:r>
          </w:p>
        </w:tc>
        <w:tc>
          <w:tcPr>
            <w:tcW w:w="1276"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-14.2 </w:t>
            </w:r>
          </w:p>
        </w:tc>
        <w:tc>
          <w:tcPr>
            <w:tcW w:w="992" w:type="dxa"/>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168.4 </w:t>
            </w:r>
          </w:p>
        </w:tc>
        <w:tc>
          <w:tcPr>
            <w:tcW w:w="1276" w:type="dxa"/>
            <w:gridSpan w:val="2"/>
            <w:tcBorders>
              <w:top w:val="nil"/>
              <w:left w:val="nil"/>
              <w:bottom w:val="nil"/>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154.3 </w:t>
            </w:r>
          </w:p>
        </w:tc>
      </w:tr>
      <w:tr w:rsidR="00D17589" w:rsidRPr="001A48D3" w:rsidTr="005147C5">
        <w:trPr>
          <w:trHeight w:val="288"/>
        </w:trPr>
        <w:tc>
          <w:tcPr>
            <w:tcW w:w="861" w:type="dxa"/>
            <w:tcBorders>
              <w:top w:val="nil"/>
              <w:left w:val="single" w:sz="4" w:space="0" w:color="auto"/>
              <w:bottom w:val="single" w:sz="4" w:space="0" w:color="auto"/>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2029</w:t>
            </w:r>
          </w:p>
        </w:tc>
        <w:tc>
          <w:tcPr>
            <w:tcW w:w="992" w:type="dxa"/>
            <w:tcBorders>
              <w:top w:val="nil"/>
              <w:left w:val="nil"/>
              <w:bottom w:val="single" w:sz="4" w:space="0" w:color="auto"/>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-24.9 </w:t>
            </w:r>
          </w:p>
        </w:tc>
        <w:tc>
          <w:tcPr>
            <w:tcW w:w="992" w:type="dxa"/>
            <w:tcBorders>
              <w:top w:val="nil"/>
              <w:left w:val="nil"/>
              <w:bottom w:val="single" w:sz="4" w:space="0" w:color="auto"/>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647.2 </w:t>
            </w:r>
          </w:p>
        </w:tc>
        <w:tc>
          <w:tcPr>
            <w:tcW w:w="1276" w:type="dxa"/>
            <w:tcBorders>
              <w:top w:val="nil"/>
              <w:left w:val="nil"/>
              <w:bottom w:val="single" w:sz="4" w:space="0" w:color="auto"/>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622.3 </w:t>
            </w:r>
          </w:p>
        </w:tc>
        <w:tc>
          <w:tcPr>
            <w:tcW w:w="1198" w:type="dxa"/>
            <w:tcBorders>
              <w:top w:val="nil"/>
              <w:left w:val="nil"/>
              <w:bottom w:val="single" w:sz="4" w:space="0" w:color="auto"/>
              <w:right w:val="single" w:sz="4" w:space="0" w:color="auto"/>
            </w:tcBorders>
            <w:noWrap/>
            <w:vAlign w:val="center"/>
            <w:hideMark/>
          </w:tcPr>
          <w:p w:rsidR="00D17589" w:rsidRPr="001A48D3" w:rsidRDefault="00D17589" w:rsidP="00C4701A">
            <w:pPr>
              <w:spacing w:after="120"/>
              <w:jc w:val="center"/>
              <w:rPr>
                <w:color w:val="000000"/>
                <w:sz w:val="16"/>
                <w:szCs w:val="16"/>
              </w:rPr>
            </w:pPr>
            <w:r w:rsidRPr="001A48D3">
              <w:rPr>
                <w:color w:val="000000"/>
                <w:sz w:val="16"/>
                <w:szCs w:val="16"/>
              </w:rPr>
              <w:t>0.2584</w:t>
            </w:r>
          </w:p>
        </w:tc>
        <w:tc>
          <w:tcPr>
            <w:tcW w:w="1276" w:type="dxa"/>
            <w:tcBorders>
              <w:top w:val="nil"/>
              <w:left w:val="nil"/>
              <w:bottom w:val="single" w:sz="4" w:space="0" w:color="auto"/>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-6.4 </w:t>
            </w:r>
          </w:p>
        </w:tc>
        <w:tc>
          <w:tcPr>
            <w:tcW w:w="992" w:type="dxa"/>
            <w:tcBorders>
              <w:top w:val="nil"/>
              <w:left w:val="nil"/>
              <w:bottom w:val="single" w:sz="4" w:space="0" w:color="auto"/>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167.3 </w:t>
            </w:r>
          </w:p>
        </w:tc>
        <w:tc>
          <w:tcPr>
            <w:tcW w:w="1276" w:type="dxa"/>
            <w:gridSpan w:val="2"/>
            <w:tcBorders>
              <w:top w:val="nil"/>
              <w:left w:val="nil"/>
              <w:bottom w:val="single" w:sz="4" w:space="0" w:color="auto"/>
              <w:right w:val="single" w:sz="4" w:space="0" w:color="auto"/>
            </w:tcBorders>
            <w:noWrap/>
            <w:vAlign w:val="bottom"/>
            <w:hideMark/>
          </w:tcPr>
          <w:p w:rsidR="00D17589" w:rsidRPr="001A48D3" w:rsidRDefault="00D17589" w:rsidP="00C4701A">
            <w:pPr>
              <w:spacing w:after="120"/>
              <w:jc w:val="center"/>
              <w:rPr>
                <w:color w:val="000000"/>
                <w:sz w:val="16"/>
                <w:szCs w:val="16"/>
              </w:rPr>
            </w:pPr>
            <w:r w:rsidRPr="001A48D3">
              <w:rPr>
                <w:color w:val="000000"/>
                <w:sz w:val="16"/>
                <w:szCs w:val="16"/>
              </w:rPr>
              <w:t xml:space="preserve">160.8 </w:t>
            </w:r>
          </w:p>
        </w:tc>
      </w:tr>
      <w:tr w:rsidR="00A01ECA" w:rsidRPr="001A48D3" w:rsidTr="005147C5">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A01ECA" w:rsidRPr="001A48D3" w:rsidRDefault="00A01ECA" w:rsidP="00C4701A">
            <w:pPr>
              <w:spacing w:after="120"/>
              <w:jc w:val="center"/>
              <w:rPr>
                <w:b/>
                <w:bCs/>
                <w:color w:val="000000"/>
                <w:sz w:val="18"/>
                <w:szCs w:val="18"/>
              </w:rPr>
            </w:pPr>
            <w:r w:rsidRPr="001A48D3">
              <w:rPr>
                <w:b/>
                <w:bCs/>
                <w:color w:val="000000"/>
                <w:sz w:val="18"/>
                <w:szCs w:val="18"/>
              </w:rPr>
              <w:t>Total</w:t>
            </w:r>
          </w:p>
        </w:tc>
        <w:tc>
          <w:tcPr>
            <w:tcW w:w="992"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A01ECA" w:rsidP="00C4701A">
            <w:pPr>
              <w:autoSpaceDE w:val="0"/>
              <w:autoSpaceDN w:val="0"/>
              <w:adjustRightInd w:val="0"/>
              <w:spacing w:after="120"/>
              <w:jc w:val="center"/>
              <w:rPr>
                <w:rFonts w:cs="Calibri"/>
                <w:b/>
                <w:bCs/>
                <w:color w:val="000000"/>
                <w:sz w:val="18"/>
                <w:szCs w:val="18"/>
              </w:rPr>
            </w:pPr>
            <w:r w:rsidRPr="001A48D3">
              <w:rPr>
                <w:rFonts w:cs="Calibri"/>
                <w:b/>
                <w:bCs/>
                <w:color w:val="000000"/>
                <w:sz w:val="18"/>
                <w:szCs w:val="18"/>
              </w:rPr>
              <w:t>-</w:t>
            </w:r>
            <w:r w:rsidR="009732A7" w:rsidRPr="001A48D3">
              <w:rPr>
                <w:rFonts w:cs="Calibri"/>
                <w:b/>
                <w:bCs/>
                <w:color w:val="000000"/>
                <w:sz w:val="18"/>
                <w:szCs w:val="18"/>
              </w:rPr>
              <w:t>3,035.9</w:t>
            </w:r>
          </w:p>
        </w:tc>
        <w:tc>
          <w:tcPr>
            <w:tcW w:w="992"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9732A7" w:rsidP="00C4701A">
            <w:pPr>
              <w:spacing w:after="120"/>
              <w:jc w:val="center"/>
              <w:rPr>
                <w:b/>
                <w:bCs/>
                <w:color w:val="000000"/>
                <w:sz w:val="18"/>
                <w:szCs w:val="18"/>
              </w:rPr>
            </w:pPr>
            <w:r w:rsidRPr="001A48D3">
              <w:rPr>
                <w:b/>
                <w:bCs/>
                <w:color w:val="000000"/>
                <w:sz w:val="18"/>
                <w:szCs w:val="18"/>
              </w:rPr>
              <w:t>5,580.3</w:t>
            </w:r>
          </w:p>
        </w:tc>
        <w:tc>
          <w:tcPr>
            <w:tcW w:w="1276"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9732A7" w:rsidP="00C4701A">
            <w:pPr>
              <w:autoSpaceDE w:val="0"/>
              <w:autoSpaceDN w:val="0"/>
              <w:adjustRightInd w:val="0"/>
              <w:spacing w:after="120"/>
              <w:jc w:val="center"/>
              <w:rPr>
                <w:rFonts w:cs="Calibri"/>
                <w:b/>
                <w:bCs/>
                <w:color w:val="000000"/>
                <w:sz w:val="18"/>
                <w:szCs w:val="18"/>
              </w:rPr>
            </w:pPr>
            <w:r w:rsidRPr="001A48D3">
              <w:rPr>
                <w:rFonts w:cs="Calibri"/>
                <w:b/>
                <w:bCs/>
                <w:color w:val="000000"/>
                <w:sz w:val="18"/>
                <w:szCs w:val="18"/>
              </w:rPr>
              <w:t>2,544.</w:t>
            </w:r>
            <w:r w:rsidR="00150E89" w:rsidRPr="001A48D3">
              <w:rPr>
                <w:rFonts w:cs="Calibri"/>
                <w:b/>
                <w:bCs/>
                <w:color w:val="000000"/>
                <w:sz w:val="18"/>
                <w:szCs w:val="18"/>
              </w:rPr>
              <w:t>4</w:t>
            </w:r>
          </w:p>
        </w:tc>
        <w:tc>
          <w:tcPr>
            <w:tcW w:w="1198"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A01ECA" w:rsidP="00C4701A">
            <w:pPr>
              <w:spacing w:after="120"/>
              <w:jc w:val="center"/>
              <w:rPr>
                <w:b/>
                <w:bCs/>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A01ECA" w:rsidP="00C4701A">
            <w:pPr>
              <w:autoSpaceDE w:val="0"/>
              <w:autoSpaceDN w:val="0"/>
              <w:adjustRightInd w:val="0"/>
              <w:spacing w:after="120"/>
              <w:jc w:val="center"/>
              <w:rPr>
                <w:rFonts w:cs="Calibri"/>
                <w:b/>
                <w:bCs/>
                <w:color w:val="000000"/>
                <w:sz w:val="18"/>
                <w:szCs w:val="18"/>
              </w:rPr>
            </w:pPr>
            <w:r w:rsidRPr="001A48D3">
              <w:rPr>
                <w:rFonts w:cs="Calibri"/>
                <w:b/>
                <w:bCs/>
                <w:color w:val="000000"/>
                <w:sz w:val="18"/>
                <w:szCs w:val="18"/>
              </w:rPr>
              <w:t>-</w:t>
            </w:r>
            <w:r w:rsidR="009732A7" w:rsidRPr="001A48D3">
              <w:rPr>
                <w:rFonts w:cs="Calibri"/>
                <w:b/>
                <w:bCs/>
                <w:color w:val="000000"/>
                <w:sz w:val="18"/>
                <w:szCs w:val="18"/>
              </w:rPr>
              <w:t>1,549.7</w:t>
            </w:r>
          </w:p>
        </w:tc>
        <w:tc>
          <w:tcPr>
            <w:tcW w:w="992"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9732A7" w:rsidP="00C4701A">
            <w:pPr>
              <w:autoSpaceDE w:val="0"/>
              <w:autoSpaceDN w:val="0"/>
              <w:adjustRightInd w:val="0"/>
              <w:spacing w:after="120"/>
              <w:jc w:val="center"/>
              <w:rPr>
                <w:rFonts w:cs="Calibri"/>
                <w:b/>
                <w:bCs/>
                <w:color w:val="000000"/>
                <w:sz w:val="18"/>
                <w:szCs w:val="18"/>
              </w:rPr>
            </w:pPr>
            <w:r w:rsidRPr="001A48D3">
              <w:rPr>
                <w:rFonts w:cs="Calibri"/>
                <w:b/>
                <w:bCs/>
                <w:color w:val="000000"/>
                <w:sz w:val="18"/>
                <w:szCs w:val="18"/>
              </w:rPr>
              <w:t>2,128.7</w:t>
            </w:r>
          </w:p>
        </w:tc>
        <w:tc>
          <w:tcPr>
            <w:tcW w:w="1276" w:type="dxa"/>
            <w:gridSpan w:val="2"/>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9732A7" w:rsidP="00C4701A">
            <w:pPr>
              <w:autoSpaceDE w:val="0"/>
              <w:autoSpaceDN w:val="0"/>
              <w:adjustRightInd w:val="0"/>
              <w:spacing w:after="120"/>
              <w:jc w:val="center"/>
              <w:rPr>
                <w:rFonts w:cs="Calibri"/>
                <w:b/>
                <w:bCs/>
                <w:color w:val="000000"/>
                <w:sz w:val="18"/>
                <w:szCs w:val="18"/>
              </w:rPr>
            </w:pPr>
            <w:r w:rsidRPr="001A48D3">
              <w:rPr>
                <w:rFonts w:cs="Calibri"/>
                <w:b/>
                <w:bCs/>
                <w:color w:val="000000"/>
                <w:sz w:val="18"/>
                <w:szCs w:val="18"/>
              </w:rPr>
              <w:t>579.0</w:t>
            </w:r>
          </w:p>
        </w:tc>
      </w:tr>
      <w:tr w:rsidR="00B035B4" w:rsidRPr="001A48D3" w:rsidTr="0085738D">
        <w:trPr>
          <w:gridAfter w:val="1"/>
          <w:wAfter w:w="64" w:type="dxa"/>
          <w:trHeight w:val="324"/>
        </w:trPr>
        <w:tc>
          <w:tcPr>
            <w:tcW w:w="4121" w:type="dxa"/>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B035B4" w:rsidRPr="001A48D3" w:rsidRDefault="00B035B4" w:rsidP="00C4701A">
            <w:pPr>
              <w:spacing w:after="120"/>
              <w:rPr>
                <w:b/>
                <w:bCs/>
                <w:color w:val="000000"/>
                <w:szCs w:val="24"/>
              </w:rPr>
            </w:pPr>
            <w:r w:rsidRPr="001A48D3">
              <w:rPr>
                <w:b/>
                <w:bCs/>
                <w:color w:val="000000"/>
                <w:szCs w:val="24"/>
              </w:rPr>
              <w:t>Benefit–cost Ratio = 1.37</w:t>
            </w:r>
          </w:p>
        </w:tc>
        <w:tc>
          <w:tcPr>
            <w:tcW w:w="4678" w:type="dxa"/>
            <w:gridSpan w:val="4"/>
            <w:tcBorders>
              <w:top w:val="single" w:sz="4" w:space="0" w:color="auto"/>
              <w:left w:val="single" w:sz="4" w:space="0" w:color="auto"/>
              <w:bottom w:val="single" w:sz="4" w:space="0" w:color="auto"/>
              <w:right w:val="single" w:sz="4" w:space="0" w:color="auto"/>
            </w:tcBorders>
            <w:shd w:val="clear" w:color="auto" w:fill="FDE9D9"/>
            <w:vAlign w:val="bottom"/>
          </w:tcPr>
          <w:p w:rsidR="00B035B4" w:rsidRPr="001A48D3" w:rsidRDefault="00B035B4" w:rsidP="00C4701A">
            <w:pPr>
              <w:spacing w:after="120"/>
              <w:rPr>
                <w:b/>
                <w:bCs/>
                <w:color w:val="000000"/>
                <w:szCs w:val="24"/>
              </w:rPr>
            </w:pPr>
            <w:r w:rsidRPr="001A48D3">
              <w:rPr>
                <w:b/>
                <w:bCs/>
                <w:color w:val="000000"/>
                <w:szCs w:val="24"/>
              </w:rPr>
              <w:t>NPV = 579.0</w:t>
            </w:r>
          </w:p>
        </w:tc>
      </w:tr>
    </w:tbl>
    <w:p w:rsidR="002E5D02" w:rsidRDefault="00A01ECA" w:rsidP="00B52F7D">
      <w:r w:rsidRPr="001A48D3">
        <w:br w:type="page"/>
      </w:r>
    </w:p>
    <w:p w:rsidR="00A01ECA" w:rsidRPr="001A48D3" w:rsidRDefault="00A01ECA" w:rsidP="00B52F7D">
      <w:pPr>
        <w:pStyle w:val="Heading3"/>
      </w:pPr>
      <w:bookmarkStart w:id="157" w:name="_Toc430182613"/>
      <w:r w:rsidRPr="001A48D3">
        <w:lastRenderedPageBreak/>
        <w:t>(S1A)</w:t>
      </w:r>
      <w:bookmarkEnd w:id="157"/>
    </w:p>
    <w:tbl>
      <w:tblPr>
        <w:tblW w:w="8515" w:type="dxa"/>
        <w:tblInd w:w="98" w:type="dxa"/>
        <w:tblLook w:val="04A0" w:firstRow="1" w:lastRow="0" w:firstColumn="1" w:lastColumn="0" w:noHBand="0" w:noVBand="1"/>
      </w:tblPr>
      <w:tblGrid>
        <w:gridCol w:w="861"/>
        <w:gridCol w:w="992"/>
        <w:gridCol w:w="992"/>
        <w:gridCol w:w="1276"/>
        <w:gridCol w:w="1198"/>
        <w:gridCol w:w="928"/>
        <w:gridCol w:w="993"/>
        <w:gridCol w:w="1275"/>
      </w:tblGrid>
      <w:tr w:rsidR="00A01ECA" w:rsidRPr="001A48D3" w:rsidTr="003370D7">
        <w:trPr>
          <w:trHeight w:val="288"/>
        </w:trPr>
        <w:tc>
          <w:tcPr>
            <w:tcW w:w="861" w:type="dxa"/>
            <w:vMerge w:val="restart"/>
            <w:tcBorders>
              <w:top w:val="single" w:sz="4" w:space="0" w:color="auto"/>
              <w:left w:val="single" w:sz="4" w:space="0" w:color="auto"/>
              <w:bottom w:val="single" w:sz="4" w:space="0" w:color="auto"/>
              <w:right w:val="single" w:sz="4" w:space="0" w:color="auto"/>
            </w:tcBorders>
            <w:noWrap/>
            <w:vAlign w:val="center"/>
            <w:hideMark/>
          </w:tcPr>
          <w:p w:rsidR="00A01ECA" w:rsidRPr="001A48D3" w:rsidRDefault="00A01ECA" w:rsidP="00C4701A">
            <w:pPr>
              <w:spacing w:after="120"/>
              <w:jc w:val="center"/>
              <w:rPr>
                <w:color w:val="000000"/>
                <w:sz w:val="16"/>
                <w:szCs w:val="16"/>
              </w:rPr>
            </w:pPr>
          </w:p>
        </w:tc>
        <w:tc>
          <w:tcPr>
            <w:tcW w:w="3260" w:type="dxa"/>
            <w:gridSpan w:val="3"/>
            <w:tcBorders>
              <w:top w:val="single" w:sz="4" w:space="0" w:color="auto"/>
              <w:left w:val="single" w:sz="4" w:space="0" w:color="auto"/>
              <w:bottom w:val="single" w:sz="4" w:space="0" w:color="auto"/>
              <w:right w:val="single" w:sz="4" w:space="0" w:color="auto"/>
            </w:tcBorders>
            <w:noWrap/>
            <w:vAlign w:val="center"/>
            <w:hideMark/>
          </w:tcPr>
          <w:p w:rsidR="00A01ECA" w:rsidRPr="001A48D3" w:rsidRDefault="00A01ECA" w:rsidP="00C4701A">
            <w:pPr>
              <w:spacing w:after="120"/>
              <w:jc w:val="center"/>
              <w:rPr>
                <w:b/>
                <w:color w:val="000000"/>
                <w:sz w:val="20"/>
              </w:rPr>
            </w:pPr>
            <w:r w:rsidRPr="001A48D3">
              <w:rPr>
                <w:b/>
                <w:color w:val="000000"/>
                <w:sz w:val="20"/>
              </w:rPr>
              <w:t xml:space="preserve">Undiscounted Cash Flow </w:t>
            </w:r>
          </w:p>
          <w:p w:rsidR="00A01ECA" w:rsidRPr="001A48D3" w:rsidRDefault="00A01ECA" w:rsidP="00C4701A">
            <w:pPr>
              <w:spacing w:after="120"/>
              <w:jc w:val="center"/>
              <w:rPr>
                <w:b/>
                <w:color w:val="000000"/>
                <w:sz w:val="20"/>
              </w:rPr>
            </w:pPr>
            <w:r w:rsidRPr="001A48D3">
              <w:rPr>
                <w:b/>
                <w:color w:val="000000"/>
                <w:sz w:val="20"/>
              </w:rPr>
              <w:t>($m, in 2009 prices)</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A01ECA" w:rsidRPr="001A48D3" w:rsidRDefault="00A01ECA" w:rsidP="00C4701A">
            <w:pPr>
              <w:spacing w:after="120"/>
              <w:jc w:val="center"/>
              <w:rPr>
                <w:b/>
                <w:color w:val="000000"/>
                <w:sz w:val="20"/>
              </w:rPr>
            </w:pPr>
            <w:r w:rsidRPr="001A48D3">
              <w:rPr>
                <w:b/>
                <w:color w:val="000000"/>
                <w:sz w:val="20"/>
              </w:rPr>
              <w:t>Discounting Factor</w:t>
            </w:r>
          </w:p>
        </w:tc>
        <w:tc>
          <w:tcPr>
            <w:tcW w:w="3196" w:type="dxa"/>
            <w:gridSpan w:val="3"/>
            <w:tcBorders>
              <w:top w:val="single" w:sz="4" w:space="0" w:color="auto"/>
              <w:left w:val="single" w:sz="4" w:space="0" w:color="auto"/>
              <w:bottom w:val="single" w:sz="4" w:space="0" w:color="auto"/>
              <w:right w:val="single" w:sz="4" w:space="0" w:color="auto"/>
            </w:tcBorders>
            <w:noWrap/>
            <w:vAlign w:val="center"/>
            <w:hideMark/>
          </w:tcPr>
          <w:p w:rsidR="00A01ECA" w:rsidRPr="001A48D3" w:rsidRDefault="00A01ECA" w:rsidP="00C4701A">
            <w:pPr>
              <w:spacing w:after="120"/>
              <w:jc w:val="center"/>
              <w:rPr>
                <w:b/>
                <w:color w:val="000000"/>
                <w:sz w:val="20"/>
              </w:rPr>
            </w:pPr>
            <w:r w:rsidRPr="001A48D3">
              <w:rPr>
                <w:b/>
                <w:color w:val="000000"/>
                <w:sz w:val="20"/>
              </w:rPr>
              <w:t>Discounted Cash Flow ($m)</w:t>
            </w:r>
          </w:p>
          <w:p w:rsidR="00A01ECA" w:rsidRPr="001A48D3" w:rsidRDefault="00A01ECA" w:rsidP="00C4701A">
            <w:pPr>
              <w:spacing w:after="120"/>
              <w:jc w:val="center"/>
              <w:rPr>
                <w:b/>
                <w:color w:val="000000"/>
                <w:sz w:val="20"/>
              </w:rPr>
            </w:pPr>
            <w:r w:rsidRPr="001A48D3">
              <w:rPr>
                <w:b/>
                <w:color w:val="000000"/>
                <w:sz w:val="20"/>
              </w:rPr>
              <w:t>($m, in 2009 prices)</w:t>
            </w:r>
          </w:p>
        </w:tc>
      </w:tr>
      <w:tr w:rsidR="00A01ECA" w:rsidRPr="001A48D3" w:rsidTr="003370D7">
        <w:trPr>
          <w:trHeight w:val="288"/>
        </w:trPr>
        <w:tc>
          <w:tcPr>
            <w:tcW w:w="861" w:type="dxa"/>
            <w:vMerge/>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Cost</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Benefit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Net benefit</w:t>
            </w:r>
          </w:p>
        </w:tc>
        <w:tc>
          <w:tcPr>
            <w:tcW w:w="1198"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(7%)</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Cost</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Benefit</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01ECA" w:rsidRPr="001A48D3" w:rsidRDefault="00A01ECA" w:rsidP="00C4701A">
            <w:pPr>
              <w:spacing w:after="120"/>
              <w:jc w:val="center"/>
              <w:rPr>
                <w:b/>
                <w:color w:val="000000"/>
                <w:sz w:val="20"/>
              </w:rPr>
            </w:pPr>
            <w:r w:rsidRPr="001A48D3">
              <w:rPr>
                <w:b/>
                <w:color w:val="000000"/>
                <w:sz w:val="20"/>
              </w:rPr>
              <w:t>Net benefit</w:t>
            </w:r>
          </w:p>
        </w:tc>
      </w:tr>
      <w:tr w:rsidR="00C11C4B" w:rsidRPr="001A48D3" w:rsidTr="003370D7">
        <w:trPr>
          <w:trHeight w:val="288"/>
        </w:trPr>
        <w:tc>
          <w:tcPr>
            <w:tcW w:w="861" w:type="dxa"/>
            <w:tcBorders>
              <w:top w:val="single" w:sz="4" w:space="0" w:color="auto"/>
              <w:left w:val="single" w:sz="8" w:space="0" w:color="auto"/>
              <w:bottom w:val="nil"/>
              <w:right w:val="single" w:sz="4" w:space="0" w:color="auto"/>
            </w:tcBorders>
            <w:noWrap/>
            <w:vAlign w:val="center"/>
            <w:hideMark/>
          </w:tcPr>
          <w:p w:rsidR="00C11C4B" w:rsidRPr="001A48D3" w:rsidRDefault="00C11C4B" w:rsidP="00C4701A">
            <w:pPr>
              <w:spacing w:before="120" w:after="120" w:line="360" w:lineRule="auto"/>
              <w:contextualSpacing/>
              <w:jc w:val="center"/>
              <w:rPr>
                <w:color w:val="000000"/>
                <w:sz w:val="16"/>
                <w:szCs w:val="16"/>
              </w:rPr>
            </w:pPr>
            <w:r w:rsidRPr="001A48D3">
              <w:rPr>
                <w:color w:val="000000"/>
                <w:sz w:val="16"/>
                <w:szCs w:val="16"/>
              </w:rPr>
              <w:t>2009</w:t>
            </w:r>
          </w:p>
        </w:tc>
        <w:tc>
          <w:tcPr>
            <w:tcW w:w="992" w:type="dxa"/>
            <w:tcBorders>
              <w:top w:val="single" w:sz="4" w:space="0" w:color="auto"/>
              <w:left w:val="nil"/>
              <w:bottom w:val="nil"/>
              <w:right w:val="single" w:sz="4" w:space="0" w:color="auto"/>
            </w:tcBorders>
            <w:noWrap/>
            <w:vAlign w:val="bottom"/>
            <w:hideMark/>
          </w:tcPr>
          <w:p w:rsidR="00C11C4B" w:rsidRPr="001A48D3" w:rsidRDefault="00C11C4B" w:rsidP="00C4701A">
            <w:pPr>
              <w:spacing w:before="120" w:after="120" w:line="360" w:lineRule="auto"/>
              <w:contextualSpacing/>
              <w:jc w:val="center"/>
              <w:rPr>
                <w:color w:val="000000"/>
                <w:sz w:val="16"/>
                <w:szCs w:val="16"/>
              </w:rPr>
            </w:pPr>
            <w:r w:rsidRPr="001A48D3">
              <w:rPr>
                <w:color w:val="000000"/>
                <w:sz w:val="16"/>
                <w:szCs w:val="16"/>
              </w:rPr>
              <w:t xml:space="preserve">0.0 </w:t>
            </w:r>
          </w:p>
        </w:tc>
        <w:tc>
          <w:tcPr>
            <w:tcW w:w="992" w:type="dxa"/>
            <w:tcBorders>
              <w:top w:val="single" w:sz="4" w:space="0" w:color="auto"/>
              <w:left w:val="nil"/>
              <w:bottom w:val="nil"/>
              <w:right w:val="single" w:sz="4" w:space="0" w:color="auto"/>
            </w:tcBorders>
            <w:noWrap/>
            <w:vAlign w:val="bottom"/>
            <w:hideMark/>
          </w:tcPr>
          <w:p w:rsidR="00C11C4B" w:rsidRPr="001A48D3" w:rsidRDefault="00C11C4B" w:rsidP="00C4701A">
            <w:pPr>
              <w:spacing w:before="120" w:after="120" w:line="360" w:lineRule="auto"/>
              <w:contextualSpacing/>
              <w:jc w:val="center"/>
              <w:rPr>
                <w:color w:val="000000"/>
                <w:sz w:val="16"/>
                <w:szCs w:val="16"/>
              </w:rPr>
            </w:pPr>
            <w:r w:rsidRPr="001A48D3">
              <w:rPr>
                <w:color w:val="000000"/>
                <w:sz w:val="16"/>
                <w:szCs w:val="16"/>
              </w:rPr>
              <w:t xml:space="preserve">0.0 </w:t>
            </w:r>
          </w:p>
        </w:tc>
        <w:tc>
          <w:tcPr>
            <w:tcW w:w="1276" w:type="dxa"/>
            <w:tcBorders>
              <w:top w:val="single" w:sz="4" w:space="0" w:color="auto"/>
              <w:left w:val="nil"/>
              <w:bottom w:val="nil"/>
              <w:right w:val="single" w:sz="4" w:space="0" w:color="auto"/>
            </w:tcBorders>
            <w:noWrap/>
            <w:vAlign w:val="bottom"/>
            <w:hideMark/>
          </w:tcPr>
          <w:p w:rsidR="00C11C4B" w:rsidRPr="001A48D3" w:rsidRDefault="00C11C4B" w:rsidP="00C4701A">
            <w:pPr>
              <w:spacing w:before="120" w:after="120" w:line="360" w:lineRule="auto"/>
              <w:contextualSpacing/>
              <w:jc w:val="center"/>
              <w:rPr>
                <w:color w:val="000000"/>
                <w:sz w:val="16"/>
                <w:szCs w:val="16"/>
              </w:rPr>
            </w:pPr>
            <w:r w:rsidRPr="001A48D3">
              <w:rPr>
                <w:color w:val="000000"/>
                <w:sz w:val="16"/>
                <w:szCs w:val="16"/>
              </w:rPr>
              <w:t xml:space="preserve">0.0 </w:t>
            </w:r>
          </w:p>
        </w:tc>
        <w:tc>
          <w:tcPr>
            <w:tcW w:w="1198" w:type="dxa"/>
            <w:tcBorders>
              <w:top w:val="single" w:sz="4" w:space="0" w:color="auto"/>
              <w:left w:val="nil"/>
              <w:bottom w:val="nil"/>
              <w:right w:val="single" w:sz="4" w:space="0" w:color="auto"/>
            </w:tcBorders>
            <w:noWrap/>
            <w:vAlign w:val="center"/>
            <w:hideMark/>
          </w:tcPr>
          <w:p w:rsidR="00C11C4B" w:rsidRPr="001A48D3" w:rsidRDefault="00C11C4B" w:rsidP="00C4701A">
            <w:pPr>
              <w:spacing w:before="120" w:after="120" w:line="360" w:lineRule="auto"/>
              <w:contextualSpacing/>
              <w:jc w:val="center"/>
              <w:rPr>
                <w:color w:val="000000"/>
                <w:sz w:val="16"/>
                <w:szCs w:val="16"/>
              </w:rPr>
            </w:pPr>
            <w:r w:rsidRPr="001A48D3">
              <w:rPr>
                <w:color w:val="000000"/>
                <w:sz w:val="16"/>
                <w:szCs w:val="16"/>
              </w:rPr>
              <w:t>1.0000</w:t>
            </w:r>
          </w:p>
        </w:tc>
        <w:tc>
          <w:tcPr>
            <w:tcW w:w="928" w:type="dxa"/>
            <w:tcBorders>
              <w:top w:val="single" w:sz="4" w:space="0" w:color="auto"/>
              <w:left w:val="nil"/>
              <w:bottom w:val="nil"/>
              <w:right w:val="single" w:sz="4" w:space="0" w:color="auto"/>
            </w:tcBorders>
            <w:noWrap/>
            <w:vAlign w:val="bottom"/>
            <w:hideMark/>
          </w:tcPr>
          <w:p w:rsidR="00C11C4B" w:rsidRPr="001A48D3" w:rsidRDefault="00C11C4B" w:rsidP="00C4701A">
            <w:pPr>
              <w:spacing w:before="120" w:after="120" w:line="360" w:lineRule="auto"/>
              <w:contextualSpacing/>
              <w:jc w:val="center"/>
              <w:rPr>
                <w:color w:val="000000"/>
                <w:sz w:val="16"/>
                <w:szCs w:val="16"/>
              </w:rPr>
            </w:pPr>
            <w:r w:rsidRPr="001A48D3">
              <w:rPr>
                <w:color w:val="000000"/>
                <w:sz w:val="16"/>
                <w:szCs w:val="16"/>
              </w:rPr>
              <w:t xml:space="preserve">0.0 </w:t>
            </w:r>
          </w:p>
        </w:tc>
        <w:tc>
          <w:tcPr>
            <w:tcW w:w="993" w:type="dxa"/>
            <w:tcBorders>
              <w:top w:val="single" w:sz="4" w:space="0" w:color="auto"/>
              <w:left w:val="nil"/>
              <w:bottom w:val="nil"/>
              <w:right w:val="single" w:sz="4" w:space="0" w:color="auto"/>
            </w:tcBorders>
            <w:noWrap/>
            <w:vAlign w:val="bottom"/>
            <w:hideMark/>
          </w:tcPr>
          <w:p w:rsidR="00C11C4B" w:rsidRPr="001A48D3" w:rsidRDefault="00C11C4B" w:rsidP="00C4701A">
            <w:pPr>
              <w:spacing w:before="120" w:after="120" w:line="360" w:lineRule="auto"/>
              <w:contextualSpacing/>
              <w:jc w:val="center"/>
              <w:rPr>
                <w:color w:val="000000"/>
                <w:sz w:val="16"/>
                <w:szCs w:val="16"/>
              </w:rPr>
            </w:pPr>
            <w:r w:rsidRPr="001A48D3">
              <w:rPr>
                <w:color w:val="000000"/>
                <w:sz w:val="16"/>
                <w:szCs w:val="16"/>
              </w:rPr>
              <w:t xml:space="preserve">0.0 </w:t>
            </w:r>
          </w:p>
        </w:tc>
        <w:tc>
          <w:tcPr>
            <w:tcW w:w="1275" w:type="dxa"/>
            <w:tcBorders>
              <w:top w:val="single" w:sz="4" w:space="0" w:color="auto"/>
              <w:left w:val="nil"/>
              <w:bottom w:val="nil"/>
              <w:right w:val="single" w:sz="4" w:space="0" w:color="auto"/>
            </w:tcBorders>
            <w:noWrap/>
            <w:vAlign w:val="bottom"/>
            <w:hideMark/>
          </w:tcPr>
          <w:p w:rsidR="00C11C4B" w:rsidRPr="001A48D3" w:rsidRDefault="00C11C4B" w:rsidP="00C4701A">
            <w:pPr>
              <w:spacing w:before="120" w:after="120" w:line="360" w:lineRule="auto"/>
              <w:contextualSpacing/>
              <w:jc w:val="center"/>
              <w:rPr>
                <w:color w:val="000000"/>
                <w:sz w:val="16"/>
                <w:szCs w:val="16"/>
              </w:rPr>
            </w:pPr>
            <w:r w:rsidRPr="001A48D3">
              <w:rPr>
                <w:color w:val="000000"/>
                <w:sz w:val="16"/>
                <w:szCs w:val="16"/>
              </w:rPr>
              <w:t xml:space="preserve">0.0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2010</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0.0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0.0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0.0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0.9346</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0.0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0.0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0.0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2011</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0.0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0.0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0.0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0.8734</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0.0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0.0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0.0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2012</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-56.4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12.3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-44.2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0.8163</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-46.1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10.0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-36.1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2013</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-140.0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37.2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-102.8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0.7629</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-106.8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28.4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-78.4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2014</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-162.2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64.6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-97.6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0.7130</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-115.6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46.1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-69.6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2015</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-160.9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93.9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-67.0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0.6663</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-107.2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62.6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-44.6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2016</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-166.1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125.8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-40.3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0.6227</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-103.4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78.3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-25.1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2017</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-287.8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160.4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-127.4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0.5820</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-167.5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93.4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-74.1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2018</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-282.5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197.4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-85.0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0.5439</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-153.6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107.4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-46.2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2019</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-274.7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236.7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-38.0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0.5083</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-139.6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120.3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-19.3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2020</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-261.0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277.3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16.3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0.4751</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-124.0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131.7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7.7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2021</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-240.2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318.7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78.5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0.4440</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-106.7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141.5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34.9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2022</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-214.5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358.7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144.2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0.4150</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-89.0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148.9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59.9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2023</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-188.1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398.4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210.2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0.3878</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-73.0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154.5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81.5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2024</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-161.3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441.3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280.0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0.3624</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-58.5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160.0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101.5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2025</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-134.0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484.5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350.5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0.3387</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-45.4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164.1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118.7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2026</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-106.2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527.4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421.2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0.3166</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-33.6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167.0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133.3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2027</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-78.5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568.5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490.1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0.2959</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-23.2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168.2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145.0 </w:t>
            </w:r>
          </w:p>
        </w:tc>
      </w:tr>
      <w:tr w:rsidR="00C11C4B" w:rsidRPr="001A48D3" w:rsidTr="0085738D">
        <w:trPr>
          <w:trHeight w:val="288"/>
        </w:trPr>
        <w:tc>
          <w:tcPr>
            <w:tcW w:w="861" w:type="dxa"/>
            <w:tcBorders>
              <w:top w:val="nil"/>
              <w:left w:val="single" w:sz="8" w:space="0" w:color="auto"/>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2028</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-51.2 </w:t>
            </w:r>
          </w:p>
        </w:tc>
        <w:tc>
          <w:tcPr>
            <w:tcW w:w="992"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608.2 </w:t>
            </w:r>
          </w:p>
        </w:tc>
        <w:tc>
          <w:tcPr>
            <w:tcW w:w="1276"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557.0 </w:t>
            </w:r>
          </w:p>
        </w:tc>
        <w:tc>
          <w:tcPr>
            <w:tcW w:w="1198" w:type="dxa"/>
            <w:tcBorders>
              <w:top w:val="nil"/>
              <w:left w:val="nil"/>
              <w:bottom w:val="nil"/>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0.2765</w:t>
            </w:r>
          </w:p>
        </w:tc>
        <w:tc>
          <w:tcPr>
            <w:tcW w:w="928"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-14.2 </w:t>
            </w:r>
          </w:p>
        </w:tc>
        <w:tc>
          <w:tcPr>
            <w:tcW w:w="993"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168.2 </w:t>
            </w:r>
          </w:p>
        </w:tc>
        <w:tc>
          <w:tcPr>
            <w:tcW w:w="1275" w:type="dxa"/>
            <w:tcBorders>
              <w:top w:val="nil"/>
              <w:left w:val="nil"/>
              <w:bottom w:val="nil"/>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154.0 </w:t>
            </w:r>
          </w:p>
        </w:tc>
      </w:tr>
      <w:tr w:rsidR="00C11C4B" w:rsidRPr="001A48D3" w:rsidTr="003370D7">
        <w:trPr>
          <w:trHeight w:val="288"/>
        </w:trPr>
        <w:tc>
          <w:tcPr>
            <w:tcW w:w="861" w:type="dxa"/>
            <w:tcBorders>
              <w:top w:val="nil"/>
              <w:left w:val="single" w:sz="8" w:space="0" w:color="auto"/>
              <w:bottom w:val="single" w:sz="4" w:space="0" w:color="auto"/>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2029</w:t>
            </w:r>
          </w:p>
        </w:tc>
        <w:tc>
          <w:tcPr>
            <w:tcW w:w="992" w:type="dxa"/>
            <w:tcBorders>
              <w:top w:val="nil"/>
              <w:left w:val="nil"/>
              <w:bottom w:val="single" w:sz="4" w:space="0" w:color="auto"/>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-24.9 </w:t>
            </w:r>
          </w:p>
        </w:tc>
        <w:tc>
          <w:tcPr>
            <w:tcW w:w="992" w:type="dxa"/>
            <w:tcBorders>
              <w:top w:val="nil"/>
              <w:left w:val="nil"/>
              <w:bottom w:val="single" w:sz="4" w:space="0" w:color="auto"/>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646.4 </w:t>
            </w:r>
          </w:p>
        </w:tc>
        <w:tc>
          <w:tcPr>
            <w:tcW w:w="1276" w:type="dxa"/>
            <w:tcBorders>
              <w:top w:val="nil"/>
              <w:left w:val="nil"/>
              <w:bottom w:val="single" w:sz="4" w:space="0" w:color="auto"/>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621.5 </w:t>
            </w:r>
          </w:p>
        </w:tc>
        <w:tc>
          <w:tcPr>
            <w:tcW w:w="1198" w:type="dxa"/>
            <w:tcBorders>
              <w:top w:val="nil"/>
              <w:left w:val="nil"/>
              <w:bottom w:val="single" w:sz="4" w:space="0" w:color="auto"/>
              <w:right w:val="single" w:sz="4" w:space="0" w:color="auto"/>
            </w:tcBorders>
            <w:noWrap/>
            <w:vAlign w:val="center"/>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0.2584</w:t>
            </w:r>
          </w:p>
        </w:tc>
        <w:tc>
          <w:tcPr>
            <w:tcW w:w="928" w:type="dxa"/>
            <w:tcBorders>
              <w:top w:val="nil"/>
              <w:left w:val="nil"/>
              <w:bottom w:val="single" w:sz="4" w:space="0" w:color="auto"/>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-6.4 </w:t>
            </w:r>
          </w:p>
        </w:tc>
        <w:tc>
          <w:tcPr>
            <w:tcW w:w="993" w:type="dxa"/>
            <w:tcBorders>
              <w:top w:val="nil"/>
              <w:left w:val="nil"/>
              <w:bottom w:val="single" w:sz="4" w:space="0" w:color="auto"/>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167.0 </w:t>
            </w:r>
          </w:p>
        </w:tc>
        <w:tc>
          <w:tcPr>
            <w:tcW w:w="1275" w:type="dxa"/>
            <w:tcBorders>
              <w:top w:val="nil"/>
              <w:left w:val="nil"/>
              <w:bottom w:val="single" w:sz="4" w:space="0" w:color="auto"/>
              <w:right w:val="single" w:sz="4" w:space="0" w:color="auto"/>
            </w:tcBorders>
            <w:noWrap/>
            <w:vAlign w:val="bottom"/>
            <w:hideMark/>
          </w:tcPr>
          <w:p w:rsidR="00C11C4B" w:rsidRPr="001A48D3" w:rsidRDefault="00C11C4B" w:rsidP="00C4701A">
            <w:pPr>
              <w:spacing w:after="120" w:line="360" w:lineRule="auto"/>
              <w:contextualSpacing/>
              <w:jc w:val="center"/>
              <w:rPr>
                <w:color w:val="000000"/>
                <w:sz w:val="16"/>
                <w:szCs w:val="16"/>
              </w:rPr>
            </w:pPr>
            <w:r w:rsidRPr="001A48D3">
              <w:rPr>
                <w:color w:val="000000"/>
                <w:sz w:val="16"/>
                <w:szCs w:val="16"/>
              </w:rPr>
              <w:t xml:space="preserve">160.6 </w:t>
            </w:r>
          </w:p>
        </w:tc>
      </w:tr>
      <w:tr w:rsidR="00A01ECA" w:rsidRPr="001A48D3" w:rsidTr="003370D7">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A01ECA" w:rsidRPr="001A48D3" w:rsidRDefault="00A01ECA" w:rsidP="00C4701A">
            <w:pPr>
              <w:spacing w:after="120"/>
              <w:jc w:val="center"/>
              <w:rPr>
                <w:b/>
                <w:bCs/>
                <w:color w:val="000000"/>
                <w:sz w:val="18"/>
                <w:szCs w:val="18"/>
              </w:rPr>
            </w:pPr>
            <w:r w:rsidRPr="001A48D3">
              <w:rPr>
                <w:b/>
                <w:bCs/>
                <w:color w:val="000000"/>
                <w:sz w:val="18"/>
                <w:szCs w:val="18"/>
              </w:rPr>
              <w:t>Total</w:t>
            </w:r>
          </w:p>
        </w:tc>
        <w:tc>
          <w:tcPr>
            <w:tcW w:w="992"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A01ECA" w:rsidP="00C4701A">
            <w:pPr>
              <w:autoSpaceDE w:val="0"/>
              <w:autoSpaceDN w:val="0"/>
              <w:adjustRightInd w:val="0"/>
              <w:spacing w:after="120"/>
              <w:jc w:val="center"/>
              <w:rPr>
                <w:rFonts w:cs="Calibri"/>
                <w:b/>
                <w:bCs/>
                <w:color w:val="000000"/>
                <w:sz w:val="18"/>
                <w:szCs w:val="18"/>
              </w:rPr>
            </w:pPr>
            <w:r w:rsidRPr="001A48D3">
              <w:rPr>
                <w:rFonts w:cs="Calibri"/>
                <w:b/>
                <w:bCs/>
                <w:color w:val="000000"/>
                <w:sz w:val="18"/>
                <w:szCs w:val="18"/>
              </w:rPr>
              <w:t>-</w:t>
            </w:r>
            <w:r w:rsidR="00C11C4B" w:rsidRPr="001A48D3">
              <w:rPr>
                <w:rFonts w:cs="Calibri"/>
                <w:b/>
                <w:bCs/>
                <w:color w:val="000000"/>
                <w:sz w:val="18"/>
                <w:szCs w:val="18"/>
              </w:rPr>
              <w:t>2,990.5</w:t>
            </w:r>
          </w:p>
        </w:tc>
        <w:tc>
          <w:tcPr>
            <w:tcW w:w="992"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C11C4B" w:rsidP="00C4701A">
            <w:pPr>
              <w:autoSpaceDE w:val="0"/>
              <w:autoSpaceDN w:val="0"/>
              <w:adjustRightInd w:val="0"/>
              <w:spacing w:after="120"/>
              <w:jc w:val="center"/>
              <w:rPr>
                <w:rFonts w:cs="Calibri"/>
                <w:b/>
                <w:bCs/>
                <w:color w:val="000000"/>
                <w:sz w:val="18"/>
                <w:szCs w:val="18"/>
              </w:rPr>
            </w:pPr>
            <w:r w:rsidRPr="001A48D3">
              <w:rPr>
                <w:rFonts w:cs="Calibri"/>
                <w:b/>
                <w:bCs/>
                <w:color w:val="000000"/>
                <w:sz w:val="18"/>
                <w:szCs w:val="18"/>
              </w:rPr>
              <w:t>5,557.8</w:t>
            </w:r>
          </w:p>
        </w:tc>
        <w:tc>
          <w:tcPr>
            <w:tcW w:w="1276"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C11C4B" w:rsidP="00C4701A">
            <w:pPr>
              <w:autoSpaceDE w:val="0"/>
              <w:autoSpaceDN w:val="0"/>
              <w:adjustRightInd w:val="0"/>
              <w:spacing w:after="120"/>
              <w:jc w:val="center"/>
              <w:rPr>
                <w:rFonts w:cs="Calibri"/>
                <w:b/>
                <w:bCs/>
                <w:color w:val="000000"/>
                <w:sz w:val="18"/>
                <w:szCs w:val="18"/>
              </w:rPr>
            </w:pPr>
            <w:r w:rsidRPr="001A48D3">
              <w:rPr>
                <w:rFonts w:cs="Calibri"/>
                <w:b/>
                <w:bCs/>
                <w:color w:val="000000"/>
                <w:sz w:val="18"/>
                <w:szCs w:val="18"/>
              </w:rPr>
              <w:t>2,567.3</w:t>
            </w:r>
          </w:p>
        </w:tc>
        <w:tc>
          <w:tcPr>
            <w:tcW w:w="1198"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A01ECA" w:rsidP="00C4701A">
            <w:pPr>
              <w:spacing w:after="120"/>
              <w:jc w:val="center"/>
              <w:rPr>
                <w:b/>
                <w:bCs/>
                <w:color w:val="000000"/>
                <w:sz w:val="18"/>
                <w:szCs w:val="18"/>
              </w:rPr>
            </w:pPr>
          </w:p>
        </w:tc>
        <w:tc>
          <w:tcPr>
            <w:tcW w:w="928"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A01ECA" w:rsidP="00C4701A">
            <w:pPr>
              <w:autoSpaceDE w:val="0"/>
              <w:autoSpaceDN w:val="0"/>
              <w:adjustRightInd w:val="0"/>
              <w:spacing w:after="120"/>
              <w:jc w:val="center"/>
              <w:rPr>
                <w:rFonts w:cs="Calibri"/>
                <w:b/>
                <w:bCs/>
                <w:color w:val="000000"/>
                <w:sz w:val="18"/>
                <w:szCs w:val="18"/>
              </w:rPr>
            </w:pPr>
            <w:r w:rsidRPr="001A48D3">
              <w:rPr>
                <w:rFonts w:cs="Calibri"/>
                <w:b/>
                <w:bCs/>
                <w:color w:val="000000"/>
                <w:sz w:val="18"/>
                <w:szCs w:val="18"/>
              </w:rPr>
              <w:t>-</w:t>
            </w:r>
            <w:r w:rsidR="00C11C4B" w:rsidRPr="001A48D3">
              <w:rPr>
                <w:rFonts w:cs="Calibri"/>
                <w:b/>
                <w:bCs/>
                <w:color w:val="000000"/>
                <w:sz w:val="18"/>
                <w:szCs w:val="18"/>
              </w:rPr>
              <w:t>1,513.9</w:t>
            </w:r>
          </w:p>
        </w:tc>
        <w:tc>
          <w:tcPr>
            <w:tcW w:w="993"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C11C4B" w:rsidP="00C4701A">
            <w:pPr>
              <w:autoSpaceDE w:val="0"/>
              <w:autoSpaceDN w:val="0"/>
              <w:adjustRightInd w:val="0"/>
              <w:spacing w:after="120"/>
              <w:jc w:val="center"/>
              <w:rPr>
                <w:rFonts w:cs="Calibri"/>
                <w:b/>
                <w:bCs/>
                <w:color w:val="000000"/>
                <w:sz w:val="18"/>
                <w:szCs w:val="18"/>
              </w:rPr>
            </w:pPr>
            <w:r w:rsidRPr="001A48D3">
              <w:rPr>
                <w:rFonts w:cs="Calibri"/>
                <w:b/>
                <w:bCs/>
                <w:color w:val="000000"/>
                <w:sz w:val="18"/>
                <w:szCs w:val="18"/>
              </w:rPr>
              <w:t>2,117.5</w:t>
            </w:r>
          </w:p>
        </w:tc>
        <w:tc>
          <w:tcPr>
            <w:tcW w:w="1275" w:type="dxa"/>
            <w:tcBorders>
              <w:top w:val="single" w:sz="4" w:space="0" w:color="auto"/>
              <w:left w:val="nil"/>
              <w:bottom w:val="single" w:sz="4" w:space="0" w:color="auto"/>
              <w:right w:val="single" w:sz="4" w:space="0" w:color="auto"/>
            </w:tcBorders>
            <w:shd w:val="clear" w:color="000000" w:fill="DDD9C3"/>
            <w:noWrap/>
            <w:vAlign w:val="center"/>
            <w:hideMark/>
          </w:tcPr>
          <w:p w:rsidR="00A01ECA" w:rsidRPr="001A48D3" w:rsidRDefault="00C11C4B" w:rsidP="00C4701A">
            <w:pPr>
              <w:autoSpaceDE w:val="0"/>
              <w:autoSpaceDN w:val="0"/>
              <w:adjustRightInd w:val="0"/>
              <w:spacing w:after="120"/>
              <w:jc w:val="center"/>
              <w:rPr>
                <w:rFonts w:cs="Calibri"/>
                <w:b/>
                <w:bCs/>
                <w:color w:val="000000"/>
                <w:sz w:val="18"/>
                <w:szCs w:val="18"/>
              </w:rPr>
            </w:pPr>
            <w:r w:rsidRPr="001A48D3">
              <w:rPr>
                <w:rFonts w:cs="Calibri"/>
                <w:b/>
                <w:bCs/>
                <w:color w:val="000000"/>
                <w:sz w:val="18"/>
                <w:szCs w:val="18"/>
              </w:rPr>
              <w:t>603.6</w:t>
            </w:r>
          </w:p>
        </w:tc>
      </w:tr>
      <w:tr w:rsidR="003370D7" w:rsidRPr="001A48D3" w:rsidTr="0085738D">
        <w:trPr>
          <w:trHeight w:val="324"/>
        </w:trPr>
        <w:tc>
          <w:tcPr>
            <w:tcW w:w="4121" w:type="dxa"/>
            <w:gridSpan w:val="4"/>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3370D7" w:rsidRPr="001A48D3" w:rsidRDefault="003370D7" w:rsidP="00C4701A">
            <w:pPr>
              <w:spacing w:after="120"/>
              <w:rPr>
                <w:b/>
                <w:bCs/>
                <w:color w:val="000000"/>
                <w:szCs w:val="24"/>
              </w:rPr>
            </w:pPr>
            <w:r w:rsidRPr="001A48D3">
              <w:rPr>
                <w:b/>
                <w:bCs/>
                <w:color w:val="000000"/>
                <w:szCs w:val="24"/>
              </w:rPr>
              <w:t>Benefit–cost Ratio = 1.40</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DE9D9"/>
            <w:vAlign w:val="bottom"/>
          </w:tcPr>
          <w:p w:rsidR="003370D7" w:rsidRPr="001A48D3" w:rsidRDefault="003370D7" w:rsidP="00C4701A">
            <w:pPr>
              <w:spacing w:after="120"/>
              <w:rPr>
                <w:b/>
                <w:bCs/>
                <w:color w:val="000000"/>
                <w:szCs w:val="24"/>
              </w:rPr>
            </w:pPr>
            <w:r w:rsidRPr="001A48D3">
              <w:rPr>
                <w:b/>
                <w:bCs/>
                <w:color w:val="000000"/>
                <w:szCs w:val="24"/>
              </w:rPr>
              <w:t>NPV = 60</w:t>
            </w:r>
            <w:r w:rsidR="00150E89" w:rsidRPr="001A48D3">
              <w:rPr>
                <w:b/>
                <w:bCs/>
                <w:color w:val="000000"/>
                <w:szCs w:val="24"/>
              </w:rPr>
              <w:t>4</w:t>
            </w:r>
          </w:p>
        </w:tc>
      </w:tr>
    </w:tbl>
    <w:p w:rsidR="00A01ECA" w:rsidRPr="001A48D3" w:rsidRDefault="00A01ECA" w:rsidP="00C4701A">
      <w:pPr>
        <w:spacing w:after="120"/>
      </w:pPr>
    </w:p>
    <w:p w:rsidR="00A01ECA" w:rsidRPr="001A48D3" w:rsidRDefault="00A01ECA" w:rsidP="00B52F7D">
      <w:pPr>
        <w:pStyle w:val="Heading2"/>
      </w:pPr>
      <w:bookmarkStart w:id="158" w:name="_Toc430182614"/>
      <w:r w:rsidRPr="001A48D3">
        <w:t>Sensitivity tests</w:t>
      </w:r>
      <w:bookmarkEnd w:id="158"/>
    </w:p>
    <w:p w:rsidR="00A01ECA" w:rsidRPr="001A48D3" w:rsidRDefault="00A01ECA" w:rsidP="00C4701A">
      <w:pPr>
        <w:spacing w:after="120"/>
      </w:pPr>
      <w:r w:rsidRPr="001A48D3">
        <w:t>Given that the S1 and S1A results are so similar (especially over the longer term), sensitivity testing was done only for S1.</w:t>
      </w:r>
    </w:p>
    <w:p w:rsidR="00A01ECA" w:rsidRPr="001A48D3" w:rsidRDefault="00A01ECA" w:rsidP="00B52F7D">
      <w:pPr>
        <w:pStyle w:val="Heading3"/>
      </w:pPr>
      <w:bookmarkStart w:id="159" w:name="_Toc430182615"/>
      <w:r w:rsidRPr="001A48D3">
        <w:t>Changes to the base case</w:t>
      </w:r>
      <w:bookmarkEnd w:id="159"/>
    </w:p>
    <w:p w:rsidR="00A01ECA" w:rsidRPr="001A48D3" w:rsidRDefault="00A01ECA" w:rsidP="00C4701A">
      <w:pPr>
        <w:spacing w:after="120"/>
      </w:pPr>
      <w:r w:rsidRPr="001A48D3">
        <w:t xml:space="preserve">The first set of sensitivity tests (ST1) is for diesel penetration. The ‘low’ case has new sales remaining roughly at their current proportion of total sales (and are thus only about 17% of </w:t>
      </w:r>
      <w:r w:rsidR="00937B08" w:rsidRPr="001A48D3">
        <w:t xml:space="preserve">2029 </w:t>
      </w:r>
      <w:r w:rsidRPr="001A48D3">
        <w:t xml:space="preserve">sales) and the ‘high’ case has strong increases in diesel vehicles sales (with the result that about </w:t>
      </w:r>
      <w:r w:rsidR="00150E89" w:rsidRPr="001A48D3">
        <w:t>40 per cent</w:t>
      </w:r>
      <w:r w:rsidRPr="001A48D3">
        <w:t xml:space="preserve"> of </w:t>
      </w:r>
      <w:r w:rsidR="00937B08" w:rsidRPr="001A48D3">
        <w:t xml:space="preserve">2029 </w:t>
      </w:r>
      <w:r w:rsidRPr="001A48D3">
        <w:t>car sales, and most of LCV sales, are diesels).</w:t>
      </w:r>
    </w:p>
    <w:p w:rsidR="00A01ECA" w:rsidRPr="001A48D3" w:rsidRDefault="00A01ECA" w:rsidP="00C4701A">
      <w:pPr>
        <w:spacing w:after="120"/>
      </w:pPr>
      <w:r w:rsidRPr="001A48D3">
        <w:t xml:space="preserve">The second set of sensitivity tests (ST2) is for durability of the emission-reducing technology. The ‘low’ case has the deterioration rates set to zero for all post-2010 models, and the ‘high’ case has the default parameter values doubled for all post-2010 models. </w:t>
      </w:r>
    </w:p>
    <w:p w:rsidR="00A01ECA" w:rsidRPr="001A48D3" w:rsidRDefault="00A01ECA" w:rsidP="00C4701A">
      <w:pPr>
        <w:spacing w:after="120"/>
      </w:pPr>
      <w:r w:rsidRPr="001A48D3">
        <w:t xml:space="preserve">If the changed deterioration rates applied only to the Euro 5 and 6 technology, the zero deterioration assumption would lead to higher benefits (the ‘high’ case), and conversely for doubling the deterioration rate parameter (the ‘low’ case). However, the changes to the </w:t>
      </w:r>
      <w:r w:rsidRPr="001A48D3">
        <w:lastRenderedPageBreak/>
        <w:t>deteriorate rate parameter are applied to the BAU case as well as the ‘new standards’ case, and they affect the BAU results more than they affect the ‘new standards’ results. Consequently, the savings in emissions are lower for the sensitivity run with zero deterioration (making it the ‘low’ case) and greater for the run that doubles the deterioration rate (making it the ‘high’ case).</w:t>
      </w:r>
    </w:p>
    <w:p w:rsidR="00A01ECA" w:rsidRPr="001A48D3" w:rsidRDefault="00A01ECA" w:rsidP="00C4701A">
      <w:pPr>
        <w:spacing w:after="120"/>
      </w:pPr>
      <w:r w:rsidRPr="001A48D3">
        <w:t>The results of sensitivity tests for ST1 and ST2 are presented in Table 9. It appears that the results are more sensitive to the changes in the second set of assumptions.</w:t>
      </w:r>
    </w:p>
    <w:p w:rsidR="00A01ECA" w:rsidRPr="001A48D3" w:rsidRDefault="00A01ECA" w:rsidP="00B52F7D">
      <w:pPr>
        <w:pStyle w:val="Heading3"/>
      </w:pPr>
      <w:bookmarkStart w:id="160" w:name="_Toc430182616"/>
      <w:r w:rsidRPr="001A48D3">
        <w:t>Table 9</w:t>
      </w:r>
      <w:r w:rsidRPr="001A48D3">
        <w:tab/>
        <w:t>Changes to the base case</w:t>
      </w:r>
      <w:bookmarkEnd w:id="160"/>
    </w:p>
    <w:tbl>
      <w:tblPr>
        <w:tblW w:w="0" w:type="auto"/>
        <w:tblLook w:val="04A0" w:firstRow="1" w:lastRow="0" w:firstColumn="1" w:lastColumn="0" w:noHBand="0" w:noVBand="1"/>
      </w:tblPr>
      <w:tblGrid>
        <w:gridCol w:w="2518"/>
        <w:gridCol w:w="2835"/>
        <w:gridCol w:w="2268"/>
      </w:tblGrid>
      <w:tr w:rsidR="00A01ECA" w:rsidRPr="001A48D3" w:rsidTr="00A01ECA">
        <w:tc>
          <w:tcPr>
            <w:tcW w:w="2518" w:type="dxa"/>
            <w:tcBorders>
              <w:top w:val="single" w:sz="4" w:space="0" w:color="auto"/>
              <w:bottom w:val="single" w:sz="4" w:space="0" w:color="auto"/>
            </w:tcBorders>
            <w:vAlign w:val="center"/>
          </w:tcPr>
          <w:p w:rsidR="00A01ECA" w:rsidRPr="001A48D3" w:rsidRDefault="00A01ECA" w:rsidP="00C4701A">
            <w:pPr>
              <w:spacing w:after="120"/>
              <w:jc w:val="center"/>
              <w:rPr>
                <w:sz w:val="20"/>
              </w:rPr>
            </w:pPr>
          </w:p>
        </w:tc>
        <w:tc>
          <w:tcPr>
            <w:tcW w:w="2835" w:type="dxa"/>
            <w:tcBorders>
              <w:top w:val="single" w:sz="4" w:space="0" w:color="auto"/>
              <w:bottom w:val="single" w:sz="4" w:space="0" w:color="auto"/>
            </w:tcBorders>
            <w:vAlign w:val="center"/>
          </w:tcPr>
          <w:p w:rsidR="00A01ECA" w:rsidRPr="001A48D3" w:rsidRDefault="00A01ECA" w:rsidP="00C4701A">
            <w:pPr>
              <w:spacing w:after="120"/>
              <w:jc w:val="center"/>
              <w:rPr>
                <w:sz w:val="20"/>
              </w:rPr>
            </w:pPr>
            <w:r w:rsidRPr="001A48D3">
              <w:rPr>
                <w:sz w:val="20"/>
              </w:rPr>
              <w:t>Net Present Values</w:t>
            </w:r>
            <w:r w:rsidRPr="001A48D3">
              <w:rPr>
                <w:sz w:val="20"/>
              </w:rPr>
              <w:br/>
              <w:t>($m)</w:t>
            </w:r>
          </w:p>
        </w:tc>
        <w:tc>
          <w:tcPr>
            <w:tcW w:w="2268" w:type="dxa"/>
            <w:tcBorders>
              <w:top w:val="single" w:sz="4" w:space="0" w:color="auto"/>
              <w:bottom w:val="single" w:sz="4" w:space="0" w:color="auto"/>
            </w:tcBorders>
            <w:vAlign w:val="center"/>
          </w:tcPr>
          <w:p w:rsidR="00A01ECA" w:rsidRPr="001A48D3" w:rsidRDefault="00A01ECA" w:rsidP="00C4701A">
            <w:pPr>
              <w:spacing w:after="120"/>
              <w:jc w:val="center"/>
              <w:rPr>
                <w:sz w:val="20"/>
              </w:rPr>
            </w:pPr>
            <w:r w:rsidRPr="001A48D3">
              <w:rPr>
                <w:sz w:val="20"/>
              </w:rPr>
              <w:t>Benefit–cost Ratio</w:t>
            </w:r>
          </w:p>
        </w:tc>
      </w:tr>
      <w:tr w:rsidR="00A01ECA" w:rsidRPr="001A48D3" w:rsidTr="00A01ECA">
        <w:tc>
          <w:tcPr>
            <w:tcW w:w="2518" w:type="dxa"/>
            <w:tcBorders>
              <w:top w:val="single" w:sz="4" w:space="0" w:color="auto"/>
            </w:tcBorders>
            <w:vAlign w:val="center"/>
          </w:tcPr>
          <w:p w:rsidR="00A01ECA" w:rsidRPr="001A48D3" w:rsidRDefault="00A01ECA" w:rsidP="00C4701A">
            <w:pPr>
              <w:spacing w:after="120"/>
              <w:rPr>
                <w:sz w:val="20"/>
              </w:rPr>
            </w:pPr>
            <w:r w:rsidRPr="001A48D3">
              <w:rPr>
                <w:sz w:val="20"/>
              </w:rPr>
              <w:t>Main Base Case</w:t>
            </w:r>
          </w:p>
        </w:tc>
        <w:tc>
          <w:tcPr>
            <w:tcW w:w="2835" w:type="dxa"/>
            <w:tcBorders>
              <w:top w:val="single" w:sz="4" w:space="0" w:color="auto"/>
            </w:tcBorders>
            <w:vAlign w:val="center"/>
          </w:tcPr>
          <w:p w:rsidR="00A01ECA" w:rsidRPr="001A48D3" w:rsidRDefault="005A4A92" w:rsidP="00C4701A">
            <w:pPr>
              <w:spacing w:after="120"/>
              <w:jc w:val="center"/>
              <w:rPr>
                <w:sz w:val="20"/>
              </w:rPr>
            </w:pPr>
            <w:r w:rsidRPr="001A48D3">
              <w:rPr>
                <w:sz w:val="20"/>
              </w:rPr>
              <w:t>579</w:t>
            </w:r>
          </w:p>
        </w:tc>
        <w:tc>
          <w:tcPr>
            <w:tcW w:w="2268" w:type="dxa"/>
            <w:tcBorders>
              <w:top w:val="single" w:sz="4" w:space="0" w:color="auto"/>
            </w:tcBorders>
            <w:vAlign w:val="center"/>
          </w:tcPr>
          <w:p w:rsidR="00A01ECA" w:rsidRPr="001A48D3" w:rsidRDefault="005A4A92" w:rsidP="00C4701A">
            <w:pPr>
              <w:spacing w:after="120"/>
              <w:jc w:val="center"/>
              <w:rPr>
                <w:sz w:val="20"/>
              </w:rPr>
            </w:pPr>
            <w:r w:rsidRPr="001A48D3">
              <w:rPr>
                <w:sz w:val="20"/>
              </w:rPr>
              <w:t>1.37</w:t>
            </w:r>
          </w:p>
        </w:tc>
      </w:tr>
      <w:tr w:rsidR="00A01ECA" w:rsidRPr="001A48D3" w:rsidTr="00A01ECA">
        <w:tc>
          <w:tcPr>
            <w:tcW w:w="2518" w:type="dxa"/>
            <w:vAlign w:val="center"/>
          </w:tcPr>
          <w:p w:rsidR="00A01ECA" w:rsidRPr="001A48D3" w:rsidRDefault="00A01ECA" w:rsidP="00C4701A">
            <w:pPr>
              <w:spacing w:after="120"/>
              <w:rPr>
                <w:sz w:val="20"/>
              </w:rPr>
            </w:pPr>
            <w:r w:rsidRPr="001A48D3">
              <w:rPr>
                <w:sz w:val="20"/>
              </w:rPr>
              <w:t>ST1</w:t>
            </w:r>
          </w:p>
        </w:tc>
        <w:tc>
          <w:tcPr>
            <w:tcW w:w="2835" w:type="dxa"/>
            <w:vAlign w:val="center"/>
          </w:tcPr>
          <w:p w:rsidR="00A01ECA" w:rsidRPr="001A48D3" w:rsidRDefault="00A01ECA" w:rsidP="00C4701A">
            <w:pPr>
              <w:spacing w:after="120"/>
              <w:jc w:val="center"/>
              <w:rPr>
                <w:sz w:val="20"/>
              </w:rPr>
            </w:pPr>
          </w:p>
        </w:tc>
        <w:tc>
          <w:tcPr>
            <w:tcW w:w="2268" w:type="dxa"/>
            <w:vAlign w:val="center"/>
          </w:tcPr>
          <w:p w:rsidR="00A01ECA" w:rsidRPr="001A48D3" w:rsidRDefault="00A01ECA" w:rsidP="00C4701A">
            <w:pPr>
              <w:spacing w:after="120"/>
              <w:jc w:val="center"/>
              <w:rPr>
                <w:sz w:val="20"/>
              </w:rPr>
            </w:pPr>
          </w:p>
        </w:tc>
      </w:tr>
      <w:tr w:rsidR="00A01ECA" w:rsidRPr="001A48D3" w:rsidTr="00A01ECA">
        <w:tc>
          <w:tcPr>
            <w:tcW w:w="2518" w:type="dxa"/>
            <w:vAlign w:val="center"/>
          </w:tcPr>
          <w:p w:rsidR="00A01ECA" w:rsidRPr="001A48D3" w:rsidRDefault="00A01ECA" w:rsidP="00C4701A">
            <w:pPr>
              <w:spacing w:after="120"/>
              <w:ind w:left="720"/>
              <w:rPr>
                <w:sz w:val="20"/>
              </w:rPr>
            </w:pPr>
            <w:r w:rsidRPr="001A48D3">
              <w:rPr>
                <w:sz w:val="20"/>
              </w:rPr>
              <w:t>Low</w:t>
            </w:r>
          </w:p>
        </w:tc>
        <w:tc>
          <w:tcPr>
            <w:tcW w:w="2835" w:type="dxa"/>
            <w:vAlign w:val="center"/>
          </w:tcPr>
          <w:p w:rsidR="00A01ECA" w:rsidRPr="001A48D3" w:rsidRDefault="005A4A92" w:rsidP="00C4701A">
            <w:pPr>
              <w:spacing w:after="120"/>
              <w:jc w:val="center"/>
              <w:rPr>
                <w:sz w:val="20"/>
              </w:rPr>
            </w:pPr>
            <w:r w:rsidRPr="001A48D3">
              <w:rPr>
                <w:sz w:val="20"/>
              </w:rPr>
              <w:t>444</w:t>
            </w:r>
          </w:p>
        </w:tc>
        <w:tc>
          <w:tcPr>
            <w:tcW w:w="2268" w:type="dxa"/>
            <w:vAlign w:val="center"/>
          </w:tcPr>
          <w:p w:rsidR="00A01ECA" w:rsidRPr="001A48D3" w:rsidRDefault="005A4A92" w:rsidP="00C4701A">
            <w:pPr>
              <w:spacing w:after="120"/>
              <w:jc w:val="center"/>
              <w:rPr>
                <w:sz w:val="20"/>
              </w:rPr>
            </w:pPr>
            <w:r w:rsidRPr="001A48D3">
              <w:rPr>
                <w:sz w:val="20"/>
              </w:rPr>
              <w:t>1.37</w:t>
            </w:r>
          </w:p>
        </w:tc>
      </w:tr>
      <w:tr w:rsidR="00A01ECA" w:rsidRPr="001A48D3" w:rsidTr="00A01ECA">
        <w:tc>
          <w:tcPr>
            <w:tcW w:w="2518" w:type="dxa"/>
            <w:vAlign w:val="center"/>
          </w:tcPr>
          <w:p w:rsidR="00A01ECA" w:rsidRPr="001A48D3" w:rsidRDefault="00A01ECA" w:rsidP="00C4701A">
            <w:pPr>
              <w:spacing w:after="120"/>
              <w:ind w:left="720"/>
              <w:rPr>
                <w:sz w:val="20"/>
              </w:rPr>
            </w:pPr>
            <w:r w:rsidRPr="001A48D3">
              <w:rPr>
                <w:sz w:val="20"/>
              </w:rPr>
              <w:t>High</w:t>
            </w:r>
          </w:p>
        </w:tc>
        <w:tc>
          <w:tcPr>
            <w:tcW w:w="2835" w:type="dxa"/>
            <w:vAlign w:val="center"/>
          </w:tcPr>
          <w:p w:rsidR="00A01ECA" w:rsidRPr="001A48D3" w:rsidRDefault="005A4A92" w:rsidP="00C4701A">
            <w:pPr>
              <w:spacing w:after="120"/>
              <w:jc w:val="center"/>
              <w:rPr>
                <w:sz w:val="20"/>
              </w:rPr>
            </w:pPr>
            <w:r w:rsidRPr="001A48D3">
              <w:rPr>
                <w:sz w:val="20"/>
              </w:rPr>
              <w:t>581</w:t>
            </w:r>
          </w:p>
        </w:tc>
        <w:tc>
          <w:tcPr>
            <w:tcW w:w="2268" w:type="dxa"/>
            <w:vAlign w:val="center"/>
          </w:tcPr>
          <w:p w:rsidR="00A01ECA" w:rsidRPr="001A48D3" w:rsidRDefault="005A4A92" w:rsidP="00C4701A">
            <w:pPr>
              <w:spacing w:after="120"/>
              <w:jc w:val="center"/>
              <w:rPr>
                <w:sz w:val="20"/>
              </w:rPr>
            </w:pPr>
            <w:r w:rsidRPr="001A48D3">
              <w:rPr>
                <w:sz w:val="20"/>
              </w:rPr>
              <w:t>1.37</w:t>
            </w:r>
          </w:p>
        </w:tc>
      </w:tr>
      <w:tr w:rsidR="00A01ECA" w:rsidRPr="001A48D3" w:rsidTr="00A01ECA">
        <w:tc>
          <w:tcPr>
            <w:tcW w:w="2518" w:type="dxa"/>
            <w:vAlign w:val="center"/>
          </w:tcPr>
          <w:p w:rsidR="00A01ECA" w:rsidRPr="001A48D3" w:rsidRDefault="00A01ECA" w:rsidP="00C4701A">
            <w:pPr>
              <w:spacing w:after="120"/>
              <w:rPr>
                <w:sz w:val="20"/>
              </w:rPr>
            </w:pPr>
            <w:r w:rsidRPr="001A48D3">
              <w:rPr>
                <w:sz w:val="20"/>
              </w:rPr>
              <w:t>ST2</w:t>
            </w:r>
          </w:p>
        </w:tc>
        <w:tc>
          <w:tcPr>
            <w:tcW w:w="2835" w:type="dxa"/>
            <w:vAlign w:val="center"/>
          </w:tcPr>
          <w:p w:rsidR="00A01ECA" w:rsidRPr="001A48D3" w:rsidRDefault="00A01ECA" w:rsidP="00C4701A">
            <w:pPr>
              <w:spacing w:after="120"/>
              <w:jc w:val="center"/>
              <w:rPr>
                <w:sz w:val="20"/>
              </w:rPr>
            </w:pPr>
          </w:p>
        </w:tc>
        <w:tc>
          <w:tcPr>
            <w:tcW w:w="2268" w:type="dxa"/>
            <w:vAlign w:val="center"/>
          </w:tcPr>
          <w:p w:rsidR="00A01ECA" w:rsidRPr="001A48D3" w:rsidRDefault="00A01ECA" w:rsidP="00C4701A">
            <w:pPr>
              <w:spacing w:after="120"/>
              <w:jc w:val="center"/>
              <w:rPr>
                <w:sz w:val="20"/>
              </w:rPr>
            </w:pPr>
          </w:p>
        </w:tc>
      </w:tr>
      <w:tr w:rsidR="00A01ECA" w:rsidRPr="001A48D3" w:rsidTr="00A01ECA">
        <w:tc>
          <w:tcPr>
            <w:tcW w:w="2518" w:type="dxa"/>
            <w:vAlign w:val="center"/>
          </w:tcPr>
          <w:p w:rsidR="00A01ECA" w:rsidRPr="001A48D3" w:rsidRDefault="00A01ECA" w:rsidP="00C4701A">
            <w:pPr>
              <w:spacing w:after="120"/>
              <w:ind w:left="720"/>
              <w:rPr>
                <w:sz w:val="20"/>
              </w:rPr>
            </w:pPr>
            <w:r w:rsidRPr="001A48D3">
              <w:rPr>
                <w:sz w:val="20"/>
              </w:rPr>
              <w:t>Low</w:t>
            </w:r>
          </w:p>
        </w:tc>
        <w:tc>
          <w:tcPr>
            <w:tcW w:w="2835" w:type="dxa"/>
            <w:vAlign w:val="center"/>
          </w:tcPr>
          <w:p w:rsidR="00A01ECA" w:rsidRPr="001A48D3" w:rsidRDefault="005A4A92" w:rsidP="00C4701A">
            <w:pPr>
              <w:spacing w:after="120"/>
              <w:jc w:val="center"/>
              <w:rPr>
                <w:sz w:val="20"/>
              </w:rPr>
            </w:pPr>
            <w:r w:rsidRPr="001A48D3">
              <w:rPr>
                <w:sz w:val="20"/>
              </w:rPr>
              <w:t>248</w:t>
            </w:r>
          </w:p>
        </w:tc>
        <w:tc>
          <w:tcPr>
            <w:tcW w:w="2268" w:type="dxa"/>
            <w:vAlign w:val="center"/>
          </w:tcPr>
          <w:p w:rsidR="00A01ECA" w:rsidRPr="001A48D3" w:rsidRDefault="005A4A92" w:rsidP="00C4701A">
            <w:pPr>
              <w:spacing w:after="120"/>
              <w:jc w:val="center"/>
              <w:rPr>
                <w:sz w:val="20"/>
              </w:rPr>
            </w:pPr>
            <w:r w:rsidRPr="001A48D3">
              <w:rPr>
                <w:sz w:val="20"/>
              </w:rPr>
              <w:t>1.16</w:t>
            </w:r>
          </w:p>
        </w:tc>
      </w:tr>
      <w:tr w:rsidR="00A01ECA" w:rsidRPr="001A48D3" w:rsidTr="00A01ECA">
        <w:tc>
          <w:tcPr>
            <w:tcW w:w="2518" w:type="dxa"/>
            <w:tcBorders>
              <w:bottom w:val="single" w:sz="4" w:space="0" w:color="auto"/>
            </w:tcBorders>
            <w:vAlign w:val="center"/>
          </w:tcPr>
          <w:p w:rsidR="00A01ECA" w:rsidRPr="001A48D3" w:rsidRDefault="00A01ECA" w:rsidP="00C4701A">
            <w:pPr>
              <w:spacing w:after="120"/>
              <w:ind w:left="720"/>
              <w:rPr>
                <w:sz w:val="20"/>
              </w:rPr>
            </w:pPr>
            <w:r w:rsidRPr="001A48D3">
              <w:rPr>
                <w:sz w:val="20"/>
              </w:rPr>
              <w:t>High</w:t>
            </w:r>
          </w:p>
        </w:tc>
        <w:tc>
          <w:tcPr>
            <w:tcW w:w="2835" w:type="dxa"/>
            <w:tcBorders>
              <w:bottom w:val="single" w:sz="4" w:space="0" w:color="auto"/>
            </w:tcBorders>
            <w:vAlign w:val="center"/>
          </w:tcPr>
          <w:p w:rsidR="00A01ECA" w:rsidRPr="001A48D3" w:rsidRDefault="005A4A92" w:rsidP="00C4701A">
            <w:pPr>
              <w:spacing w:after="120"/>
              <w:jc w:val="center"/>
              <w:rPr>
                <w:sz w:val="20"/>
              </w:rPr>
            </w:pPr>
            <w:r w:rsidRPr="001A48D3">
              <w:rPr>
                <w:sz w:val="20"/>
              </w:rPr>
              <w:t>922</w:t>
            </w:r>
          </w:p>
        </w:tc>
        <w:tc>
          <w:tcPr>
            <w:tcW w:w="2268" w:type="dxa"/>
            <w:tcBorders>
              <w:bottom w:val="single" w:sz="4" w:space="0" w:color="auto"/>
            </w:tcBorders>
            <w:vAlign w:val="center"/>
          </w:tcPr>
          <w:p w:rsidR="00A01ECA" w:rsidRPr="001A48D3" w:rsidRDefault="005A4A92" w:rsidP="00C4701A">
            <w:pPr>
              <w:spacing w:after="120"/>
              <w:jc w:val="center"/>
              <w:rPr>
                <w:sz w:val="20"/>
              </w:rPr>
            </w:pPr>
            <w:r w:rsidRPr="001A48D3">
              <w:rPr>
                <w:sz w:val="20"/>
              </w:rPr>
              <w:t>1.60</w:t>
            </w:r>
          </w:p>
        </w:tc>
      </w:tr>
    </w:tbl>
    <w:p w:rsidR="00A01ECA" w:rsidRPr="001A48D3" w:rsidRDefault="00A01ECA" w:rsidP="00B52F7D">
      <w:pPr>
        <w:pStyle w:val="Heading3"/>
      </w:pPr>
      <w:bookmarkStart w:id="161" w:name="_Toc430182617"/>
      <w:r w:rsidRPr="001A48D3">
        <w:t>Changes to unit health cost values</w:t>
      </w:r>
      <w:bookmarkEnd w:id="161"/>
    </w:p>
    <w:p w:rsidR="00A01ECA" w:rsidRPr="001A48D3" w:rsidRDefault="00A01ECA" w:rsidP="00C4701A">
      <w:pPr>
        <w:spacing w:after="120"/>
      </w:pPr>
      <w:r w:rsidRPr="001A48D3">
        <w:t>Under the unlikely scenario where mean unit health cost values have to be reduced by 50</w:t>
      </w:r>
      <w:r w:rsidR="00D56B08" w:rsidRPr="001A48D3">
        <w:t>%</w:t>
      </w:r>
      <w:r w:rsidRPr="001A48D3">
        <w:t>, the NPV becomes negative.</w:t>
      </w:r>
    </w:p>
    <w:p w:rsidR="00A01ECA" w:rsidRPr="001A48D3" w:rsidRDefault="00A01ECA" w:rsidP="00B52F7D">
      <w:pPr>
        <w:pStyle w:val="Heading3"/>
      </w:pPr>
      <w:bookmarkStart w:id="162" w:name="_Toc430182618"/>
      <w:r w:rsidRPr="001A48D3">
        <w:t>Table 10</w:t>
      </w:r>
      <w:r w:rsidRPr="001A48D3">
        <w:tab/>
        <w:t>Changes to Unit Health Cost Values</w:t>
      </w:r>
      <w:bookmarkEnd w:id="162"/>
    </w:p>
    <w:tbl>
      <w:tblPr>
        <w:tblW w:w="0" w:type="auto"/>
        <w:tblLook w:val="04A0" w:firstRow="1" w:lastRow="0" w:firstColumn="1" w:lastColumn="0" w:noHBand="0" w:noVBand="1"/>
      </w:tblPr>
      <w:tblGrid>
        <w:gridCol w:w="2518"/>
        <w:gridCol w:w="2835"/>
        <w:gridCol w:w="2268"/>
      </w:tblGrid>
      <w:tr w:rsidR="00A01ECA" w:rsidRPr="001A48D3" w:rsidTr="00A01ECA">
        <w:tc>
          <w:tcPr>
            <w:tcW w:w="2518" w:type="dxa"/>
            <w:tcBorders>
              <w:top w:val="single" w:sz="4" w:space="0" w:color="auto"/>
              <w:bottom w:val="single" w:sz="4" w:space="0" w:color="auto"/>
            </w:tcBorders>
            <w:vAlign w:val="center"/>
          </w:tcPr>
          <w:p w:rsidR="00A01ECA" w:rsidRPr="001A48D3" w:rsidRDefault="00A01ECA" w:rsidP="00C4701A">
            <w:pPr>
              <w:spacing w:after="120"/>
              <w:jc w:val="center"/>
              <w:rPr>
                <w:sz w:val="20"/>
              </w:rPr>
            </w:pPr>
          </w:p>
        </w:tc>
        <w:tc>
          <w:tcPr>
            <w:tcW w:w="2835" w:type="dxa"/>
            <w:tcBorders>
              <w:top w:val="single" w:sz="4" w:space="0" w:color="auto"/>
              <w:bottom w:val="single" w:sz="4" w:space="0" w:color="auto"/>
            </w:tcBorders>
            <w:vAlign w:val="center"/>
          </w:tcPr>
          <w:p w:rsidR="00A01ECA" w:rsidRPr="001A48D3" w:rsidRDefault="00A01ECA" w:rsidP="00C4701A">
            <w:pPr>
              <w:spacing w:after="120"/>
              <w:jc w:val="center"/>
              <w:rPr>
                <w:sz w:val="20"/>
              </w:rPr>
            </w:pPr>
            <w:r w:rsidRPr="001A48D3">
              <w:rPr>
                <w:sz w:val="20"/>
              </w:rPr>
              <w:t>Net Present Values</w:t>
            </w:r>
            <w:r w:rsidRPr="001A48D3">
              <w:rPr>
                <w:sz w:val="20"/>
              </w:rPr>
              <w:br/>
              <w:t>($m)</w:t>
            </w:r>
          </w:p>
        </w:tc>
        <w:tc>
          <w:tcPr>
            <w:tcW w:w="2268" w:type="dxa"/>
            <w:tcBorders>
              <w:top w:val="single" w:sz="4" w:space="0" w:color="auto"/>
              <w:bottom w:val="single" w:sz="4" w:space="0" w:color="auto"/>
            </w:tcBorders>
            <w:vAlign w:val="center"/>
          </w:tcPr>
          <w:p w:rsidR="00A01ECA" w:rsidRPr="001A48D3" w:rsidRDefault="00A01ECA" w:rsidP="00C4701A">
            <w:pPr>
              <w:spacing w:after="120"/>
              <w:jc w:val="center"/>
              <w:rPr>
                <w:sz w:val="20"/>
              </w:rPr>
            </w:pPr>
            <w:r w:rsidRPr="001A48D3">
              <w:rPr>
                <w:sz w:val="20"/>
              </w:rPr>
              <w:t>Benefit–cost Ratio</w:t>
            </w:r>
          </w:p>
        </w:tc>
      </w:tr>
      <w:tr w:rsidR="00A01ECA" w:rsidRPr="001A48D3" w:rsidTr="00A01ECA">
        <w:tc>
          <w:tcPr>
            <w:tcW w:w="2518" w:type="dxa"/>
            <w:tcBorders>
              <w:top w:val="single" w:sz="4" w:space="0" w:color="auto"/>
            </w:tcBorders>
            <w:vAlign w:val="center"/>
          </w:tcPr>
          <w:p w:rsidR="00A01ECA" w:rsidRPr="001A48D3" w:rsidRDefault="00A01ECA" w:rsidP="00C4701A">
            <w:pPr>
              <w:spacing w:after="120"/>
              <w:rPr>
                <w:sz w:val="20"/>
              </w:rPr>
            </w:pPr>
            <w:r w:rsidRPr="001A48D3">
              <w:rPr>
                <w:sz w:val="20"/>
              </w:rPr>
              <w:t>Mean</w:t>
            </w:r>
          </w:p>
        </w:tc>
        <w:tc>
          <w:tcPr>
            <w:tcW w:w="2835" w:type="dxa"/>
            <w:tcBorders>
              <w:top w:val="single" w:sz="4" w:space="0" w:color="auto"/>
            </w:tcBorders>
            <w:vAlign w:val="center"/>
          </w:tcPr>
          <w:p w:rsidR="00A01ECA" w:rsidRPr="001A48D3" w:rsidRDefault="005A4A92" w:rsidP="00C4701A">
            <w:pPr>
              <w:spacing w:after="120"/>
              <w:jc w:val="center"/>
              <w:rPr>
                <w:sz w:val="20"/>
              </w:rPr>
            </w:pPr>
            <w:r w:rsidRPr="001A48D3">
              <w:rPr>
                <w:sz w:val="20"/>
              </w:rPr>
              <w:t>579</w:t>
            </w:r>
          </w:p>
        </w:tc>
        <w:tc>
          <w:tcPr>
            <w:tcW w:w="2268" w:type="dxa"/>
            <w:tcBorders>
              <w:top w:val="single" w:sz="4" w:space="0" w:color="auto"/>
            </w:tcBorders>
            <w:vAlign w:val="center"/>
          </w:tcPr>
          <w:p w:rsidR="00A01ECA" w:rsidRPr="001A48D3" w:rsidRDefault="005A4A92" w:rsidP="00C4701A">
            <w:pPr>
              <w:spacing w:after="120"/>
              <w:jc w:val="center"/>
              <w:rPr>
                <w:sz w:val="20"/>
              </w:rPr>
            </w:pPr>
            <w:r w:rsidRPr="001A48D3">
              <w:rPr>
                <w:sz w:val="20"/>
              </w:rPr>
              <w:t>1.37</w:t>
            </w:r>
          </w:p>
        </w:tc>
      </w:tr>
      <w:tr w:rsidR="00A01ECA" w:rsidRPr="001A48D3" w:rsidTr="00A01ECA">
        <w:tc>
          <w:tcPr>
            <w:tcW w:w="2518" w:type="dxa"/>
            <w:vAlign w:val="center"/>
          </w:tcPr>
          <w:p w:rsidR="00A01ECA" w:rsidRPr="001A48D3" w:rsidRDefault="00A01ECA" w:rsidP="00C4701A">
            <w:pPr>
              <w:spacing w:after="120"/>
              <w:rPr>
                <w:sz w:val="20"/>
              </w:rPr>
            </w:pPr>
            <w:r w:rsidRPr="001A48D3">
              <w:rPr>
                <w:sz w:val="20"/>
              </w:rPr>
              <w:t>Low (– 50%)</w:t>
            </w:r>
          </w:p>
        </w:tc>
        <w:tc>
          <w:tcPr>
            <w:tcW w:w="2835" w:type="dxa"/>
            <w:vAlign w:val="center"/>
          </w:tcPr>
          <w:p w:rsidR="00A01ECA" w:rsidRPr="001A48D3" w:rsidRDefault="00A01ECA" w:rsidP="00C4701A">
            <w:pPr>
              <w:spacing w:after="120"/>
              <w:jc w:val="center"/>
              <w:rPr>
                <w:sz w:val="20"/>
              </w:rPr>
            </w:pPr>
            <w:r w:rsidRPr="001A48D3">
              <w:rPr>
                <w:sz w:val="20"/>
              </w:rPr>
              <w:t xml:space="preserve">– </w:t>
            </w:r>
            <w:r w:rsidR="005A4A92" w:rsidRPr="001A48D3">
              <w:rPr>
                <w:sz w:val="20"/>
              </w:rPr>
              <w:t>485</w:t>
            </w:r>
          </w:p>
        </w:tc>
        <w:tc>
          <w:tcPr>
            <w:tcW w:w="2268" w:type="dxa"/>
            <w:vAlign w:val="center"/>
          </w:tcPr>
          <w:p w:rsidR="00A01ECA" w:rsidRPr="001A48D3" w:rsidRDefault="005A4A92" w:rsidP="00C4701A">
            <w:pPr>
              <w:spacing w:after="120"/>
              <w:jc w:val="center"/>
              <w:rPr>
                <w:sz w:val="20"/>
              </w:rPr>
            </w:pPr>
            <w:r w:rsidRPr="001A48D3">
              <w:rPr>
                <w:sz w:val="20"/>
              </w:rPr>
              <w:t>0.69</w:t>
            </w:r>
          </w:p>
        </w:tc>
      </w:tr>
      <w:tr w:rsidR="00A01ECA" w:rsidRPr="001A48D3" w:rsidTr="00A01ECA">
        <w:tc>
          <w:tcPr>
            <w:tcW w:w="2518" w:type="dxa"/>
            <w:tcBorders>
              <w:bottom w:val="single" w:sz="4" w:space="0" w:color="auto"/>
            </w:tcBorders>
            <w:vAlign w:val="center"/>
          </w:tcPr>
          <w:p w:rsidR="00A01ECA" w:rsidRPr="001A48D3" w:rsidRDefault="00A01ECA" w:rsidP="00C4701A">
            <w:pPr>
              <w:spacing w:after="120"/>
              <w:rPr>
                <w:sz w:val="20"/>
              </w:rPr>
            </w:pPr>
            <w:r w:rsidRPr="001A48D3">
              <w:rPr>
                <w:sz w:val="20"/>
              </w:rPr>
              <w:t>High (+ 50%)</w:t>
            </w:r>
          </w:p>
        </w:tc>
        <w:tc>
          <w:tcPr>
            <w:tcW w:w="2835" w:type="dxa"/>
            <w:tcBorders>
              <w:bottom w:val="single" w:sz="4" w:space="0" w:color="auto"/>
            </w:tcBorders>
            <w:vAlign w:val="center"/>
          </w:tcPr>
          <w:p w:rsidR="00A01ECA" w:rsidRPr="001A48D3" w:rsidRDefault="005A4A92" w:rsidP="00C4701A">
            <w:pPr>
              <w:spacing w:after="120"/>
              <w:jc w:val="center"/>
              <w:rPr>
                <w:sz w:val="20"/>
              </w:rPr>
            </w:pPr>
            <w:r w:rsidRPr="001A48D3">
              <w:rPr>
                <w:sz w:val="20"/>
              </w:rPr>
              <w:t>1,643</w:t>
            </w:r>
          </w:p>
        </w:tc>
        <w:tc>
          <w:tcPr>
            <w:tcW w:w="2268" w:type="dxa"/>
            <w:tcBorders>
              <w:bottom w:val="single" w:sz="4" w:space="0" w:color="auto"/>
            </w:tcBorders>
            <w:vAlign w:val="center"/>
          </w:tcPr>
          <w:p w:rsidR="00A01ECA" w:rsidRPr="001A48D3" w:rsidRDefault="005A4A92" w:rsidP="00C4701A">
            <w:pPr>
              <w:spacing w:after="120"/>
              <w:jc w:val="center"/>
              <w:rPr>
                <w:sz w:val="20"/>
              </w:rPr>
            </w:pPr>
            <w:r w:rsidRPr="001A48D3">
              <w:rPr>
                <w:sz w:val="20"/>
              </w:rPr>
              <w:t>2.06</w:t>
            </w:r>
          </w:p>
        </w:tc>
      </w:tr>
    </w:tbl>
    <w:p w:rsidR="005A4A92" w:rsidRPr="001A48D3" w:rsidRDefault="005A4A92" w:rsidP="00B52F7D">
      <w:pPr>
        <w:pStyle w:val="Heading3"/>
      </w:pPr>
      <w:bookmarkStart w:id="163" w:name="_Toc430182619"/>
      <w:r w:rsidRPr="001A48D3">
        <w:t>Changes to the value of statistical life</w:t>
      </w:r>
      <w:bookmarkEnd w:id="163"/>
    </w:p>
    <w:p w:rsidR="0014570D" w:rsidRPr="001A48D3" w:rsidRDefault="002F031D" w:rsidP="00C4701A">
      <w:pPr>
        <w:spacing w:after="120"/>
      </w:pPr>
      <w:r w:rsidRPr="001A48D3">
        <w:t>E</w:t>
      </w:r>
      <w:r w:rsidR="008C0984" w:rsidRPr="001A48D3">
        <w:t>stimates for avoided health costs can vary widely</w:t>
      </w:r>
      <w:r w:rsidRPr="001A48D3">
        <w:t xml:space="preserve">. </w:t>
      </w:r>
      <w:r w:rsidR="00BA2D3F" w:rsidRPr="001A48D3">
        <w:t xml:space="preserve">In </w:t>
      </w:r>
      <w:r w:rsidR="008C0984" w:rsidRPr="001A48D3">
        <w:t xml:space="preserve">part this is </w:t>
      </w:r>
      <w:r w:rsidRPr="001A48D3">
        <w:t>due to</w:t>
      </w:r>
      <w:r w:rsidR="008C0984" w:rsidRPr="001A48D3">
        <w:t xml:space="preserve"> the assumed value of a statistical life (VSL).  The implied average VSL used by the three most recent studies evaluated in the BCA was $6 million and was derived from a consistent methodology (willingness to pay). </w:t>
      </w:r>
      <w:r w:rsidR="00644284" w:rsidRPr="001A48D3">
        <w:t xml:space="preserve"> </w:t>
      </w:r>
      <w:r w:rsidR="008C0984" w:rsidRPr="001A48D3">
        <w:t xml:space="preserve">To assess the influence of changes in VSL on the BCA outcomes, a sensitivity test using the VSL estimate preferred by the OBPR ($3.7 million in 2009 prices) was conducted. </w:t>
      </w:r>
      <w:r w:rsidR="00644284" w:rsidRPr="001A48D3">
        <w:t xml:space="preserve"> </w:t>
      </w:r>
      <w:r w:rsidR="008C0984" w:rsidRPr="001A48D3">
        <w:t xml:space="preserve">Using this </w:t>
      </w:r>
      <w:r w:rsidRPr="001A48D3">
        <w:t xml:space="preserve">more </w:t>
      </w:r>
      <w:r w:rsidR="008C0984" w:rsidRPr="001A48D3">
        <w:t xml:space="preserve">conservative assumption, the net benefits are considerably reduced, with </w:t>
      </w:r>
      <w:r w:rsidR="00D049CD" w:rsidRPr="001A48D3">
        <w:t>the</w:t>
      </w:r>
      <w:r w:rsidR="008C0984" w:rsidRPr="001A48D3">
        <w:t xml:space="preserve"> BCR estimated to be 1.0.</w:t>
      </w:r>
    </w:p>
    <w:p w:rsidR="005A4A92" w:rsidRPr="001A48D3" w:rsidRDefault="005A4A92" w:rsidP="00B52F7D">
      <w:pPr>
        <w:pStyle w:val="Heading3"/>
      </w:pPr>
      <w:bookmarkStart w:id="164" w:name="_Toc430182620"/>
      <w:r w:rsidRPr="001A48D3">
        <w:t>Table 11</w:t>
      </w:r>
      <w:r w:rsidRPr="001A48D3">
        <w:tab/>
        <w:t>Changes to the Value of Statistical Life</w:t>
      </w:r>
      <w:bookmarkEnd w:id="164"/>
    </w:p>
    <w:tbl>
      <w:tblPr>
        <w:tblW w:w="0" w:type="auto"/>
        <w:tblLook w:val="04A0" w:firstRow="1" w:lastRow="0" w:firstColumn="1" w:lastColumn="0" w:noHBand="0" w:noVBand="1"/>
      </w:tblPr>
      <w:tblGrid>
        <w:gridCol w:w="2802"/>
        <w:gridCol w:w="2551"/>
        <w:gridCol w:w="2268"/>
      </w:tblGrid>
      <w:tr w:rsidR="005A4A92" w:rsidRPr="001A48D3" w:rsidTr="001E1827">
        <w:trPr>
          <w:tblHeader/>
        </w:trPr>
        <w:tc>
          <w:tcPr>
            <w:tcW w:w="2802" w:type="dxa"/>
            <w:tcBorders>
              <w:top w:val="single" w:sz="4" w:space="0" w:color="auto"/>
              <w:bottom w:val="single" w:sz="4" w:space="0" w:color="auto"/>
            </w:tcBorders>
            <w:vAlign w:val="center"/>
          </w:tcPr>
          <w:p w:rsidR="005A4A92" w:rsidRPr="001A48D3" w:rsidRDefault="005A4A92" w:rsidP="00C4701A">
            <w:pPr>
              <w:spacing w:after="120"/>
              <w:jc w:val="center"/>
              <w:rPr>
                <w:sz w:val="20"/>
              </w:rPr>
            </w:pPr>
          </w:p>
        </w:tc>
        <w:tc>
          <w:tcPr>
            <w:tcW w:w="2551" w:type="dxa"/>
            <w:tcBorders>
              <w:top w:val="single" w:sz="4" w:space="0" w:color="auto"/>
              <w:bottom w:val="single" w:sz="4" w:space="0" w:color="auto"/>
            </w:tcBorders>
            <w:vAlign w:val="center"/>
          </w:tcPr>
          <w:p w:rsidR="005A4A92" w:rsidRPr="001A48D3" w:rsidRDefault="005A4A92" w:rsidP="00C4701A">
            <w:pPr>
              <w:spacing w:after="120"/>
              <w:jc w:val="center"/>
              <w:rPr>
                <w:sz w:val="20"/>
              </w:rPr>
            </w:pPr>
            <w:r w:rsidRPr="001A48D3">
              <w:rPr>
                <w:sz w:val="20"/>
              </w:rPr>
              <w:t>Net Present Values</w:t>
            </w:r>
            <w:r w:rsidRPr="001A48D3">
              <w:rPr>
                <w:sz w:val="20"/>
              </w:rPr>
              <w:br/>
              <w:t>($m)</w:t>
            </w:r>
          </w:p>
        </w:tc>
        <w:tc>
          <w:tcPr>
            <w:tcW w:w="2268" w:type="dxa"/>
            <w:tcBorders>
              <w:top w:val="single" w:sz="4" w:space="0" w:color="auto"/>
              <w:bottom w:val="single" w:sz="4" w:space="0" w:color="auto"/>
            </w:tcBorders>
            <w:vAlign w:val="center"/>
          </w:tcPr>
          <w:p w:rsidR="005A4A92" w:rsidRPr="001A48D3" w:rsidRDefault="005A4A92" w:rsidP="00C4701A">
            <w:pPr>
              <w:spacing w:after="120"/>
              <w:jc w:val="center"/>
              <w:rPr>
                <w:sz w:val="20"/>
              </w:rPr>
            </w:pPr>
            <w:r w:rsidRPr="001A48D3">
              <w:rPr>
                <w:sz w:val="20"/>
              </w:rPr>
              <w:t>Benefit–cost Ratio</w:t>
            </w:r>
          </w:p>
        </w:tc>
      </w:tr>
      <w:tr w:rsidR="005A4A92" w:rsidRPr="001A48D3" w:rsidTr="00150E89">
        <w:tc>
          <w:tcPr>
            <w:tcW w:w="2802" w:type="dxa"/>
            <w:tcBorders>
              <w:top w:val="single" w:sz="4" w:space="0" w:color="auto"/>
            </w:tcBorders>
            <w:vAlign w:val="center"/>
          </w:tcPr>
          <w:p w:rsidR="005A4A92" w:rsidRPr="001A48D3" w:rsidRDefault="005A4A92" w:rsidP="00C4701A">
            <w:pPr>
              <w:spacing w:after="120"/>
              <w:rPr>
                <w:sz w:val="20"/>
              </w:rPr>
            </w:pPr>
            <w:r w:rsidRPr="001A48D3">
              <w:rPr>
                <w:sz w:val="20"/>
              </w:rPr>
              <w:t>Mean</w:t>
            </w:r>
          </w:p>
        </w:tc>
        <w:tc>
          <w:tcPr>
            <w:tcW w:w="2551" w:type="dxa"/>
            <w:tcBorders>
              <w:top w:val="single" w:sz="4" w:space="0" w:color="auto"/>
            </w:tcBorders>
            <w:vAlign w:val="center"/>
          </w:tcPr>
          <w:p w:rsidR="005A4A92" w:rsidRPr="001A48D3" w:rsidRDefault="005A4A92" w:rsidP="00C4701A">
            <w:pPr>
              <w:spacing w:after="120"/>
              <w:jc w:val="center"/>
              <w:rPr>
                <w:sz w:val="20"/>
              </w:rPr>
            </w:pPr>
            <w:r w:rsidRPr="001A48D3">
              <w:rPr>
                <w:sz w:val="20"/>
              </w:rPr>
              <w:t>579</w:t>
            </w:r>
          </w:p>
        </w:tc>
        <w:tc>
          <w:tcPr>
            <w:tcW w:w="2268" w:type="dxa"/>
            <w:tcBorders>
              <w:top w:val="single" w:sz="4" w:space="0" w:color="auto"/>
            </w:tcBorders>
            <w:vAlign w:val="center"/>
          </w:tcPr>
          <w:p w:rsidR="005A4A92" w:rsidRPr="001A48D3" w:rsidRDefault="005A4A92" w:rsidP="00C4701A">
            <w:pPr>
              <w:spacing w:after="120"/>
              <w:jc w:val="center"/>
              <w:rPr>
                <w:sz w:val="20"/>
              </w:rPr>
            </w:pPr>
            <w:r w:rsidRPr="001A48D3">
              <w:rPr>
                <w:sz w:val="20"/>
              </w:rPr>
              <w:t>1.37</w:t>
            </w:r>
          </w:p>
        </w:tc>
      </w:tr>
      <w:tr w:rsidR="005A4A92" w:rsidRPr="001A48D3" w:rsidTr="00150E89">
        <w:tc>
          <w:tcPr>
            <w:tcW w:w="2802" w:type="dxa"/>
            <w:tcBorders>
              <w:bottom w:val="single" w:sz="4" w:space="0" w:color="auto"/>
            </w:tcBorders>
            <w:vAlign w:val="center"/>
          </w:tcPr>
          <w:p w:rsidR="005A4A92" w:rsidRPr="001A48D3" w:rsidRDefault="005A4A92" w:rsidP="00C4701A">
            <w:pPr>
              <w:spacing w:after="120"/>
              <w:rPr>
                <w:sz w:val="20"/>
              </w:rPr>
            </w:pPr>
            <w:r w:rsidRPr="001A48D3">
              <w:rPr>
                <w:sz w:val="20"/>
              </w:rPr>
              <w:t xml:space="preserve">VSL = </w:t>
            </w:r>
            <w:r w:rsidR="00150E89" w:rsidRPr="001A48D3">
              <w:rPr>
                <w:sz w:val="20"/>
              </w:rPr>
              <w:t>A</w:t>
            </w:r>
            <w:r w:rsidRPr="001A48D3">
              <w:rPr>
                <w:sz w:val="20"/>
              </w:rPr>
              <w:t>$3.7m (in 2009 prices)</w:t>
            </w:r>
          </w:p>
        </w:tc>
        <w:tc>
          <w:tcPr>
            <w:tcW w:w="2551" w:type="dxa"/>
            <w:tcBorders>
              <w:bottom w:val="single" w:sz="4" w:space="0" w:color="auto"/>
            </w:tcBorders>
            <w:vAlign w:val="center"/>
          </w:tcPr>
          <w:p w:rsidR="005A4A92" w:rsidRPr="001A48D3" w:rsidRDefault="008024D4" w:rsidP="00C4701A">
            <w:pPr>
              <w:spacing w:after="120"/>
              <w:jc w:val="center"/>
              <w:rPr>
                <w:sz w:val="20"/>
              </w:rPr>
            </w:pPr>
            <w:r w:rsidRPr="001A48D3">
              <w:rPr>
                <w:sz w:val="20"/>
              </w:rPr>
              <w:t>20</w:t>
            </w:r>
          </w:p>
        </w:tc>
        <w:tc>
          <w:tcPr>
            <w:tcW w:w="2268" w:type="dxa"/>
            <w:tcBorders>
              <w:bottom w:val="single" w:sz="4" w:space="0" w:color="auto"/>
            </w:tcBorders>
            <w:vAlign w:val="center"/>
          </w:tcPr>
          <w:p w:rsidR="005A4A92" w:rsidRPr="001A48D3" w:rsidRDefault="005A4A92" w:rsidP="00C4701A">
            <w:pPr>
              <w:spacing w:after="120"/>
              <w:jc w:val="center"/>
              <w:rPr>
                <w:sz w:val="20"/>
              </w:rPr>
            </w:pPr>
            <w:r w:rsidRPr="001A48D3">
              <w:rPr>
                <w:sz w:val="20"/>
              </w:rPr>
              <w:t>1.01</w:t>
            </w:r>
          </w:p>
        </w:tc>
      </w:tr>
    </w:tbl>
    <w:p w:rsidR="00A01ECA" w:rsidRPr="001A48D3" w:rsidRDefault="00A01ECA" w:rsidP="00B52F7D">
      <w:pPr>
        <w:pStyle w:val="Heading3"/>
      </w:pPr>
      <w:bookmarkStart w:id="165" w:name="_Toc430182621"/>
      <w:r w:rsidRPr="001A48D3">
        <w:lastRenderedPageBreak/>
        <w:t>Changes to implementation costs</w:t>
      </w:r>
      <w:bookmarkEnd w:id="165"/>
    </w:p>
    <w:p w:rsidR="00A01ECA" w:rsidRPr="001A48D3" w:rsidRDefault="00A01ECA" w:rsidP="00C4701A">
      <w:pPr>
        <w:spacing w:after="120"/>
      </w:pPr>
      <w:r w:rsidRPr="001A48D3">
        <w:t>There are uncertainties in the assumed cost adjustment process illustrated in Figure 2. An alternative assumption tested is to assume no downward cost adjustment over time. The result of the testing is presented in Table 1</w:t>
      </w:r>
      <w:r w:rsidR="0036020F" w:rsidRPr="001A48D3">
        <w:t>2</w:t>
      </w:r>
      <w:r w:rsidRPr="001A48D3">
        <w:t>. As seen, even with this very conservative assumption, the NPV still remains positive.</w:t>
      </w:r>
    </w:p>
    <w:p w:rsidR="00A01ECA" w:rsidRPr="001A48D3" w:rsidRDefault="00A01ECA" w:rsidP="00B52F7D">
      <w:pPr>
        <w:pStyle w:val="Heading3"/>
      </w:pPr>
      <w:bookmarkStart w:id="166" w:name="_Toc430182622"/>
      <w:r w:rsidRPr="001A48D3">
        <w:t>Table 1</w:t>
      </w:r>
      <w:r w:rsidR="0036020F" w:rsidRPr="001A48D3">
        <w:t>2</w:t>
      </w:r>
      <w:r w:rsidRPr="001A48D3">
        <w:tab/>
        <w:t>Changes to Implementation Costs</w:t>
      </w:r>
      <w:bookmarkEnd w:id="166"/>
    </w:p>
    <w:tbl>
      <w:tblPr>
        <w:tblW w:w="0" w:type="auto"/>
        <w:tblLook w:val="04A0" w:firstRow="1" w:lastRow="0" w:firstColumn="1" w:lastColumn="0" w:noHBand="0" w:noVBand="1"/>
      </w:tblPr>
      <w:tblGrid>
        <w:gridCol w:w="2518"/>
        <w:gridCol w:w="2835"/>
        <w:gridCol w:w="2268"/>
      </w:tblGrid>
      <w:tr w:rsidR="00A01ECA" w:rsidRPr="001A48D3" w:rsidTr="00A01ECA">
        <w:tc>
          <w:tcPr>
            <w:tcW w:w="2518" w:type="dxa"/>
            <w:tcBorders>
              <w:top w:val="single" w:sz="4" w:space="0" w:color="auto"/>
              <w:bottom w:val="single" w:sz="4" w:space="0" w:color="auto"/>
            </w:tcBorders>
            <w:vAlign w:val="center"/>
          </w:tcPr>
          <w:p w:rsidR="00A01ECA" w:rsidRPr="001A48D3" w:rsidRDefault="00A01ECA" w:rsidP="00C4701A">
            <w:pPr>
              <w:spacing w:after="120"/>
              <w:jc w:val="center"/>
              <w:rPr>
                <w:sz w:val="20"/>
              </w:rPr>
            </w:pPr>
          </w:p>
        </w:tc>
        <w:tc>
          <w:tcPr>
            <w:tcW w:w="2835" w:type="dxa"/>
            <w:tcBorders>
              <w:top w:val="single" w:sz="4" w:space="0" w:color="auto"/>
              <w:bottom w:val="single" w:sz="4" w:space="0" w:color="auto"/>
            </w:tcBorders>
            <w:vAlign w:val="center"/>
          </w:tcPr>
          <w:p w:rsidR="00A01ECA" w:rsidRPr="001A48D3" w:rsidRDefault="00A01ECA" w:rsidP="00C4701A">
            <w:pPr>
              <w:spacing w:after="120"/>
              <w:jc w:val="center"/>
              <w:rPr>
                <w:sz w:val="20"/>
              </w:rPr>
            </w:pPr>
            <w:r w:rsidRPr="001A48D3">
              <w:rPr>
                <w:sz w:val="20"/>
              </w:rPr>
              <w:t>Net Present Values</w:t>
            </w:r>
            <w:r w:rsidRPr="001A48D3">
              <w:rPr>
                <w:sz w:val="20"/>
              </w:rPr>
              <w:br/>
              <w:t>($m)</w:t>
            </w:r>
          </w:p>
        </w:tc>
        <w:tc>
          <w:tcPr>
            <w:tcW w:w="2268" w:type="dxa"/>
            <w:tcBorders>
              <w:top w:val="single" w:sz="4" w:space="0" w:color="auto"/>
              <w:bottom w:val="single" w:sz="4" w:space="0" w:color="auto"/>
            </w:tcBorders>
            <w:vAlign w:val="center"/>
          </w:tcPr>
          <w:p w:rsidR="00A01ECA" w:rsidRPr="001A48D3" w:rsidRDefault="00A01ECA" w:rsidP="00C4701A">
            <w:pPr>
              <w:spacing w:after="120"/>
              <w:jc w:val="center"/>
              <w:rPr>
                <w:sz w:val="20"/>
              </w:rPr>
            </w:pPr>
            <w:r w:rsidRPr="001A48D3">
              <w:rPr>
                <w:sz w:val="20"/>
              </w:rPr>
              <w:t>Benefit–cost Ratio</w:t>
            </w:r>
          </w:p>
        </w:tc>
      </w:tr>
      <w:tr w:rsidR="00A01ECA" w:rsidRPr="001A48D3" w:rsidTr="00A01ECA">
        <w:tc>
          <w:tcPr>
            <w:tcW w:w="2518" w:type="dxa"/>
            <w:tcBorders>
              <w:top w:val="single" w:sz="4" w:space="0" w:color="auto"/>
            </w:tcBorders>
            <w:vAlign w:val="center"/>
          </w:tcPr>
          <w:p w:rsidR="00A01ECA" w:rsidRPr="001A48D3" w:rsidRDefault="00A01ECA" w:rsidP="00C4701A">
            <w:pPr>
              <w:spacing w:after="120"/>
              <w:rPr>
                <w:sz w:val="20"/>
              </w:rPr>
            </w:pPr>
            <w:r w:rsidRPr="001A48D3">
              <w:rPr>
                <w:sz w:val="20"/>
              </w:rPr>
              <w:t>Mean</w:t>
            </w:r>
          </w:p>
        </w:tc>
        <w:tc>
          <w:tcPr>
            <w:tcW w:w="2835" w:type="dxa"/>
            <w:tcBorders>
              <w:top w:val="single" w:sz="4" w:space="0" w:color="auto"/>
            </w:tcBorders>
            <w:vAlign w:val="center"/>
          </w:tcPr>
          <w:p w:rsidR="00A01ECA" w:rsidRPr="001A48D3" w:rsidRDefault="0036020F" w:rsidP="00C4701A">
            <w:pPr>
              <w:spacing w:after="120"/>
              <w:jc w:val="center"/>
              <w:rPr>
                <w:sz w:val="20"/>
              </w:rPr>
            </w:pPr>
            <w:r w:rsidRPr="001A48D3">
              <w:rPr>
                <w:sz w:val="20"/>
              </w:rPr>
              <w:t>579</w:t>
            </w:r>
          </w:p>
        </w:tc>
        <w:tc>
          <w:tcPr>
            <w:tcW w:w="2268" w:type="dxa"/>
            <w:tcBorders>
              <w:top w:val="single" w:sz="4" w:space="0" w:color="auto"/>
            </w:tcBorders>
            <w:vAlign w:val="center"/>
          </w:tcPr>
          <w:p w:rsidR="00A01ECA" w:rsidRPr="001A48D3" w:rsidRDefault="0036020F" w:rsidP="00C4701A">
            <w:pPr>
              <w:spacing w:after="120"/>
              <w:jc w:val="center"/>
              <w:rPr>
                <w:sz w:val="20"/>
              </w:rPr>
            </w:pPr>
            <w:r w:rsidRPr="001A48D3">
              <w:rPr>
                <w:sz w:val="20"/>
              </w:rPr>
              <w:t>1.37</w:t>
            </w:r>
          </w:p>
        </w:tc>
      </w:tr>
      <w:tr w:rsidR="00A01ECA" w:rsidRPr="001A48D3" w:rsidTr="00A01ECA">
        <w:tc>
          <w:tcPr>
            <w:tcW w:w="2518" w:type="dxa"/>
            <w:tcBorders>
              <w:bottom w:val="single" w:sz="4" w:space="0" w:color="auto"/>
            </w:tcBorders>
            <w:vAlign w:val="center"/>
          </w:tcPr>
          <w:p w:rsidR="00A01ECA" w:rsidRPr="001A48D3" w:rsidRDefault="00A01ECA" w:rsidP="00C4701A">
            <w:pPr>
              <w:spacing w:after="120"/>
              <w:rPr>
                <w:sz w:val="20"/>
              </w:rPr>
            </w:pPr>
            <w:r w:rsidRPr="001A48D3">
              <w:rPr>
                <w:sz w:val="20"/>
              </w:rPr>
              <w:t>High Cost (no downward cost adjustment)</w:t>
            </w:r>
          </w:p>
        </w:tc>
        <w:tc>
          <w:tcPr>
            <w:tcW w:w="2835" w:type="dxa"/>
            <w:tcBorders>
              <w:bottom w:val="single" w:sz="4" w:space="0" w:color="auto"/>
            </w:tcBorders>
            <w:vAlign w:val="center"/>
          </w:tcPr>
          <w:p w:rsidR="00A01ECA" w:rsidRPr="001A48D3" w:rsidRDefault="0036020F" w:rsidP="00C4701A">
            <w:pPr>
              <w:spacing w:after="120"/>
              <w:jc w:val="center"/>
              <w:rPr>
                <w:sz w:val="20"/>
              </w:rPr>
            </w:pPr>
            <w:r w:rsidRPr="001A48D3">
              <w:rPr>
                <w:sz w:val="20"/>
              </w:rPr>
              <w:t>489</w:t>
            </w:r>
          </w:p>
        </w:tc>
        <w:tc>
          <w:tcPr>
            <w:tcW w:w="2268" w:type="dxa"/>
            <w:tcBorders>
              <w:bottom w:val="single" w:sz="4" w:space="0" w:color="auto"/>
            </w:tcBorders>
            <w:vAlign w:val="center"/>
          </w:tcPr>
          <w:p w:rsidR="00A01ECA" w:rsidRPr="001A48D3" w:rsidRDefault="0036020F" w:rsidP="00C4701A">
            <w:pPr>
              <w:spacing w:after="120"/>
              <w:jc w:val="center"/>
              <w:rPr>
                <w:sz w:val="20"/>
              </w:rPr>
            </w:pPr>
            <w:r w:rsidRPr="001A48D3">
              <w:rPr>
                <w:sz w:val="20"/>
              </w:rPr>
              <w:t>1.30</w:t>
            </w:r>
          </w:p>
        </w:tc>
      </w:tr>
    </w:tbl>
    <w:p w:rsidR="0033694B" w:rsidRPr="001A48D3" w:rsidRDefault="00571B49" w:rsidP="00C4701A">
      <w:pPr>
        <w:spacing w:after="120"/>
      </w:pPr>
      <w:r w:rsidRPr="001A48D3">
        <w:br w:type="page"/>
      </w:r>
    </w:p>
    <w:p w:rsidR="0036020F" w:rsidRPr="001A48D3" w:rsidRDefault="0036020F" w:rsidP="00B52F7D">
      <w:pPr>
        <w:pStyle w:val="Heading3"/>
      </w:pPr>
      <w:bookmarkStart w:id="167" w:name="_Toc430182623"/>
      <w:r w:rsidRPr="001A48D3">
        <w:lastRenderedPageBreak/>
        <w:t>Changes to the length of evaluation period</w:t>
      </w:r>
      <w:bookmarkEnd w:id="167"/>
    </w:p>
    <w:p w:rsidR="008612EA" w:rsidRPr="001A48D3" w:rsidRDefault="008612EA" w:rsidP="00C4701A">
      <w:pPr>
        <w:spacing w:after="120"/>
      </w:pPr>
      <w:r w:rsidRPr="001A48D3">
        <w:t xml:space="preserve">The draft RIS used the 30 year time frame for the BCA. </w:t>
      </w:r>
      <w:r w:rsidR="00644284" w:rsidRPr="001A48D3">
        <w:t xml:space="preserve"> </w:t>
      </w:r>
      <w:r w:rsidRPr="001A48D3">
        <w:t xml:space="preserve">As seen in Table 13, using a longer evaluation period leads to a higher BCR (1.51) with the net present value rising to $1,250 million. </w:t>
      </w:r>
    </w:p>
    <w:p w:rsidR="0036020F" w:rsidRPr="001A48D3" w:rsidRDefault="0036020F" w:rsidP="00B52F7D">
      <w:pPr>
        <w:pStyle w:val="Heading3"/>
      </w:pPr>
      <w:bookmarkStart w:id="168" w:name="_Toc430182624"/>
      <w:r w:rsidRPr="001A48D3">
        <w:t>Table 13</w:t>
      </w:r>
      <w:r w:rsidRPr="001A48D3">
        <w:tab/>
        <w:t>Changes to the Length of Evaluation Period</w:t>
      </w:r>
      <w:bookmarkEnd w:id="168"/>
    </w:p>
    <w:tbl>
      <w:tblPr>
        <w:tblW w:w="0" w:type="auto"/>
        <w:tblLook w:val="04A0" w:firstRow="1" w:lastRow="0" w:firstColumn="1" w:lastColumn="0" w:noHBand="0" w:noVBand="1"/>
      </w:tblPr>
      <w:tblGrid>
        <w:gridCol w:w="2660"/>
        <w:gridCol w:w="2693"/>
        <w:gridCol w:w="2268"/>
      </w:tblGrid>
      <w:tr w:rsidR="0036020F" w:rsidRPr="001A48D3" w:rsidTr="00150E89">
        <w:tc>
          <w:tcPr>
            <w:tcW w:w="2660" w:type="dxa"/>
            <w:tcBorders>
              <w:top w:val="single" w:sz="4" w:space="0" w:color="auto"/>
              <w:bottom w:val="single" w:sz="4" w:space="0" w:color="auto"/>
            </w:tcBorders>
            <w:vAlign w:val="center"/>
          </w:tcPr>
          <w:p w:rsidR="0036020F" w:rsidRPr="001A48D3" w:rsidRDefault="0036020F" w:rsidP="00C4701A">
            <w:pPr>
              <w:spacing w:after="120"/>
              <w:jc w:val="center"/>
              <w:rPr>
                <w:sz w:val="20"/>
              </w:rPr>
            </w:pPr>
          </w:p>
        </w:tc>
        <w:tc>
          <w:tcPr>
            <w:tcW w:w="2693" w:type="dxa"/>
            <w:tcBorders>
              <w:top w:val="single" w:sz="4" w:space="0" w:color="auto"/>
              <w:bottom w:val="single" w:sz="4" w:space="0" w:color="auto"/>
            </w:tcBorders>
            <w:vAlign w:val="center"/>
          </w:tcPr>
          <w:p w:rsidR="0036020F" w:rsidRPr="001A48D3" w:rsidRDefault="0036020F" w:rsidP="00C4701A">
            <w:pPr>
              <w:spacing w:after="120"/>
              <w:jc w:val="center"/>
              <w:rPr>
                <w:sz w:val="20"/>
              </w:rPr>
            </w:pPr>
            <w:r w:rsidRPr="001A48D3">
              <w:rPr>
                <w:sz w:val="20"/>
              </w:rPr>
              <w:t>Net Present Values</w:t>
            </w:r>
            <w:r w:rsidRPr="001A48D3">
              <w:rPr>
                <w:sz w:val="20"/>
              </w:rPr>
              <w:br/>
              <w:t>($m)</w:t>
            </w:r>
          </w:p>
        </w:tc>
        <w:tc>
          <w:tcPr>
            <w:tcW w:w="2268" w:type="dxa"/>
            <w:tcBorders>
              <w:top w:val="single" w:sz="4" w:space="0" w:color="auto"/>
              <w:bottom w:val="single" w:sz="4" w:space="0" w:color="auto"/>
            </w:tcBorders>
            <w:vAlign w:val="center"/>
          </w:tcPr>
          <w:p w:rsidR="0036020F" w:rsidRPr="001A48D3" w:rsidRDefault="0036020F" w:rsidP="00C4701A">
            <w:pPr>
              <w:spacing w:after="120"/>
              <w:jc w:val="center"/>
              <w:rPr>
                <w:sz w:val="20"/>
              </w:rPr>
            </w:pPr>
            <w:r w:rsidRPr="001A48D3">
              <w:rPr>
                <w:sz w:val="20"/>
              </w:rPr>
              <w:t>Benefit–cost Ratio</w:t>
            </w:r>
          </w:p>
        </w:tc>
      </w:tr>
      <w:tr w:rsidR="0036020F" w:rsidRPr="001A48D3" w:rsidTr="00150E89">
        <w:tc>
          <w:tcPr>
            <w:tcW w:w="2660" w:type="dxa"/>
            <w:tcBorders>
              <w:top w:val="single" w:sz="4" w:space="0" w:color="auto"/>
            </w:tcBorders>
            <w:vAlign w:val="center"/>
          </w:tcPr>
          <w:p w:rsidR="0036020F" w:rsidRPr="001A48D3" w:rsidRDefault="0036020F" w:rsidP="00C4701A">
            <w:pPr>
              <w:spacing w:after="120"/>
              <w:rPr>
                <w:sz w:val="20"/>
              </w:rPr>
            </w:pPr>
            <w:r w:rsidRPr="001A48D3">
              <w:rPr>
                <w:sz w:val="20"/>
              </w:rPr>
              <w:t xml:space="preserve">Mean </w:t>
            </w:r>
            <w:r w:rsidR="00150E89" w:rsidRPr="001A48D3">
              <w:rPr>
                <w:sz w:val="20"/>
              </w:rPr>
              <w:t>(end 2029)</w:t>
            </w:r>
          </w:p>
        </w:tc>
        <w:tc>
          <w:tcPr>
            <w:tcW w:w="2693" w:type="dxa"/>
            <w:tcBorders>
              <w:top w:val="single" w:sz="4" w:space="0" w:color="auto"/>
            </w:tcBorders>
            <w:vAlign w:val="center"/>
          </w:tcPr>
          <w:p w:rsidR="0036020F" w:rsidRPr="001A48D3" w:rsidRDefault="0036020F" w:rsidP="00C4701A">
            <w:pPr>
              <w:spacing w:after="120"/>
              <w:jc w:val="center"/>
              <w:rPr>
                <w:sz w:val="20"/>
              </w:rPr>
            </w:pPr>
            <w:r w:rsidRPr="001A48D3">
              <w:rPr>
                <w:sz w:val="20"/>
              </w:rPr>
              <w:t>579</w:t>
            </w:r>
          </w:p>
        </w:tc>
        <w:tc>
          <w:tcPr>
            <w:tcW w:w="2268" w:type="dxa"/>
            <w:tcBorders>
              <w:top w:val="single" w:sz="4" w:space="0" w:color="auto"/>
            </w:tcBorders>
            <w:vAlign w:val="center"/>
          </w:tcPr>
          <w:p w:rsidR="0036020F" w:rsidRPr="001A48D3" w:rsidRDefault="0036020F" w:rsidP="00C4701A">
            <w:pPr>
              <w:spacing w:after="120"/>
              <w:jc w:val="center"/>
              <w:rPr>
                <w:sz w:val="20"/>
              </w:rPr>
            </w:pPr>
            <w:r w:rsidRPr="001A48D3">
              <w:rPr>
                <w:sz w:val="20"/>
              </w:rPr>
              <w:t>1.37</w:t>
            </w:r>
          </w:p>
        </w:tc>
      </w:tr>
      <w:tr w:rsidR="0036020F" w:rsidRPr="001A48D3" w:rsidTr="00150E89">
        <w:tc>
          <w:tcPr>
            <w:tcW w:w="2660" w:type="dxa"/>
            <w:tcBorders>
              <w:bottom w:val="single" w:sz="4" w:space="0" w:color="auto"/>
            </w:tcBorders>
            <w:vAlign w:val="center"/>
          </w:tcPr>
          <w:p w:rsidR="0036020F" w:rsidRPr="001A48D3" w:rsidRDefault="0036020F" w:rsidP="00C4701A">
            <w:pPr>
              <w:spacing w:after="120"/>
              <w:rPr>
                <w:sz w:val="20"/>
              </w:rPr>
            </w:pPr>
            <w:r w:rsidRPr="001A48D3">
              <w:rPr>
                <w:sz w:val="20"/>
              </w:rPr>
              <w:t>30-year evaluation period</w:t>
            </w:r>
            <w:r w:rsidR="00150E89" w:rsidRPr="001A48D3">
              <w:rPr>
                <w:sz w:val="20"/>
              </w:rPr>
              <w:t xml:space="preserve"> (end 2040)</w:t>
            </w:r>
          </w:p>
        </w:tc>
        <w:tc>
          <w:tcPr>
            <w:tcW w:w="2693" w:type="dxa"/>
            <w:tcBorders>
              <w:bottom w:val="single" w:sz="4" w:space="0" w:color="auto"/>
            </w:tcBorders>
            <w:vAlign w:val="center"/>
          </w:tcPr>
          <w:p w:rsidR="0036020F" w:rsidRPr="001A48D3" w:rsidRDefault="0036020F" w:rsidP="00C4701A">
            <w:pPr>
              <w:spacing w:after="120"/>
              <w:jc w:val="center"/>
              <w:rPr>
                <w:sz w:val="20"/>
              </w:rPr>
            </w:pPr>
            <w:r w:rsidRPr="001A48D3">
              <w:rPr>
                <w:sz w:val="20"/>
              </w:rPr>
              <w:t>1,250</w:t>
            </w:r>
          </w:p>
        </w:tc>
        <w:tc>
          <w:tcPr>
            <w:tcW w:w="2268" w:type="dxa"/>
            <w:tcBorders>
              <w:bottom w:val="single" w:sz="4" w:space="0" w:color="auto"/>
            </w:tcBorders>
            <w:vAlign w:val="center"/>
          </w:tcPr>
          <w:p w:rsidR="0036020F" w:rsidRPr="001A48D3" w:rsidRDefault="0036020F" w:rsidP="00C4701A">
            <w:pPr>
              <w:spacing w:after="120"/>
              <w:jc w:val="center"/>
              <w:rPr>
                <w:sz w:val="20"/>
              </w:rPr>
            </w:pPr>
            <w:r w:rsidRPr="001A48D3">
              <w:rPr>
                <w:sz w:val="20"/>
              </w:rPr>
              <w:t>1.51</w:t>
            </w:r>
          </w:p>
        </w:tc>
      </w:tr>
    </w:tbl>
    <w:p w:rsidR="00A01ECA" w:rsidRPr="001A48D3" w:rsidRDefault="00A01ECA" w:rsidP="00B52F7D">
      <w:pPr>
        <w:pStyle w:val="Heading3"/>
      </w:pPr>
      <w:bookmarkStart w:id="169" w:name="_Toc430182625"/>
      <w:r w:rsidRPr="001A48D3">
        <w:t>Changes to discount rates</w:t>
      </w:r>
      <w:bookmarkEnd w:id="169"/>
    </w:p>
    <w:p w:rsidR="00A01ECA" w:rsidRPr="001A48D3" w:rsidRDefault="00A01ECA" w:rsidP="00C4701A">
      <w:pPr>
        <w:spacing w:after="120"/>
      </w:pPr>
      <w:r w:rsidRPr="001A48D3">
        <w:t>The results of sensitivity testing in relation to the discount rates are shown in Table 1</w:t>
      </w:r>
      <w:r w:rsidR="0036020F" w:rsidRPr="001A48D3">
        <w:t>4</w:t>
      </w:r>
      <w:r w:rsidRPr="001A48D3">
        <w:t xml:space="preserve">. </w:t>
      </w:r>
      <w:r w:rsidR="00644284" w:rsidRPr="001A48D3">
        <w:t xml:space="preserve"> </w:t>
      </w:r>
      <w:r w:rsidRPr="001A48D3">
        <w:t>With a discount rate of 3</w:t>
      </w:r>
      <w:r w:rsidR="00D56B08" w:rsidRPr="001A48D3">
        <w:t>%</w:t>
      </w:r>
      <w:r w:rsidRPr="001A48D3">
        <w:t xml:space="preserve"> (preferred by BITRE), BCR reaches a value of </w:t>
      </w:r>
      <w:r w:rsidR="00DB57AB" w:rsidRPr="001A48D3">
        <w:t>1.</w:t>
      </w:r>
      <w:r w:rsidR="005E72B9" w:rsidRPr="001A48D3">
        <w:t>8</w:t>
      </w:r>
      <w:r w:rsidR="0061631E" w:rsidRPr="001A48D3">
        <w:t>.</w:t>
      </w:r>
      <w:r w:rsidRPr="001A48D3">
        <w:t xml:space="preserve"> </w:t>
      </w:r>
    </w:p>
    <w:p w:rsidR="00A01ECA" w:rsidRPr="001A48D3" w:rsidRDefault="00A01ECA" w:rsidP="00B52F7D">
      <w:pPr>
        <w:pStyle w:val="Heading3"/>
      </w:pPr>
      <w:bookmarkStart w:id="170" w:name="_Toc430182626"/>
      <w:r w:rsidRPr="001A48D3">
        <w:t>Table 1</w:t>
      </w:r>
      <w:r w:rsidR="0036020F" w:rsidRPr="001A48D3">
        <w:t>4</w:t>
      </w:r>
      <w:r w:rsidRPr="001A48D3">
        <w:tab/>
        <w:t>Changes to Discount Rates</w:t>
      </w:r>
      <w:bookmarkEnd w:id="170"/>
    </w:p>
    <w:tbl>
      <w:tblPr>
        <w:tblW w:w="0" w:type="auto"/>
        <w:tblLook w:val="04A0" w:firstRow="1" w:lastRow="0" w:firstColumn="1" w:lastColumn="0" w:noHBand="0" w:noVBand="1"/>
      </w:tblPr>
      <w:tblGrid>
        <w:gridCol w:w="2518"/>
        <w:gridCol w:w="2835"/>
        <w:gridCol w:w="2268"/>
      </w:tblGrid>
      <w:tr w:rsidR="00A01ECA" w:rsidRPr="001A48D3" w:rsidTr="00A01ECA">
        <w:tc>
          <w:tcPr>
            <w:tcW w:w="2518" w:type="dxa"/>
            <w:tcBorders>
              <w:top w:val="single" w:sz="4" w:space="0" w:color="auto"/>
              <w:bottom w:val="single" w:sz="4" w:space="0" w:color="auto"/>
            </w:tcBorders>
            <w:vAlign w:val="center"/>
          </w:tcPr>
          <w:p w:rsidR="00A01ECA" w:rsidRPr="001A48D3" w:rsidRDefault="00A01ECA" w:rsidP="00C4701A">
            <w:pPr>
              <w:spacing w:after="120"/>
              <w:jc w:val="center"/>
              <w:rPr>
                <w:sz w:val="20"/>
              </w:rPr>
            </w:pPr>
          </w:p>
        </w:tc>
        <w:tc>
          <w:tcPr>
            <w:tcW w:w="2835" w:type="dxa"/>
            <w:tcBorders>
              <w:top w:val="single" w:sz="4" w:space="0" w:color="auto"/>
              <w:bottom w:val="single" w:sz="4" w:space="0" w:color="auto"/>
            </w:tcBorders>
            <w:vAlign w:val="center"/>
          </w:tcPr>
          <w:p w:rsidR="00A01ECA" w:rsidRPr="001A48D3" w:rsidRDefault="00A01ECA" w:rsidP="00C4701A">
            <w:pPr>
              <w:spacing w:after="120"/>
              <w:jc w:val="center"/>
              <w:rPr>
                <w:sz w:val="20"/>
              </w:rPr>
            </w:pPr>
            <w:r w:rsidRPr="001A48D3">
              <w:rPr>
                <w:sz w:val="20"/>
              </w:rPr>
              <w:t>Net Present Values</w:t>
            </w:r>
            <w:r w:rsidRPr="001A48D3">
              <w:rPr>
                <w:sz w:val="20"/>
              </w:rPr>
              <w:br/>
              <w:t>($m)</w:t>
            </w:r>
          </w:p>
        </w:tc>
        <w:tc>
          <w:tcPr>
            <w:tcW w:w="2268" w:type="dxa"/>
            <w:tcBorders>
              <w:top w:val="single" w:sz="4" w:space="0" w:color="auto"/>
              <w:bottom w:val="single" w:sz="4" w:space="0" w:color="auto"/>
            </w:tcBorders>
            <w:vAlign w:val="center"/>
          </w:tcPr>
          <w:p w:rsidR="00A01ECA" w:rsidRPr="001A48D3" w:rsidRDefault="00A01ECA" w:rsidP="00C4701A">
            <w:pPr>
              <w:spacing w:after="120"/>
              <w:jc w:val="center"/>
              <w:rPr>
                <w:sz w:val="20"/>
              </w:rPr>
            </w:pPr>
            <w:r w:rsidRPr="001A48D3">
              <w:rPr>
                <w:sz w:val="20"/>
              </w:rPr>
              <w:t>Benefit–cost Ratio</w:t>
            </w:r>
          </w:p>
        </w:tc>
      </w:tr>
      <w:tr w:rsidR="00A01ECA" w:rsidRPr="001A48D3" w:rsidTr="00A01ECA">
        <w:tc>
          <w:tcPr>
            <w:tcW w:w="2518" w:type="dxa"/>
            <w:tcBorders>
              <w:top w:val="single" w:sz="4" w:space="0" w:color="auto"/>
            </w:tcBorders>
            <w:vAlign w:val="center"/>
          </w:tcPr>
          <w:p w:rsidR="00A01ECA" w:rsidRPr="001A48D3" w:rsidRDefault="00A01ECA" w:rsidP="00C4701A">
            <w:pPr>
              <w:spacing w:before="60" w:after="120"/>
              <w:rPr>
                <w:sz w:val="20"/>
              </w:rPr>
            </w:pPr>
            <w:r w:rsidRPr="001A48D3">
              <w:rPr>
                <w:sz w:val="20"/>
              </w:rPr>
              <w:t>Mean (7%)</w:t>
            </w:r>
          </w:p>
        </w:tc>
        <w:tc>
          <w:tcPr>
            <w:tcW w:w="2835" w:type="dxa"/>
            <w:tcBorders>
              <w:top w:val="single" w:sz="4" w:space="0" w:color="auto"/>
            </w:tcBorders>
            <w:vAlign w:val="center"/>
          </w:tcPr>
          <w:p w:rsidR="00A01ECA" w:rsidRPr="001A48D3" w:rsidRDefault="0036020F" w:rsidP="00C4701A">
            <w:pPr>
              <w:spacing w:before="60" w:after="120"/>
              <w:jc w:val="center"/>
              <w:rPr>
                <w:sz w:val="20"/>
              </w:rPr>
            </w:pPr>
            <w:r w:rsidRPr="001A48D3">
              <w:rPr>
                <w:sz w:val="20"/>
              </w:rPr>
              <w:t>579</w:t>
            </w:r>
          </w:p>
        </w:tc>
        <w:tc>
          <w:tcPr>
            <w:tcW w:w="2268" w:type="dxa"/>
            <w:tcBorders>
              <w:top w:val="single" w:sz="4" w:space="0" w:color="auto"/>
            </w:tcBorders>
            <w:vAlign w:val="center"/>
          </w:tcPr>
          <w:p w:rsidR="00A01ECA" w:rsidRPr="001A48D3" w:rsidRDefault="0036020F" w:rsidP="00C4701A">
            <w:pPr>
              <w:spacing w:before="60" w:after="120"/>
              <w:jc w:val="center"/>
              <w:rPr>
                <w:sz w:val="20"/>
              </w:rPr>
            </w:pPr>
            <w:r w:rsidRPr="001A48D3">
              <w:rPr>
                <w:sz w:val="20"/>
              </w:rPr>
              <w:t>1.37</w:t>
            </w:r>
          </w:p>
        </w:tc>
      </w:tr>
      <w:tr w:rsidR="00A01ECA" w:rsidRPr="001A48D3" w:rsidTr="00A01ECA">
        <w:tc>
          <w:tcPr>
            <w:tcW w:w="2518" w:type="dxa"/>
            <w:vAlign w:val="center"/>
          </w:tcPr>
          <w:p w:rsidR="00A01ECA" w:rsidRPr="001A48D3" w:rsidRDefault="00A01ECA" w:rsidP="00C4701A">
            <w:pPr>
              <w:spacing w:before="60" w:after="120"/>
              <w:rPr>
                <w:sz w:val="20"/>
              </w:rPr>
            </w:pPr>
            <w:r w:rsidRPr="001A48D3">
              <w:rPr>
                <w:sz w:val="20"/>
              </w:rPr>
              <w:t>Low (3%)</w:t>
            </w:r>
          </w:p>
        </w:tc>
        <w:tc>
          <w:tcPr>
            <w:tcW w:w="2835" w:type="dxa"/>
            <w:vAlign w:val="center"/>
          </w:tcPr>
          <w:p w:rsidR="00A01ECA" w:rsidRPr="001A48D3" w:rsidRDefault="0036020F" w:rsidP="00C4701A">
            <w:pPr>
              <w:spacing w:before="60" w:after="120"/>
              <w:jc w:val="center"/>
              <w:rPr>
                <w:sz w:val="20"/>
              </w:rPr>
            </w:pPr>
            <w:r w:rsidRPr="001A48D3">
              <w:rPr>
                <w:sz w:val="20"/>
              </w:rPr>
              <w:t>1,576</w:t>
            </w:r>
          </w:p>
        </w:tc>
        <w:tc>
          <w:tcPr>
            <w:tcW w:w="2268" w:type="dxa"/>
            <w:vAlign w:val="center"/>
          </w:tcPr>
          <w:p w:rsidR="00A01ECA" w:rsidRPr="001A48D3" w:rsidRDefault="0036020F" w:rsidP="00C4701A">
            <w:pPr>
              <w:spacing w:before="60" w:after="120"/>
              <w:jc w:val="center"/>
              <w:rPr>
                <w:sz w:val="20"/>
              </w:rPr>
            </w:pPr>
            <w:r w:rsidRPr="001A48D3">
              <w:rPr>
                <w:sz w:val="20"/>
              </w:rPr>
              <w:t>1.77</w:t>
            </w:r>
          </w:p>
        </w:tc>
      </w:tr>
      <w:tr w:rsidR="00A01ECA" w:rsidRPr="001A48D3" w:rsidTr="00A01ECA">
        <w:tc>
          <w:tcPr>
            <w:tcW w:w="2518" w:type="dxa"/>
            <w:tcBorders>
              <w:bottom w:val="single" w:sz="4" w:space="0" w:color="auto"/>
            </w:tcBorders>
            <w:vAlign w:val="center"/>
          </w:tcPr>
          <w:p w:rsidR="00A01ECA" w:rsidRPr="001A48D3" w:rsidRDefault="00A01ECA" w:rsidP="00C4701A">
            <w:pPr>
              <w:spacing w:before="60" w:after="120"/>
              <w:rPr>
                <w:sz w:val="20"/>
              </w:rPr>
            </w:pPr>
            <w:r w:rsidRPr="001A48D3">
              <w:rPr>
                <w:sz w:val="20"/>
              </w:rPr>
              <w:t>High (11%)</w:t>
            </w:r>
          </w:p>
        </w:tc>
        <w:tc>
          <w:tcPr>
            <w:tcW w:w="2835" w:type="dxa"/>
            <w:tcBorders>
              <w:bottom w:val="single" w:sz="4" w:space="0" w:color="auto"/>
            </w:tcBorders>
            <w:vAlign w:val="center"/>
          </w:tcPr>
          <w:p w:rsidR="00A01ECA" w:rsidRPr="001A48D3" w:rsidRDefault="0036020F" w:rsidP="00C4701A">
            <w:pPr>
              <w:spacing w:before="60" w:after="120"/>
              <w:jc w:val="center"/>
              <w:rPr>
                <w:sz w:val="20"/>
              </w:rPr>
            </w:pPr>
            <w:r w:rsidRPr="001A48D3">
              <w:rPr>
                <w:sz w:val="20"/>
              </w:rPr>
              <w:t>132</w:t>
            </w:r>
          </w:p>
        </w:tc>
        <w:tc>
          <w:tcPr>
            <w:tcW w:w="2268" w:type="dxa"/>
            <w:tcBorders>
              <w:bottom w:val="single" w:sz="4" w:space="0" w:color="auto"/>
            </w:tcBorders>
            <w:vAlign w:val="center"/>
          </w:tcPr>
          <w:p w:rsidR="00A01ECA" w:rsidRPr="001A48D3" w:rsidRDefault="0036020F" w:rsidP="00C4701A">
            <w:pPr>
              <w:spacing w:before="60" w:after="120"/>
              <w:jc w:val="center"/>
              <w:rPr>
                <w:sz w:val="20"/>
              </w:rPr>
            </w:pPr>
            <w:r w:rsidRPr="001A48D3">
              <w:rPr>
                <w:sz w:val="20"/>
              </w:rPr>
              <w:t>1.11</w:t>
            </w:r>
          </w:p>
        </w:tc>
      </w:tr>
    </w:tbl>
    <w:p w:rsidR="002E5D02" w:rsidRPr="002E5D02" w:rsidRDefault="00A01ECA" w:rsidP="00B52F7D">
      <w:r w:rsidRPr="002E5D02">
        <w:br w:type="page"/>
      </w:r>
    </w:p>
    <w:p w:rsidR="00A01ECA" w:rsidRPr="001A48D3" w:rsidRDefault="00226824" w:rsidP="00B52F7D">
      <w:pPr>
        <w:pStyle w:val="Heading3"/>
      </w:pPr>
      <w:bookmarkStart w:id="171" w:name="_Toc430182627"/>
      <w:r w:rsidRPr="001A48D3">
        <w:lastRenderedPageBreak/>
        <w:t>BCA R</w:t>
      </w:r>
      <w:r w:rsidR="00A01ECA" w:rsidRPr="001A48D3">
        <w:t>eferences</w:t>
      </w:r>
      <w:bookmarkEnd w:id="171"/>
    </w:p>
    <w:p w:rsidR="00A01ECA" w:rsidRPr="001A48D3" w:rsidRDefault="00A01ECA" w:rsidP="00C4701A">
      <w:pPr>
        <w:spacing w:after="120"/>
        <w:ind w:left="567" w:hanging="567"/>
        <w:rPr>
          <w:sz w:val="20"/>
        </w:rPr>
      </w:pPr>
      <w:r w:rsidRPr="001A48D3">
        <w:rPr>
          <w:sz w:val="20"/>
        </w:rPr>
        <w:t xml:space="preserve">Beer, T. 2002, </w:t>
      </w:r>
      <w:r w:rsidRPr="001A48D3">
        <w:rPr>
          <w:i/>
          <w:sz w:val="20"/>
        </w:rPr>
        <w:t>Valuation of Pollutants Emitted by Road Transport into the Australian Atmosphere</w:t>
      </w:r>
      <w:r w:rsidRPr="001A48D3">
        <w:rPr>
          <w:sz w:val="20"/>
        </w:rPr>
        <w:t>, Proceedings of the 16</w:t>
      </w:r>
      <w:r w:rsidRPr="001A48D3">
        <w:rPr>
          <w:sz w:val="20"/>
          <w:vertAlign w:val="superscript"/>
        </w:rPr>
        <w:t>th</w:t>
      </w:r>
      <w:r w:rsidRPr="001A48D3">
        <w:rPr>
          <w:sz w:val="20"/>
        </w:rPr>
        <w:t xml:space="preserve"> International Clean Air &amp; Environment Conference, New Zealand, August.</w:t>
      </w:r>
    </w:p>
    <w:p w:rsidR="00A01ECA" w:rsidRPr="001A48D3" w:rsidRDefault="00A01ECA" w:rsidP="00C4701A">
      <w:pPr>
        <w:spacing w:after="120"/>
        <w:ind w:left="567" w:hanging="567"/>
        <w:rPr>
          <w:sz w:val="20"/>
        </w:rPr>
      </w:pPr>
      <w:r w:rsidRPr="001A48D3">
        <w:rPr>
          <w:sz w:val="20"/>
        </w:rPr>
        <w:t xml:space="preserve">BTRE 2002, </w:t>
      </w:r>
      <w:r w:rsidRPr="001A48D3">
        <w:rPr>
          <w:i/>
          <w:sz w:val="20"/>
        </w:rPr>
        <w:t>Greenhouse Gas Emissions from Transport: Australian Trends to 2020</w:t>
      </w:r>
      <w:r w:rsidRPr="001A48D3">
        <w:rPr>
          <w:sz w:val="20"/>
        </w:rPr>
        <w:t>, Report 107, Canberra.</w:t>
      </w:r>
    </w:p>
    <w:p w:rsidR="00A01ECA" w:rsidRPr="001A48D3" w:rsidRDefault="00A01ECA" w:rsidP="00C4701A">
      <w:pPr>
        <w:spacing w:after="120"/>
        <w:ind w:left="567" w:hanging="567"/>
        <w:rPr>
          <w:sz w:val="20"/>
        </w:rPr>
      </w:pPr>
      <w:r w:rsidRPr="001A48D3">
        <w:rPr>
          <w:sz w:val="20"/>
        </w:rPr>
        <w:t xml:space="preserve">BTRE 2003, </w:t>
      </w:r>
      <w:r w:rsidRPr="001A48D3">
        <w:rPr>
          <w:i/>
          <w:sz w:val="20"/>
        </w:rPr>
        <w:t>Urban Pollutant Emissions from Motor Vehicles: Australian Trends to 2020</w:t>
      </w:r>
      <w:r w:rsidRPr="001A48D3">
        <w:rPr>
          <w:sz w:val="20"/>
        </w:rPr>
        <w:t xml:space="preserve">, Commissioned report available at </w:t>
      </w:r>
      <w:hyperlink r:id="rId26" w:history="1">
        <w:r w:rsidRPr="001A48D3">
          <w:rPr>
            <w:rStyle w:val="Hyperlink"/>
            <w:color w:val="auto"/>
            <w:sz w:val="20"/>
          </w:rPr>
          <w:t>http://www.bitre.gov.au/info.aspx?ResourceId=136&amp;NodeId=16</w:t>
        </w:r>
      </w:hyperlink>
      <w:r w:rsidRPr="001A48D3">
        <w:rPr>
          <w:sz w:val="20"/>
        </w:rPr>
        <w:t xml:space="preserve"> </w:t>
      </w:r>
    </w:p>
    <w:p w:rsidR="00A01ECA" w:rsidRPr="001A48D3" w:rsidRDefault="00A01ECA" w:rsidP="00C4701A">
      <w:pPr>
        <w:spacing w:after="120"/>
        <w:ind w:left="567" w:hanging="567"/>
        <w:rPr>
          <w:sz w:val="20"/>
        </w:rPr>
      </w:pPr>
      <w:r w:rsidRPr="001A48D3">
        <w:rPr>
          <w:sz w:val="20"/>
        </w:rPr>
        <w:t xml:space="preserve">BTRE 2005, </w:t>
      </w:r>
      <w:r w:rsidRPr="001A48D3">
        <w:rPr>
          <w:i/>
          <w:sz w:val="20"/>
        </w:rPr>
        <w:t>Health Impacts of Transport Emissions in Australia: Economic Costs</w:t>
      </w:r>
      <w:r w:rsidRPr="001A48D3">
        <w:rPr>
          <w:sz w:val="20"/>
        </w:rPr>
        <w:t>, BTRE Working Paper 63, Canberra.</w:t>
      </w:r>
    </w:p>
    <w:p w:rsidR="00A01ECA" w:rsidRPr="001A48D3" w:rsidRDefault="00A01ECA" w:rsidP="00C4701A">
      <w:pPr>
        <w:spacing w:after="120"/>
        <w:ind w:left="567" w:hanging="567"/>
        <w:rPr>
          <w:sz w:val="20"/>
        </w:rPr>
      </w:pPr>
      <w:r w:rsidRPr="001A48D3">
        <w:rPr>
          <w:sz w:val="20"/>
        </w:rPr>
        <w:t xml:space="preserve">BTRE 2006, </w:t>
      </w:r>
      <w:r w:rsidRPr="001A48D3">
        <w:rPr>
          <w:i/>
          <w:sz w:val="20"/>
        </w:rPr>
        <w:t>Greenhouse Gas Emissions From Australian Transport: Base Case Projections to 2020</w:t>
      </w:r>
      <w:r w:rsidRPr="001A48D3">
        <w:rPr>
          <w:sz w:val="20"/>
        </w:rPr>
        <w:t xml:space="preserve">, Commissioned report available at </w:t>
      </w:r>
      <w:hyperlink r:id="rId27" w:history="1">
        <w:r w:rsidRPr="001A48D3">
          <w:rPr>
            <w:rStyle w:val="Hyperlink"/>
            <w:color w:val="auto"/>
            <w:sz w:val="20"/>
          </w:rPr>
          <w:t>http://www.bitre.gov.au/info.aspx?ResourceId=134&amp;NodeId=16</w:t>
        </w:r>
      </w:hyperlink>
      <w:r w:rsidRPr="001A48D3">
        <w:rPr>
          <w:sz w:val="20"/>
        </w:rPr>
        <w:t xml:space="preserve"> </w:t>
      </w:r>
    </w:p>
    <w:p w:rsidR="00A01ECA" w:rsidRPr="001A48D3" w:rsidRDefault="00A01ECA" w:rsidP="00C4701A">
      <w:pPr>
        <w:spacing w:after="120"/>
        <w:ind w:left="567" w:hanging="567"/>
        <w:rPr>
          <w:sz w:val="20"/>
        </w:rPr>
      </w:pPr>
      <w:r w:rsidRPr="001A48D3">
        <w:rPr>
          <w:sz w:val="20"/>
        </w:rPr>
        <w:t xml:space="preserve">BTRE 2007, </w:t>
      </w:r>
      <w:r w:rsidRPr="001A48D3">
        <w:rPr>
          <w:i/>
          <w:sz w:val="20"/>
        </w:rPr>
        <w:t>Estimating Urban Traffic and Congestion Cost Trends for Australian Cities</w:t>
      </w:r>
      <w:r w:rsidRPr="001A48D3">
        <w:rPr>
          <w:sz w:val="20"/>
        </w:rPr>
        <w:t>, Working Paper 71, Canberra.</w:t>
      </w:r>
    </w:p>
    <w:p w:rsidR="00A01ECA" w:rsidRPr="001A48D3" w:rsidRDefault="00A01ECA" w:rsidP="00C4701A">
      <w:pPr>
        <w:spacing w:after="120"/>
        <w:ind w:left="567" w:hanging="567"/>
        <w:rPr>
          <w:sz w:val="20"/>
        </w:rPr>
      </w:pPr>
      <w:r w:rsidRPr="001A48D3">
        <w:rPr>
          <w:sz w:val="20"/>
        </w:rPr>
        <w:t xml:space="preserve">Coffey Geosciences Pty Ltd 2003, </w:t>
      </w:r>
      <w:r w:rsidRPr="001A48D3">
        <w:rPr>
          <w:i/>
          <w:sz w:val="20"/>
        </w:rPr>
        <w:t>Fuel Quality and Vehicle Emissions Standards – Cost Benefit Analysis</w:t>
      </w:r>
      <w:r w:rsidRPr="001A48D3">
        <w:rPr>
          <w:sz w:val="20"/>
        </w:rPr>
        <w:t>, a report prepared for the Department of Environment and Heritage.</w:t>
      </w:r>
    </w:p>
    <w:p w:rsidR="00A01ECA" w:rsidRPr="001A48D3" w:rsidRDefault="00A01ECA" w:rsidP="00C4701A">
      <w:pPr>
        <w:spacing w:after="120"/>
        <w:ind w:left="567" w:hanging="567"/>
      </w:pPr>
      <w:r w:rsidRPr="001A48D3">
        <w:rPr>
          <w:sz w:val="20"/>
        </w:rPr>
        <w:t xml:space="preserve">Commission of the European Communities (CEC) 2005), </w:t>
      </w:r>
      <w:r w:rsidRPr="001A48D3">
        <w:rPr>
          <w:i/>
          <w:sz w:val="20"/>
        </w:rPr>
        <w:t xml:space="preserve">Annex to the Proposal for a Regulation of the European Parliament and of the Council – Impact Assessment, </w:t>
      </w:r>
      <w:r w:rsidRPr="001A48D3">
        <w:rPr>
          <w:sz w:val="20"/>
        </w:rPr>
        <w:t xml:space="preserve">COM (2005)683 Final 21.12.2005 at: </w:t>
      </w:r>
      <w:hyperlink r:id="rId28" w:history="1">
        <w:r w:rsidRPr="001A48D3">
          <w:rPr>
            <w:rStyle w:val="Hyperlink"/>
            <w:color w:val="auto"/>
            <w:sz w:val="20"/>
          </w:rPr>
          <w:t>http://www.europarl.europa.eu/registre/docs_autres_institutions/commission_europeenne/sec/2005/1745/COM_SEC(2005)1745_EN.pdf</w:t>
        </w:r>
      </w:hyperlink>
      <w:r w:rsidRPr="001A48D3">
        <w:t>.</w:t>
      </w:r>
    </w:p>
    <w:p w:rsidR="00A01ECA" w:rsidRPr="001A48D3" w:rsidRDefault="00A01ECA" w:rsidP="00C4701A">
      <w:pPr>
        <w:spacing w:after="120"/>
        <w:ind w:left="567" w:hanging="567"/>
        <w:rPr>
          <w:sz w:val="20"/>
        </w:rPr>
      </w:pPr>
      <w:proofErr w:type="spellStart"/>
      <w:r w:rsidRPr="001A48D3">
        <w:rPr>
          <w:sz w:val="20"/>
        </w:rPr>
        <w:t>Jalaludin</w:t>
      </w:r>
      <w:proofErr w:type="spellEnd"/>
      <w:r w:rsidRPr="001A48D3">
        <w:rPr>
          <w:sz w:val="20"/>
        </w:rPr>
        <w:t xml:space="preserve"> B., </w:t>
      </w:r>
      <w:proofErr w:type="spellStart"/>
      <w:r w:rsidRPr="001A48D3">
        <w:rPr>
          <w:sz w:val="20"/>
        </w:rPr>
        <w:t>Salkeld</w:t>
      </w:r>
      <w:proofErr w:type="spellEnd"/>
      <w:r w:rsidRPr="001A48D3">
        <w:rPr>
          <w:sz w:val="20"/>
        </w:rPr>
        <w:t xml:space="preserve"> G., Morgan G., Beer T. and </w:t>
      </w:r>
      <w:proofErr w:type="spellStart"/>
      <w:r w:rsidRPr="001A48D3">
        <w:rPr>
          <w:sz w:val="20"/>
        </w:rPr>
        <w:t>Nisar</w:t>
      </w:r>
      <w:proofErr w:type="spellEnd"/>
      <w:r w:rsidRPr="001A48D3">
        <w:rPr>
          <w:sz w:val="20"/>
        </w:rPr>
        <w:t xml:space="preserve"> Y. B. 2009, </w:t>
      </w:r>
      <w:r w:rsidRPr="001A48D3">
        <w:rPr>
          <w:i/>
          <w:sz w:val="20"/>
        </w:rPr>
        <w:t>A Methodology for Cost-Benefit Analysis of Ambient Air Pollution Health Impacts,</w:t>
      </w:r>
      <w:r w:rsidRPr="001A48D3">
        <w:rPr>
          <w:sz w:val="20"/>
        </w:rPr>
        <w:t xml:space="preserve"> Final Report, funded by the Department of the Environment, Water, Heritage and the Arts though the Clean Air Research Program.</w:t>
      </w:r>
    </w:p>
    <w:p w:rsidR="00A01ECA" w:rsidRPr="001A48D3" w:rsidRDefault="00A01ECA" w:rsidP="00C4701A">
      <w:pPr>
        <w:spacing w:after="120"/>
        <w:ind w:left="567" w:hanging="567"/>
        <w:rPr>
          <w:sz w:val="20"/>
        </w:rPr>
      </w:pPr>
      <w:r w:rsidRPr="001A48D3">
        <w:rPr>
          <w:sz w:val="20"/>
        </w:rPr>
        <w:t xml:space="preserve">European Commission 2006, </w:t>
      </w:r>
      <w:r w:rsidRPr="001A48D3">
        <w:rPr>
          <w:i/>
          <w:sz w:val="20"/>
        </w:rPr>
        <w:t>Impact Assessment for Euro 6 emission Limits for Light Duty Vehicles</w:t>
      </w:r>
      <w:r w:rsidRPr="001A48D3">
        <w:rPr>
          <w:sz w:val="20"/>
        </w:rPr>
        <w:t xml:space="preserve">, Commission Staff Working Document, 20.09.2006 at: </w:t>
      </w:r>
      <w:hyperlink r:id="rId29" w:history="1">
        <w:r w:rsidRPr="001A48D3">
          <w:rPr>
            <w:rStyle w:val="Hyperlink"/>
            <w:color w:val="auto"/>
            <w:sz w:val="20"/>
          </w:rPr>
          <w:t>http://ec.europa.eu/enterprise/</w:t>
        </w:r>
        <w:r w:rsidRPr="001A48D3">
          <w:rPr>
            <w:rStyle w:val="Hyperlink"/>
            <w:color w:val="auto"/>
            <w:sz w:val="20"/>
          </w:rPr>
          <w:br/>
          <w:t>automotive/pagesbackground/pollutant_emission/impact_assessment_euro6.pdf</w:t>
        </w:r>
      </w:hyperlink>
      <w:r w:rsidRPr="001A48D3">
        <w:rPr>
          <w:sz w:val="20"/>
        </w:rPr>
        <w:t>.</w:t>
      </w:r>
    </w:p>
    <w:p w:rsidR="00A01ECA" w:rsidRPr="001A48D3" w:rsidRDefault="00A01ECA" w:rsidP="00C4701A">
      <w:pPr>
        <w:spacing w:after="120"/>
        <w:ind w:left="567" w:hanging="567"/>
        <w:rPr>
          <w:sz w:val="20"/>
        </w:rPr>
      </w:pPr>
      <w:r w:rsidRPr="001A48D3">
        <w:rPr>
          <w:sz w:val="20"/>
        </w:rPr>
        <w:t xml:space="preserve">Office of Best Practice Regulation 2007, </w:t>
      </w:r>
      <w:r w:rsidRPr="001A48D3">
        <w:rPr>
          <w:i/>
          <w:sz w:val="20"/>
        </w:rPr>
        <w:t>Best Practice Regulation Handbook</w:t>
      </w:r>
      <w:r w:rsidRPr="001A48D3">
        <w:rPr>
          <w:sz w:val="20"/>
        </w:rPr>
        <w:t>, Australian Government, Canberra.</w:t>
      </w:r>
    </w:p>
    <w:p w:rsidR="00A01ECA" w:rsidRPr="001A48D3" w:rsidRDefault="00A01ECA" w:rsidP="00C4701A">
      <w:pPr>
        <w:spacing w:after="120"/>
        <w:ind w:left="567" w:hanging="567"/>
        <w:rPr>
          <w:sz w:val="20"/>
        </w:rPr>
      </w:pPr>
      <w:proofErr w:type="spellStart"/>
      <w:r w:rsidRPr="001A48D3">
        <w:rPr>
          <w:sz w:val="20"/>
        </w:rPr>
        <w:t>Watkiss</w:t>
      </w:r>
      <w:proofErr w:type="spellEnd"/>
      <w:r w:rsidRPr="001A48D3">
        <w:rPr>
          <w:sz w:val="20"/>
        </w:rPr>
        <w:t xml:space="preserve">, P. 2002, </w:t>
      </w:r>
      <w:r w:rsidRPr="001A48D3">
        <w:rPr>
          <w:i/>
          <w:sz w:val="20"/>
        </w:rPr>
        <w:t>Fuel Taxation Inquiry: The Air Pollution Costs of Transport in Australia</w:t>
      </w:r>
      <w:r w:rsidRPr="001A48D3">
        <w:rPr>
          <w:sz w:val="20"/>
        </w:rPr>
        <w:t xml:space="preserve">, a report for the Commonwealth of Australia, AEA Technology Environment. </w:t>
      </w:r>
    </w:p>
    <w:p w:rsidR="001B4BEB" w:rsidRPr="001A48D3" w:rsidRDefault="001B4BEB" w:rsidP="00B52F7D">
      <w:pPr>
        <w:pStyle w:val="Heading1"/>
      </w:pPr>
      <w:r w:rsidRPr="001A48D3">
        <w:rPr>
          <w:szCs w:val="24"/>
        </w:rPr>
        <w:br w:type="page"/>
      </w:r>
      <w:bookmarkStart w:id="172" w:name="_Toc430182628"/>
      <w:r w:rsidRPr="001A48D3">
        <w:lastRenderedPageBreak/>
        <w:t xml:space="preserve">Appendix </w:t>
      </w:r>
      <w:r w:rsidR="007D2ECF" w:rsidRPr="001A48D3">
        <w:t>D</w:t>
      </w:r>
      <w:r w:rsidRPr="001A48D3">
        <w:tab/>
        <w:t xml:space="preserve">BITRE </w:t>
      </w:r>
      <w:r w:rsidR="0054288E" w:rsidRPr="001A48D3">
        <w:t xml:space="preserve">response to </w:t>
      </w:r>
      <w:r w:rsidR="00B52F7D">
        <w:t>manufacturer</w:t>
      </w:r>
      <w:r w:rsidR="000A5F1F" w:rsidRPr="001A48D3">
        <w:t xml:space="preserve"> comments on </w:t>
      </w:r>
      <w:proofErr w:type="spellStart"/>
      <w:r w:rsidR="0054288E" w:rsidRPr="001A48D3">
        <w:t>vkt</w:t>
      </w:r>
      <w:proofErr w:type="spellEnd"/>
      <w:r w:rsidR="000A5F1F" w:rsidRPr="001A48D3">
        <w:t xml:space="preserve"> assumptions</w:t>
      </w:r>
      <w:bookmarkEnd w:id="172"/>
      <w:r w:rsidR="000A5F1F" w:rsidRPr="001A48D3">
        <w:t xml:space="preserve"> </w:t>
      </w:r>
    </w:p>
    <w:p w:rsidR="0054288E" w:rsidRPr="001A48D3" w:rsidRDefault="0054288E" w:rsidP="001E1827">
      <w:pPr>
        <w:spacing w:before="240" w:after="120"/>
      </w:pPr>
      <w:r w:rsidRPr="001A48D3">
        <w:t xml:space="preserve">The BITRE’s Vehicle Kilometres Travelled (VKT) projections used for the Benefit-Cost Analysis (BCA) in the RIS are relatively conservative, especially when considered alongside expected strong population growth over the medium-term (e.g. as displayed in recent ABS projections), and are comparable to recent historical trends (where growth rates in light vehicle fleet VKT have averaged about 1.8% per annum over the last couple of decades, even with high fuel prices and low economic growth serving to weaken VKT growth over the last few years).  </w:t>
      </w:r>
    </w:p>
    <w:p w:rsidR="0054288E" w:rsidRPr="001A48D3" w:rsidRDefault="0054288E" w:rsidP="00C4701A">
      <w:pPr>
        <w:spacing w:after="120"/>
      </w:pPr>
      <w:r w:rsidRPr="001A48D3">
        <w:t>The set of ‘business as usual’ (BAU) projections performed for the RIS contained VKT estimates exhibiting approximately 40% growth between 2000 and 2020, which includes approximately 13% of growth estimated to have already occurred (i.e. between 2000 and 2010), and with car fleet VKT then forecast to grow by around 22% between 2010 and 2020 (and with total light vehicle fleet growth of about 24%, after including the contribution of LCVs).  This degree of forecast growth (about 2.1% per annum over the next decade) is somewhat higher than recent levels (where estimated VKT has recorded average annual growth of around 1.5% between 2001 and 2009), but very close to the estimated trend growth of the 1990s (with aggregate VKT growing at just over 2.1% per annum between 1990 and 2000), and lower than that of the first years of the 21</w:t>
      </w:r>
      <w:r w:rsidRPr="001A48D3">
        <w:rPr>
          <w:vertAlign w:val="superscript"/>
        </w:rPr>
        <w:t>st</w:t>
      </w:r>
      <w:r w:rsidRPr="001A48D3">
        <w:t xml:space="preserve"> century (with average growth in total VKT of around 2.4% per annum between 2000 and 2004).</w:t>
      </w:r>
    </w:p>
    <w:p w:rsidR="0054288E" w:rsidRPr="001A48D3" w:rsidRDefault="0054288E" w:rsidP="00C4701A">
      <w:pPr>
        <w:spacing w:after="120"/>
      </w:pPr>
      <w:r w:rsidRPr="001A48D3">
        <w:t>Spikes in oil prices, coupled with the economic downturn following the Global Financial Crisis, have served to dampen transport activity over the last few years – leading to little VKT growth estimated to have occurred between 2005 and 2009. However, the Treasury expects Australia to soon return to trend economic growth, and projects growth rates in real GDP averaging around 3.5% per annum as likely between 2010 and 2020.   Since any decline in average VKT (per light vehicle) in recent years has mostly been due to rises in petrol prices (and, post-2008, the effects of the economic downturn), this would not necessarily be expected to continue in a ‘business-as-usual’ scenario (as specified for the base case projections, incorporating stable oil prices and continuing economic growth). Moreover, a return to trend VKT growth rates should be considered as more likely under such BAU conditions, especially bearing in mind the potential for the return of some currently suppressed travel demand (once that travel again becomes relatively more affordable).</w:t>
      </w:r>
    </w:p>
    <w:p w:rsidR="0054288E" w:rsidRPr="001A48D3" w:rsidRDefault="0054288E" w:rsidP="00C4701A">
      <w:pPr>
        <w:spacing w:after="120"/>
      </w:pPr>
      <w:r w:rsidRPr="001A48D3">
        <w:t xml:space="preserve">The alternative scenario suggested by </w:t>
      </w:r>
      <w:r w:rsidR="000A5F1F" w:rsidRPr="001A48D3">
        <w:t>one</w:t>
      </w:r>
      <w:r w:rsidRPr="001A48D3">
        <w:t xml:space="preserve"> manufacturer for 2010 to 2020 (of vehicle numbers rising by 28% while VKT only increases by 10% to 15%) would be unlikely to qualify as a BAU scenario – since this would result in average annual VKT levels so low as to be unprecedented for modern times (and would result in per car values probably not seen since the days of the 1930s Depression).</w:t>
      </w:r>
    </w:p>
    <w:p w:rsidR="0054288E" w:rsidRPr="001A48D3" w:rsidRDefault="0054288E" w:rsidP="00C4701A">
      <w:pPr>
        <w:spacing w:after="120"/>
        <w:rPr>
          <w:b/>
          <w:bCs/>
        </w:rPr>
      </w:pPr>
      <w:r w:rsidRPr="001A48D3">
        <w:rPr>
          <w:b/>
        </w:rPr>
        <w:t xml:space="preserve">Note that contemporary growth rates in total VKT are in fact considerably lower than those during most of the 1950s to 1970s – and the trend (since about the 1980s) towards gradually slower average growth is expected to continue in the future.  Basically, as </w:t>
      </w:r>
      <w:r w:rsidRPr="001A48D3">
        <w:rPr>
          <w:b/>
        </w:rPr>
        <w:lastRenderedPageBreak/>
        <w:t xml:space="preserve">average income levels (and motor vehicle affordability) has tended to increase over time, average travel per person also tended to increase.  However, there are limits to how far this growth can continue.  Eventually people are spending as much time on daily travel as they are willing to commit – and are loath to spend any more of their limited time budgets on yet more travel, even if incomes do happen to rise further.  Thus, future increases in Australian day-to-day travel are likely to be more directly related to the rate of population increase, and less dependent on increases in general prosperity levels.  Extrapolation of the historical trends implies that saturation in per person (annual short-distance) travel could be virtually achieved in Australia by around 2020.  Thereafter, population increase will tend to be the primary driver of increases in travel.  Yet, at least until then, income increases will likely continue to add to per capita travel, and (in the absence of any strong price rises) total daily vehicle use will probably grow at a faster rate than population. </w:t>
      </w:r>
    </w:p>
    <w:p w:rsidR="0054288E" w:rsidRPr="001A48D3" w:rsidRDefault="0054288E" w:rsidP="00C4701A">
      <w:pPr>
        <w:spacing w:after="120"/>
        <w:rPr>
          <w:b/>
          <w:bCs/>
        </w:rPr>
      </w:pPr>
      <w:r w:rsidRPr="001A48D3">
        <w:rPr>
          <w:b/>
        </w:rPr>
        <w:t>That growth in per capita personal travel is thus likely to be lower in the future, than for the long-term historical trend, and this is already incorporated within BITRE’s BAU modelling.  BITRE projection models also allow for the effects of increasing traffic congestion levels within Australian cities to further dampen latent travel demand levels.  Over the longer term, the projected growth rates in the base case already approach the possible levels suggested by the vehicle manufacturer’s submission (i.e. post-2030, the BAU scenario has total VKT growth slowing to between 10-15% per decade).  This means that even if the current medium term VKT growth rates in the BAU scenario were replaced with the suggested lower rates, the overall results of the BCA would be unlikely to change significantly.</w:t>
      </w:r>
    </w:p>
    <w:p w:rsidR="0054288E" w:rsidRPr="001A48D3" w:rsidRDefault="0054288E" w:rsidP="00C4701A">
      <w:pPr>
        <w:spacing w:after="120"/>
        <w:rPr>
          <w:b/>
        </w:rPr>
      </w:pPr>
      <w:r w:rsidRPr="001A48D3">
        <w:rPr>
          <w:b/>
        </w:rPr>
        <w:t>Furthermore, medium-term growth rates (in total VKT) closer to those suggested would be more likely if the projections were done using non-BAU assumptions. For example, if petrol prices were to rise appreciably, then VKT levels would be expected to decline accordingly (though noting that vehicle use is relatively inelastic – with fuel price elasticity values typically estimated in the order of -0.2). The base case (BAU) specification was for oil prices to remain essentially constant in real terms over the projection period, and in the absence of a strong price signal, substantial reductions in medium-term VKT growth levels should not be expected (and, similarly, BAU scenario settings provide little incentive towards rapid fleet deployment of fuel-saving technologies, such as petrol-electric hybridisation).</w:t>
      </w:r>
    </w:p>
    <w:p w:rsidR="0054288E" w:rsidRPr="001A48D3" w:rsidRDefault="0054288E" w:rsidP="00C4701A">
      <w:pPr>
        <w:spacing w:after="120"/>
        <w:rPr>
          <w:b/>
        </w:rPr>
      </w:pPr>
      <w:r w:rsidRPr="001A48D3">
        <w:rPr>
          <w:b/>
        </w:rPr>
        <w:t xml:space="preserve">Rough partial-equilibrium analysis suggests that if the projections had been done under a </w:t>
      </w:r>
      <w:r w:rsidRPr="001A48D3">
        <w:rPr>
          <w:b/>
          <w:i/>
        </w:rPr>
        <w:t>high</w:t>
      </w:r>
      <w:r w:rsidRPr="001A48D3">
        <w:rPr>
          <w:b/>
        </w:rPr>
        <w:t xml:space="preserve"> fuel price scenario (with real crude oil prices swiftly rising to something like US$130 per barrel), expected VKT growth could slow to levels similar to those suggested by </w:t>
      </w:r>
      <w:r w:rsidR="000A5F1F" w:rsidRPr="001A48D3">
        <w:rPr>
          <w:b/>
        </w:rPr>
        <w:t>the manufacturer</w:t>
      </w:r>
      <w:r w:rsidRPr="001A48D3">
        <w:rPr>
          <w:b/>
        </w:rPr>
        <w:t xml:space="preserve"> (i.e. around 15% growth in total light VKT over the next decade).  Even though reaching such high oil prices is not impossible over the medium-term, more moderate price levels were judged as most appropriate for the default assumption settings underlying a </w:t>
      </w:r>
      <w:r w:rsidR="0057458A" w:rsidRPr="001A48D3">
        <w:rPr>
          <w:b/>
        </w:rPr>
        <w:t>BAU</w:t>
      </w:r>
      <w:r w:rsidRPr="001A48D3">
        <w:rPr>
          <w:b/>
        </w:rPr>
        <w:t xml:space="preserve"> </w:t>
      </w:r>
      <w:r w:rsidR="0057458A" w:rsidRPr="001A48D3">
        <w:rPr>
          <w:b/>
        </w:rPr>
        <w:t xml:space="preserve">base case.  In addition, </w:t>
      </w:r>
      <w:r w:rsidRPr="001A48D3">
        <w:rPr>
          <w:b/>
        </w:rPr>
        <w:t>full analysis of scenarios with such high oil prices can often fall outside the scope of transport fleet specific modelling, such as undertaken for these projections – since the investigation of the effects of severe fuel price rises is more suitable on an economy-wide basis, typically using General Equilibrium Models to a</w:t>
      </w:r>
      <w:r w:rsidR="0057458A" w:rsidRPr="001A48D3">
        <w:rPr>
          <w:b/>
        </w:rPr>
        <w:t>ssess the inflationary impacts.</w:t>
      </w:r>
    </w:p>
    <w:p w:rsidR="0054288E" w:rsidRPr="001A48D3" w:rsidRDefault="0057458A" w:rsidP="00C4701A">
      <w:pPr>
        <w:spacing w:after="120"/>
      </w:pPr>
      <w:r w:rsidRPr="001A48D3">
        <w:t xml:space="preserve">The vehicle manufacturer also questions whether the BITRE estimates are consistent with published data.  It is assumed that this is a reference to the </w:t>
      </w:r>
      <w:r w:rsidR="0054288E" w:rsidRPr="001A48D3">
        <w:t xml:space="preserve">ABS </w:t>
      </w:r>
      <w:r w:rsidR="0054288E" w:rsidRPr="001A48D3">
        <w:rPr>
          <w:i/>
        </w:rPr>
        <w:t>Survey of Motor Vehicle Use</w:t>
      </w:r>
      <w:r w:rsidR="0054288E" w:rsidRPr="001A48D3">
        <w:t xml:space="preserve"> (SMVU), for which the most recent data available refer to the year ending October 2007.  </w:t>
      </w:r>
    </w:p>
    <w:p w:rsidR="0054288E" w:rsidRPr="001A48D3" w:rsidRDefault="0054288E" w:rsidP="00C4701A">
      <w:pPr>
        <w:spacing w:after="120"/>
      </w:pPr>
      <w:r w:rsidRPr="001A48D3">
        <w:lastRenderedPageBreak/>
        <w:t xml:space="preserve">BITRE vehicle fleet dynamics models are fully consistent with the distributions contained within the ABS SMVU datasets – since the SMVU is one of the main data sources against which the BITRE projection models are calibrated. </w:t>
      </w:r>
      <w:r w:rsidR="0057458A" w:rsidRPr="001A48D3">
        <w:t xml:space="preserve"> </w:t>
      </w:r>
      <w:r w:rsidRPr="001A48D3">
        <w:t xml:space="preserve">Not only is BITRE one of the largest users of SMVU statistics – and the associated ABS data from their annual </w:t>
      </w:r>
      <w:r w:rsidRPr="001A48D3">
        <w:rPr>
          <w:i/>
        </w:rPr>
        <w:t>Motor Vehicle Census</w:t>
      </w:r>
      <w:r w:rsidRPr="001A48D3">
        <w:t xml:space="preserve"> (MVC) – but has even aided production of the SMVU, through a variety of methodological appraisals</w:t>
      </w:r>
      <w:r w:rsidR="0057458A" w:rsidRPr="001A48D3">
        <w:t>.  For example</w:t>
      </w:r>
      <w:r w:rsidRPr="001A48D3">
        <w:t>, in 2006, ABS tasked BITRE with conducting a major review of the SMVU data quality, and its comparability with other aggregate</w:t>
      </w:r>
      <w:r w:rsidR="0057458A" w:rsidRPr="001A48D3">
        <w:t xml:space="preserve"> indicators of vehicle activity</w:t>
      </w:r>
      <w:r w:rsidRPr="001A48D3">
        <w:t>.</w:t>
      </w:r>
    </w:p>
    <w:p w:rsidR="0054288E" w:rsidRPr="001A48D3" w:rsidRDefault="0054288E" w:rsidP="00C4701A">
      <w:pPr>
        <w:spacing w:after="120"/>
      </w:pPr>
      <w:r w:rsidRPr="001A48D3">
        <w:t xml:space="preserve">As mentioned above, the moderate decline in average VKT per car (during the period of 2004 to 2007) has already been accounted for within the BITRE modelling, as well as the substantial further decline (probably of the order of 6%) </w:t>
      </w:r>
      <w:r w:rsidR="0057458A" w:rsidRPr="001A48D3">
        <w:t xml:space="preserve">which </w:t>
      </w:r>
      <w:r w:rsidRPr="001A48D3">
        <w:t xml:space="preserve">BITRE estimates </w:t>
      </w:r>
      <w:r w:rsidR="0057458A" w:rsidRPr="001A48D3">
        <w:t>has</w:t>
      </w:r>
      <w:r w:rsidRPr="001A48D3">
        <w:t xml:space="preserve"> occurred during the last couple of years (information which is not available from the SMVU, </w:t>
      </w:r>
      <w:r w:rsidR="0057458A" w:rsidRPr="001A48D3">
        <w:t xml:space="preserve">since it has not been conducted </w:t>
      </w:r>
      <w:r w:rsidRPr="001A48D3">
        <w:t>since 2007).</w:t>
      </w:r>
    </w:p>
    <w:p w:rsidR="0057458A" w:rsidRPr="001A48D3" w:rsidRDefault="0054288E" w:rsidP="00C4701A">
      <w:pPr>
        <w:spacing w:after="120"/>
      </w:pPr>
      <w:r w:rsidRPr="001A48D3">
        <w:t xml:space="preserve">BITRE trend results are based on standardisation of the SMVU values – since, </w:t>
      </w:r>
      <w:r w:rsidR="0057458A" w:rsidRPr="001A48D3">
        <w:t xml:space="preserve">the </w:t>
      </w:r>
      <w:r w:rsidRPr="001A48D3">
        <w:t>published SMVU values are not entirely suitable for compiling time-series or for analysing trends</w:t>
      </w:r>
      <w:r w:rsidR="0057458A" w:rsidRPr="001A48D3">
        <w:t>.  Indeed</w:t>
      </w:r>
      <w:r w:rsidRPr="001A48D3">
        <w:t>, the Introductory and Explanatory Notes of the SMVU specifically warn users that</w:t>
      </w:r>
      <w:r w:rsidR="0057458A" w:rsidRPr="001A48D3">
        <w:t>:</w:t>
      </w:r>
    </w:p>
    <w:p w:rsidR="0054288E" w:rsidRPr="001A48D3" w:rsidRDefault="0054288E" w:rsidP="00C4701A">
      <w:pPr>
        <w:spacing w:after="120"/>
      </w:pPr>
      <w:r w:rsidRPr="001A48D3">
        <w:t>“the survey has not been designed to provide accurate estimates of change... Care should be taken in drawing inferences from changes in data over time as movements may be subject to high relative standard errors...</w:t>
      </w:r>
    </w:p>
    <w:p w:rsidR="0054288E" w:rsidRPr="001A48D3" w:rsidRDefault="0054288E" w:rsidP="00C4701A">
      <w:pPr>
        <w:spacing w:after="120"/>
      </w:pPr>
      <w:r w:rsidRPr="001A48D3">
        <w:t>and</w:t>
      </w:r>
    </w:p>
    <w:p w:rsidR="0054288E" w:rsidRPr="001A48D3" w:rsidRDefault="0054288E" w:rsidP="00C4701A">
      <w:pPr>
        <w:spacing w:after="120"/>
      </w:pPr>
      <w:r w:rsidRPr="001A48D3">
        <w:t xml:space="preserve">“The survey was not designed to produce reliable estimates of annual movements. Changes in data over time may be subject to high RSEs and hence the changes may not be statistically significant.” (ABS 2008, </w:t>
      </w:r>
      <w:proofErr w:type="spellStart"/>
      <w:r w:rsidRPr="001A48D3">
        <w:t>pg</w:t>
      </w:r>
      <w:proofErr w:type="spellEnd"/>
      <w:r w:rsidRPr="001A48D3">
        <w:t xml:space="preserve"> 29)</w:t>
      </w:r>
    </w:p>
    <w:p w:rsidR="0054288E" w:rsidRPr="001A48D3" w:rsidRDefault="0054288E" w:rsidP="00C4701A">
      <w:pPr>
        <w:spacing w:after="120"/>
      </w:pPr>
      <w:r w:rsidRPr="001A48D3">
        <w:t xml:space="preserve">It is also well documented that the published SMVU values (especially for light vehicle travel) tend to </w:t>
      </w:r>
      <w:r w:rsidRPr="001A48D3">
        <w:rPr>
          <w:i/>
        </w:rPr>
        <w:t>underestimate</w:t>
      </w:r>
      <w:r w:rsidRPr="001A48D3">
        <w:t xml:space="preserve"> actual on-road usage – primarily due to non-sampling of newer vehicles (which typically have higher than average utilisation). For example, see the ABS (2006) report </w:t>
      </w:r>
      <w:r w:rsidRPr="001A48D3">
        <w:rPr>
          <w:i/>
        </w:rPr>
        <w:t>Survey of Motor Vehicle Use - An investigation into coherence</w:t>
      </w:r>
      <w:r w:rsidRPr="001A48D3">
        <w:t xml:space="preserve"> (ABS Research Paper, Cat. No.  9208.0.55.005), for a discussion of the typical extent of this underestimation.</w:t>
      </w:r>
    </w:p>
    <w:p w:rsidR="0054288E" w:rsidRPr="001A48D3" w:rsidRDefault="0054288E" w:rsidP="00C4701A">
      <w:pPr>
        <w:spacing w:after="120"/>
      </w:pPr>
      <w:r w:rsidRPr="001A48D3">
        <w:t xml:space="preserve">As the SMVU Technical Notes (ABS 2008, </w:t>
      </w:r>
      <w:proofErr w:type="spellStart"/>
      <w:r w:rsidRPr="001A48D3">
        <w:t>pg</w:t>
      </w:r>
      <w:proofErr w:type="spellEnd"/>
      <w:r w:rsidRPr="001A48D3">
        <w:t xml:space="preserve"> 30) advise</w:t>
      </w:r>
      <w:r w:rsidR="0057458A" w:rsidRPr="001A48D3">
        <w:t xml:space="preserve">  </w:t>
      </w:r>
      <w:r w:rsidRPr="001A48D3">
        <w:t>“</w:t>
      </w:r>
      <w:r w:rsidR="0057458A" w:rsidRPr="001A48D3">
        <w:t>w</w:t>
      </w:r>
      <w:r w:rsidRPr="001A48D3">
        <w:t xml:space="preserve">hen interpreting the results of a survey it is important to take into account factors that may affect the reliability of estimates. </w:t>
      </w:r>
      <w:r w:rsidR="0057458A" w:rsidRPr="001A48D3">
        <w:t xml:space="preserve"> </w:t>
      </w:r>
      <w:r w:rsidRPr="001A48D3">
        <w:t>The survey methodology procedures as well as sampling and non-sampling errors should be considered.”</w:t>
      </w:r>
    </w:p>
    <w:p w:rsidR="00961908" w:rsidRPr="001A48D3" w:rsidRDefault="0054288E" w:rsidP="00C4701A">
      <w:pPr>
        <w:spacing w:after="120"/>
      </w:pPr>
      <w:r w:rsidRPr="001A48D3">
        <w:t xml:space="preserve">To be fully useful for time-series analysis, the raw (or ‘as published’) aggregate estimates from each SMVU are best adjusted for a variety of inconsistencies and possible sampling biases (in particular, to allow for changes over time in vehicle classifications, survey questions or data collection formats, sample sizes and coverage of the vehicle population). </w:t>
      </w:r>
      <w:r w:rsidR="0057458A" w:rsidRPr="001A48D3">
        <w:t xml:space="preserve"> </w:t>
      </w:r>
      <w:r w:rsidRPr="001A48D3">
        <w:t>Several BITRE studies have been devoted to adjusting and standardising the SMVU data values</w:t>
      </w:r>
      <w:r w:rsidR="00961908" w:rsidRPr="001A48D3">
        <w:t>, including:</w:t>
      </w:r>
    </w:p>
    <w:p w:rsidR="00961908" w:rsidRPr="001A48D3" w:rsidRDefault="0054288E" w:rsidP="00C4701A">
      <w:pPr>
        <w:numPr>
          <w:ilvl w:val="0"/>
          <w:numId w:val="39"/>
        </w:numPr>
        <w:spacing w:after="120"/>
      </w:pPr>
      <w:r w:rsidRPr="001A48D3">
        <w:t xml:space="preserve">BTCE 1995, Report 88; </w:t>
      </w:r>
    </w:p>
    <w:p w:rsidR="00961908" w:rsidRPr="001A48D3" w:rsidRDefault="0054288E" w:rsidP="00C4701A">
      <w:pPr>
        <w:numPr>
          <w:ilvl w:val="0"/>
          <w:numId w:val="39"/>
        </w:numPr>
        <w:spacing w:after="120"/>
      </w:pPr>
      <w:r w:rsidRPr="001A48D3">
        <w:t xml:space="preserve">Cosgrove &amp; Mitchell 2001, </w:t>
      </w:r>
      <w:hyperlink r:id="rId30" w:history="1">
        <w:r w:rsidR="00961908" w:rsidRPr="001A48D3">
          <w:rPr>
            <w:rStyle w:val="Hyperlink"/>
            <w:color w:val="auto"/>
            <w:sz w:val="20"/>
          </w:rPr>
          <w:t>www.patrec.org/web_docs/atrf/papers/2001/1426_Cosgrove%20&amp;%20Mitchell%20(2001).pdf</w:t>
        </w:r>
      </w:hyperlink>
      <w:r w:rsidRPr="001A48D3">
        <w:t xml:space="preserve">; </w:t>
      </w:r>
    </w:p>
    <w:p w:rsidR="00961908" w:rsidRPr="001A48D3" w:rsidRDefault="0054288E" w:rsidP="00C4701A">
      <w:pPr>
        <w:numPr>
          <w:ilvl w:val="0"/>
          <w:numId w:val="39"/>
        </w:numPr>
        <w:spacing w:after="120"/>
      </w:pPr>
      <w:r w:rsidRPr="001A48D3">
        <w:t xml:space="preserve">BTRE 2007, Working Paper 71; and </w:t>
      </w:r>
    </w:p>
    <w:p w:rsidR="0054288E" w:rsidRPr="001A48D3" w:rsidRDefault="0054288E" w:rsidP="00C4701A">
      <w:pPr>
        <w:numPr>
          <w:ilvl w:val="0"/>
          <w:numId w:val="39"/>
        </w:numPr>
        <w:spacing w:after="120"/>
      </w:pPr>
      <w:r w:rsidRPr="001A48D3">
        <w:lastRenderedPageBreak/>
        <w:t>BITRE 2009, Working Paper 73).</w:t>
      </w:r>
    </w:p>
    <w:p w:rsidR="0054288E" w:rsidRPr="001A48D3" w:rsidRDefault="0054288E" w:rsidP="00C4701A">
      <w:pPr>
        <w:spacing w:after="120"/>
      </w:pPr>
      <w:r w:rsidRPr="001A48D3">
        <w:t xml:space="preserve">Though the ABS SMVU is practically </w:t>
      </w:r>
      <w:proofErr w:type="spellStart"/>
      <w:r w:rsidRPr="001A48D3">
        <w:t>indispensible</w:t>
      </w:r>
      <w:proofErr w:type="spellEnd"/>
      <w:r w:rsidRPr="001A48D3">
        <w:t xml:space="preserve"> for many transport analysis tasks – and remains the best source for detailed VKT patterns or sectoral distributions – the best ‘publicly available data’ on </w:t>
      </w:r>
      <w:r w:rsidRPr="001A48D3">
        <w:rPr>
          <w:i/>
        </w:rPr>
        <w:t>aggregate Australian VKT</w:t>
      </w:r>
      <w:r w:rsidRPr="001A48D3">
        <w:t xml:space="preserve"> values are actually the consistent (or ‘standardised’) time-series estimates from BITRE – e.g. see tables 6.2 to 6.4 of the </w:t>
      </w:r>
      <w:r w:rsidRPr="001A48D3">
        <w:rPr>
          <w:i/>
        </w:rPr>
        <w:t>Australian Transport Statistics Yearbook 2009</w:t>
      </w:r>
      <w:r w:rsidRPr="001A48D3">
        <w:t xml:space="preserve"> (BITRE 2009, </w:t>
      </w:r>
      <w:hyperlink r:id="rId31" w:history="1">
        <w:r w:rsidR="006E6036" w:rsidRPr="001A48D3">
          <w:rPr>
            <w:rStyle w:val="Hyperlink"/>
            <w:color w:val="auto"/>
            <w:szCs w:val="24"/>
          </w:rPr>
          <w:t>http://www.btre.gov.au/Info.aspx</w:t>
        </w:r>
      </w:hyperlink>
      <w:r w:rsidRPr="001A48D3">
        <w:t>?</w:t>
      </w:r>
      <w:r w:rsidR="006E6036" w:rsidRPr="001A48D3">
        <w:t xml:space="preserve"> </w:t>
      </w:r>
      <w:proofErr w:type="spellStart"/>
      <w:r w:rsidRPr="001A48D3">
        <w:t>ResourceId</w:t>
      </w:r>
      <w:proofErr w:type="spellEnd"/>
      <w:r w:rsidRPr="001A48D3">
        <w:t>=710&amp;NodeId=50) for recently published estimates (giving close to 40 years of vehicle travel trends).</w:t>
      </w:r>
    </w:p>
    <w:p w:rsidR="0054288E" w:rsidRPr="001A48D3" w:rsidRDefault="0054288E" w:rsidP="00C4701A">
      <w:pPr>
        <w:spacing w:after="120"/>
      </w:pPr>
      <w:r w:rsidRPr="001A48D3">
        <w:t>As well, descriptions and methodological details of BITRE vehicle fleet models are all publicly available; where some of the many publications dealing with the projection or fleet models include:</w:t>
      </w:r>
    </w:p>
    <w:p w:rsidR="0054288E" w:rsidRPr="001A48D3" w:rsidRDefault="0054288E" w:rsidP="00C4701A">
      <w:pPr>
        <w:numPr>
          <w:ilvl w:val="0"/>
          <w:numId w:val="40"/>
        </w:numPr>
        <w:spacing w:after="120"/>
      </w:pPr>
      <w:r w:rsidRPr="001A48D3">
        <w:t xml:space="preserve">BITRE 2009a, </w:t>
      </w:r>
      <w:r w:rsidRPr="001A48D3">
        <w:rPr>
          <w:i/>
        </w:rPr>
        <w:t>Greenhouse gas emissions from Australian transport: Projections to 2020</w:t>
      </w:r>
      <w:r w:rsidRPr="001A48D3">
        <w:t>, Working Paper 73, BTRE, Canberra.</w:t>
      </w:r>
      <w:r w:rsidR="006E6036" w:rsidRPr="001A48D3">
        <w:t xml:space="preserve"> </w:t>
      </w:r>
      <w:r w:rsidRPr="001A48D3">
        <w:t>http://www.bitre.gov.au/publications/44/Files/WP_73_13_DEC09.pdf</w:t>
      </w:r>
    </w:p>
    <w:p w:rsidR="0054288E" w:rsidRPr="001A48D3" w:rsidRDefault="0054288E" w:rsidP="00C4701A">
      <w:pPr>
        <w:numPr>
          <w:ilvl w:val="0"/>
          <w:numId w:val="40"/>
        </w:numPr>
        <w:spacing w:after="120"/>
      </w:pPr>
      <w:r w:rsidRPr="001A48D3">
        <w:t xml:space="preserve">BITRE 2009b, </w:t>
      </w:r>
      <w:r w:rsidRPr="001A48D3">
        <w:rPr>
          <w:i/>
        </w:rPr>
        <w:t>Fuel consumption by new passenger vehicles in Australia 1979-2008</w:t>
      </w:r>
      <w:r w:rsidRPr="001A48D3">
        <w:t>, Information Sheet 30, BITRE, Canberra.</w:t>
      </w:r>
      <w:r w:rsidRPr="001A48D3">
        <w:br/>
        <w:t>http://www.bitre.gov.au/publications/30/Files/IS30.pdf</w:t>
      </w:r>
    </w:p>
    <w:p w:rsidR="0054288E" w:rsidRPr="001A48D3" w:rsidRDefault="0054288E" w:rsidP="00C4701A">
      <w:pPr>
        <w:numPr>
          <w:ilvl w:val="0"/>
          <w:numId w:val="40"/>
        </w:numPr>
        <w:spacing w:after="120"/>
      </w:pPr>
      <w:r w:rsidRPr="001A48D3">
        <w:t xml:space="preserve">BITRE &amp; CSIRO 2008, </w:t>
      </w:r>
      <w:r w:rsidRPr="001A48D3">
        <w:rPr>
          <w:i/>
        </w:rPr>
        <w:t>Modelling the Road Transport Sector</w:t>
      </w:r>
      <w:r w:rsidRPr="001A48D3">
        <w:t xml:space="preserve">, </w:t>
      </w:r>
      <w:r w:rsidRPr="001A48D3">
        <w:br/>
        <w:t xml:space="preserve">Appendix to </w:t>
      </w:r>
      <w:r w:rsidRPr="001A48D3">
        <w:rPr>
          <w:i/>
        </w:rPr>
        <w:t>Australia’s Low Pollution Future</w:t>
      </w:r>
      <w:r w:rsidRPr="001A48D3">
        <w:t>.</w:t>
      </w:r>
      <w:r w:rsidRPr="001A48D3">
        <w:br/>
        <w:t>http://www.btre.gov.au/info.aspx?ResourceId=681&amp;NodeId=136</w:t>
      </w:r>
    </w:p>
    <w:p w:rsidR="0054288E" w:rsidRPr="001A48D3" w:rsidRDefault="0054288E" w:rsidP="00C4701A">
      <w:pPr>
        <w:numPr>
          <w:ilvl w:val="0"/>
          <w:numId w:val="40"/>
        </w:numPr>
        <w:spacing w:after="120"/>
      </w:pPr>
      <w:r w:rsidRPr="001A48D3">
        <w:t xml:space="preserve">BTRE 2007, </w:t>
      </w:r>
      <w:r w:rsidRPr="001A48D3">
        <w:rPr>
          <w:i/>
        </w:rPr>
        <w:t>Estimating urban traffic and congestion cost trends for Australian cities</w:t>
      </w:r>
      <w:r w:rsidRPr="001A48D3">
        <w:t xml:space="preserve">, Working Paper 71, BTRE, Canberra. </w:t>
      </w:r>
      <w:r w:rsidRPr="001A48D3">
        <w:br/>
        <w:t>http://www.bitre.gov.au/publications/49/Files/wp71.pdf</w:t>
      </w:r>
    </w:p>
    <w:p w:rsidR="0054288E" w:rsidRPr="001A48D3" w:rsidRDefault="0054288E" w:rsidP="00C4701A">
      <w:pPr>
        <w:numPr>
          <w:ilvl w:val="0"/>
          <w:numId w:val="40"/>
        </w:numPr>
        <w:spacing w:after="120"/>
      </w:pPr>
      <w:r w:rsidRPr="001A48D3">
        <w:t xml:space="preserve">BTRE 2003, </w:t>
      </w:r>
      <w:r w:rsidRPr="001A48D3">
        <w:rPr>
          <w:i/>
        </w:rPr>
        <w:t>Urban Pollutant Emissions from Motor Vehicles: Australian Trends to 2020</w:t>
      </w:r>
      <w:r w:rsidRPr="001A48D3">
        <w:t>, Report for Environment Australia, BTRE, Canberra. http://www.bitre.gov.au/publications/36/Files/ea_btre.pdf</w:t>
      </w:r>
    </w:p>
    <w:p w:rsidR="0054288E" w:rsidRPr="001A48D3" w:rsidRDefault="0054288E" w:rsidP="00C4701A">
      <w:pPr>
        <w:numPr>
          <w:ilvl w:val="0"/>
          <w:numId w:val="40"/>
        </w:numPr>
        <w:spacing w:after="120"/>
      </w:pPr>
      <w:r w:rsidRPr="001A48D3">
        <w:t xml:space="preserve">BTRE 2002, </w:t>
      </w:r>
      <w:r w:rsidRPr="001A48D3">
        <w:rPr>
          <w:i/>
        </w:rPr>
        <w:t>Greenhouse gas emissions from transport – Australian trends to 2020</w:t>
      </w:r>
      <w:r w:rsidRPr="001A48D3">
        <w:t xml:space="preserve">, </w:t>
      </w:r>
      <w:r w:rsidRPr="001A48D3">
        <w:br/>
        <w:t>Report 107, BTRE, Canberra.</w:t>
      </w:r>
      <w:r w:rsidRPr="001A48D3">
        <w:br/>
        <w:t>http://www.bitre.gov.au/publications/93/Files/r107.pdf</w:t>
      </w:r>
    </w:p>
    <w:p w:rsidR="0054288E" w:rsidRPr="001A48D3" w:rsidRDefault="0054288E" w:rsidP="00C4701A">
      <w:pPr>
        <w:numPr>
          <w:ilvl w:val="0"/>
          <w:numId w:val="40"/>
        </w:numPr>
        <w:spacing w:after="120"/>
      </w:pPr>
      <w:r w:rsidRPr="001A48D3">
        <w:t>BTE (1999), Analysis of the Impact of the Proposed Taxation Changes on Transport Fuel Use and the Alternative Fuel Market, Report for Environment Australia, BTE, Canberra.</w:t>
      </w:r>
    </w:p>
    <w:p w:rsidR="0054288E" w:rsidRPr="001A48D3" w:rsidRDefault="0054288E" w:rsidP="00C4701A">
      <w:pPr>
        <w:numPr>
          <w:ilvl w:val="0"/>
          <w:numId w:val="40"/>
        </w:numPr>
        <w:spacing w:after="120"/>
      </w:pPr>
      <w:r w:rsidRPr="001A48D3">
        <w:t xml:space="preserve">BTE 1998, </w:t>
      </w:r>
      <w:r w:rsidRPr="001A48D3">
        <w:rPr>
          <w:i/>
        </w:rPr>
        <w:t>Forecasting Light Vehicle Traffic</w:t>
      </w:r>
      <w:r w:rsidRPr="001A48D3">
        <w:t>, Working Paper 38, BTE, Canberra.</w:t>
      </w:r>
    </w:p>
    <w:p w:rsidR="0054288E" w:rsidRPr="001A48D3" w:rsidRDefault="0054288E" w:rsidP="00C4701A">
      <w:pPr>
        <w:numPr>
          <w:ilvl w:val="0"/>
          <w:numId w:val="40"/>
        </w:numPr>
        <w:spacing w:after="120"/>
      </w:pPr>
      <w:r w:rsidRPr="001A48D3">
        <w:t xml:space="preserve">BTCE 1996, </w:t>
      </w:r>
      <w:r w:rsidRPr="001A48D3">
        <w:rPr>
          <w:i/>
        </w:rPr>
        <w:t>Transport and Greenhouse: Costs and options for reducing emissions</w:t>
      </w:r>
      <w:r w:rsidRPr="001A48D3">
        <w:t xml:space="preserve">, </w:t>
      </w:r>
      <w:r w:rsidRPr="001A48D3">
        <w:br/>
        <w:t xml:space="preserve">Report 94, AGPS, Canberra. </w:t>
      </w:r>
      <w:r w:rsidRPr="001A48D3">
        <w:br/>
        <w:t>http://www.bitre.gov.au/publications/68/Files/R094.pdf</w:t>
      </w:r>
    </w:p>
    <w:p w:rsidR="0054288E" w:rsidRPr="001A48D3" w:rsidRDefault="0054288E" w:rsidP="00C4701A">
      <w:pPr>
        <w:numPr>
          <w:ilvl w:val="0"/>
          <w:numId w:val="40"/>
        </w:numPr>
        <w:spacing w:after="120"/>
      </w:pPr>
      <w:r w:rsidRPr="001A48D3">
        <w:t>BTCE 1995a, Costs of Reducing Greenhouse Gas Emissions from Australian Cars: An application of the CARMOD model, Working Paper 24, BTCE, Canberra.</w:t>
      </w:r>
    </w:p>
    <w:p w:rsidR="0054288E" w:rsidRPr="001A48D3" w:rsidRDefault="0054288E" w:rsidP="00C4701A">
      <w:pPr>
        <w:numPr>
          <w:ilvl w:val="0"/>
          <w:numId w:val="40"/>
        </w:numPr>
        <w:spacing w:after="120"/>
      </w:pPr>
      <w:r w:rsidRPr="001A48D3">
        <w:t xml:space="preserve">BTCE 1995b, </w:t>
      </w:r>
      <w:r w:rsidRPr="001A48D3">
        <w:rPr>
          <w:i/>
        </w:rPr>
        <w:t>Greenhouse Gas Emissions from Australian Transport: Long-term projections</w:t>
      </w:r>
      <w:r w:rsidRPr="001A48D3">
        <w:t>, Report 88, AGPS, Canberra.</w:t>
      </w:r>
      <w:r w:rsidRPr="001A48D3">
        <w:br/>
        <w:t>http://www.bitre.gov.au/publications/65/Files/R088.pdf</w:t>
      </w:r>
    </w:p>
    <w:p w:rsidR="001B4BEB" w:rsidRPr="001A48D3" w:rsidRDefault="0054288E" w:rsidP="001E1827">
      <w:pPr>
        <w:spacing w:after="120"/>
        <w:rPr>
          <w:szCs w:val="24"/>
        </w:rPr>
      </w:pPr>
      <w:r w:rsidRPr="001A48D3">
        <w:lastRenderedPageBreak/>
        <w:t xml:space="preserve">Given the uncertain nature of trying to predict future trends, any set of projections – however detailed the modelling – will still tend to come with a variety of caveats and limitations (and, as mentioned </w:t>
      </w:r>
      <w:r w:rsidR="00961908" w:rsidRPr="001A48D3">
        <w:t>above</w:t>
      </w:r>
      <w:r w:rsidRPr="001A48D3">
        <w:t xml:space="preserve">, will tend to strongly depend on the particular scenario assumptions and inputs). </w:t>
      </w:r>
      <w:r w:rsidR="00961908" w:rsidRPr="001A48D3">
        <w:t xml:space="preserve"> However, </w:t>
      </w:r>
      <w:r w:rsidRPr="001A48D3">
        <w:t>one indicator of the relative robustness of the BITRE model formulations is their past predictive success rate – where base case forecasts of recent years’ aggregate VKT levels (for the Australian light vehicle fleet), made almost 20 years ago, typically fall within 1-2% of levels actually recorded.</w:t>
      </w:r>
    </w:p>
    <w:sectPr w:rsidR="001B4BEB" w:rsidRPr="001A48D3" w:rsidSect="00A01ECA">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85" w:rsidRDefault="00636785">
      <w:r>
        <w:separator/>
      </w:r>
    </w:p>
  </w:endnote>
  <w:endnote w:type="continuationSeparator" w:id="0">
    <w:p w:rsidR="00636785" w:rsidRDefault="0063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Optima LT Std Medium">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Optima LT Std Demi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85" w:rsidRDefault="006367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113</w:t>
    </w:r>
    <w:r>
      <w:rPr>
        <w:rStyle w:val="PageNumber"/>
      </w:rPr>
      <w:fldChar w:fldCharType="end"/>
    </w:r>
  </w:p>
  <w:p w:rsidR="00636785" w:rsidRDefault="006367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85" w:rsidRPr="007D4568" w:rsidRDefault="00636785" w:rsidP="00797C89">
    <w:pPr>
      <w:jc w:val="right"/>
      <w:rPr>
        <w:rFonts w:ascii="Arial Narrow" w:hAnsi="Arial Narrow"/>
        <w:b/>
      </w:rPr>
    </w:pPr>
    <w:r w:rsidRPr="007D4568">
      <w:rPr>
        <w:rFonts w:ascii="Arial Narrow" w:hAnsi="Arial Narrow"/>
        <w:b/>
      </w:rPr>
      <w:fldChar w:fldCharType="begin"/>
    </w:r>
    <w:r w:rsidRPr="007D4568">
      <w:rPr>
        <w:rFonts w:ascii="Arial Narrow" w:hAnsi="Arial Narrow"/>
        <w:b/>
      </w:rPr>
      <w:instrText xml:space="preserve"> PAGE   \* MERGEFORMAT </w:instrText>
    </w:r>
    <w:r w:rsidRPr="007D4568">
      <w:rPr>
        <w:rFonts w:ascii="Arial Narrow" w:hAnsi="Arial Narrow"/>
        <w:b/>
      </w:rPr>
      <w:fldChar w:fldCharType="separate"/>
    </w:r>
    <w:r w:rsidR="00A1425C">
      <w:rPr>
        <w:rFonts w:ascii="Arial Narrow" w:hAnsi="Arial Narrow"/>
        <w:b/>
        <w:noProof/>
      </w:rPr>
      <w:t>4</w:t>
    </w:r>
    <w:r w:rsidRPr="007D4568">
      <w:rPr>
        <w:rFonts w:ascii="Arial Narrow" w:hAnsi="Arial Narrow"/>
        <w:b/>
      </w:rPr>
      <w:fldChar w:fldCharType="end"/>
    </w:r>
  </w:p>
  <w:p w:rsidR="00636785" w:rsidRDefault="006367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85" w:rsidRPr="007D4568" w:rsidRDefault="00636785">
    <w:pPr>
      <w:pStyle w:val="Footer"/>
      <w:pBdr>
        <w:top w:val="single" w:sz="4" w:space="1" w:color="D9D9D9"/>
      </w:pBdr>
      <w:jc w:val="right"/>
      <w:rPr>
        <w:rFonts w:ascii="Arial Narrow" w:hAnsi="Arial Narrow"/>
        <w:b/>
      </w:rPr>
    </w:pPr>
    <w:r w:rsidRPr="007D4568">
      <w:rPr>
        <w:rFonts w:ascii="Arial Narrow" w:hAnsi="Arial Narrow"/>
        <w:b/>
      </w:rPr>
      <w:fldChar w:fldCharType="begin"/>
    </w:r>
    <w:r w:rsidRPr="007D4568">
      <w:rPr>
        <w:rFonts w:ascii="Arial Narrow" w:hAnsi="Arial Narrow"/>
        <w:b/>
      </w:rPr>
      <w:instrText xml:space="preserve"> PAGE   \* MERGEFORMAT </w:instrText>
    </w:r>
    <w:r w:rsidRPr="007D4568">
      <w:rPr>
        <w:rFonts w:ascii="Arial Narrow" w:hAnsi="Arial Narrow"/>
        <w:b/>
      </w:rPr>
      <w:fldChar w:fldCharType="separate"/>
    </w:r>
    <w:r w:rsidR="00A1425C">
      <w:rPr>
        <w:rFonts w:ascii="Arial Narrow" w:hAnsi="Arial Narrow"/>
        <w:b/>
        <w:noProof/>
      </w:rPr>
      <w:t>111</w:t>
    </w:r>
    <w:r w:rsidRPr="007D4568">
      <w:rPr>
        <w:rFonts w:ascii="Arial Narrow" w:hAnsi="Arial Narrow"/>
        <w:b/>
      </w:rPr>
      <w:fldChar w:fldCharType="end"/>
    </w:r>
    <w:r w:rsidRPr="007D4568">
      <w:rPr>
        <w:rFonts w:ascii="Arial Narrow" w:hAnsi="Arial Narrow"/>
        <w:b/>
      </w:rPr>
      <w:t xml:space="preserve"> </w:t>
    </w:r>
  </w:p>
  <w:p w:rsidR="00636785" w:rsidRDefault="00636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85" w:rsidRDefault="00636785">
      <w:r>
        <w:separator/>
      </w:r>
    </w:p>
  </w:footnote>
  <w:footnote w:type="continuationSeparator" w:id="0">
    <w:p w:rsidR="00636785" w:rsidRDefault="00636785">
      <w:r>
        <w:continuationSeparator/>
      </w:r>
    </w:p>
  </w:footnote>
  <w:footnote w:id="1">
    <w:p w:rsidR="00636785" w:rsidRDefault="00636785" w:rsidP="00A01020">
      <w:r w:rsidRPr="00A01020">
        <w:rPr>
          <w:rStyle w:val="FootnoteReference"/>
          <w:rFonts w:ascii="Arial Narrow" w:hAnsi="Arial Narrow"/>
          <w:sz w:val="16"/>
          <w:szCs w:val="16"/>
        </w:rPr>
        <w:footnoteRef/>
      </w:r>
      <w:r w:rsidRPr="00A01020">
        <w:rPr>
          <w:sz w:val="16"/>
          <w:szCs w:val="16"/>
        </w:rPr>
        <w:t xml:space="preserve"> </w:t>
      </w:r>
      <w:r w:rsidRPr="00A01020">
        <w:rPr>
          <w:sz w:val="16"/>
          <w:szCs w:val="16"/>
        </w:rPr>
        <w:tab/>
        <w:t xml:space="preserve">Yue W; Schneider A; </w:t>
      </w:r>
      <w:proofErr w:type="spellStart"/>
      <w:r w:rsidRPr="00A01020">
        <w:rPr>
          <w:sz w:val="16"/>
          <w:szCs w:val="16"/>
        </w:rPr>
        <w:t>Stolzel</w:t>
      </w:r>
      <w:proofErr w:type="spellEnd"/>
      <w:r w:rsidRPr="00A01020">
        <w:rPr>
          <w:sz w:val="16"/>
          <w:szCs w:val="16"/>
        </w:rPr>
        <w:t xml:space="preserve"> M; </w:t>
      </w:r>
      <w:proofErr w:type="spellStart"/>
      <w:r w:rsidRPr="00A01020">
        <w:rPr>
          <w:sz w:val="16"/>
          <w:szCs w:val="16"/>
        </w:rPr>
        <w:t>Ruckerl</w:t>
      </w:r>
      <w:proofErr w:type="spellEnd"/>
      <w:r w:rsidRPr="00A01020">
        <w:rPr>
          <w:sz w:val="16"/>
          <w:szCs w:val="16"/>
        </w:rPr>
        <w:t xml:space="preserve"> R; </w:t>
      </w:r>
      <w:proofErr w:type="spellStart"/>
      <w:r w:rsidRPr="00A01020">
        <w:rPr>
          <w:sz w:val="16"/>
          <w:szCs w:val="16"/>
        </w:rPr>
        <w:t>Cyrys</w:t>
      </w:r>
      <w:proofErr w:type="spellEnd"/>
      <w:r w:rsidRPr="00A01020">
        <w:rPr>
          <w:sz w:val="16"/>
          <w:szCs w:val="16"/>
        </w:rPr>
        <w:t xml:space="preserve"> J; Pan X; </w:t>
      </w:r>
      <w:proofErr w:type="spellStart"/>
      <w:r w:rsidRPr="00A01020">
        <w:rPr>
          <w:sz w:val="16"/>
          <w:szCs w:val="16"/>
        </w:rPr>
        <w:t>Zareba</w:t>
      </w:r>
      <w:proofErr w:type="spellEnd"/>
      <w:r w:rsidRPr="00A01020">
        <w:rPr>
          <w:sz w:val="16"/>
          <w:szCs w:val="16"/>
        </w:rPr>
        <w:t xml:space="preserve"> W; Koenig W; </w:t>
      </w:r>
      <w:proofErr w:type="spellStart"/>
      <w:r w:rsidRPr="00A01020">
        <w:rPr>
          <w:sz w:val="16"/>
          <w:szCs w:val="16"/>
        </w:rPr>
        <w:t>Wichmann</w:t>
      </w:r>
      <w:proofErr w:type="spellEnd"/>
      <w:r w:rsidRPr="00A01020">
        <w:rPr>
          <w:sz w:val="16"/>
          <w:szCs w:val="16"/>
        </w:rPr>
        <w:t xml:space="preserve"> HE; Peters A (2007). Ambient source-specific particles are associated with prolonged repolarization and increased levels of inflammation in male coronary artery disease patients, Journal Mutation Research: Fundamental and Molecular Mechanisms of Mutagenesis, 621:50-60.</w:t>
      </w:r>
    </w:p>
  </w:footnote>
  <w:footnote w:id="2">
    <w:p w:rsidR="00636785" w:rsidRDefault="00636785" w:rsidP="00A01020">
      <w:r w:rsidRPr="00A01020">
        <w:rPr>
          <w:rStyle w:val="FootnoteReference"/>
          <w:rFonts w:ascii="Arial Narrow" w:hAnsi="Arial Narrow"/>
          <w:sz w:val="16"/>
          <w:szCs w:val="16"/>
        </w:rPr>
        <w:footnoteRef/>
      </w:r>
      <w:r w:rsidRPr="00A01020">
        <w:rPr>
          <w:rStyle w:val="FootnoteReference"/>
          <w:rFonts w:ascii="Arial Narrow" w:hAnsi="Arial Narrow"/>
          <w:sz w:val="16"/>
          <w:szCs w:val="16"/>
          <w:vertAlign w:val="baseline"/>
        </w:rPr>
        <w:t xml:space="preserve"> </w:t>
      </w:r>
      <w:r w:rsidRPr="00A01020">
        <w:rPr>
          <w:rStyle w:val="FootnoteReference"/>
          <w:rFonts w:ascii="Arial Narrow" w:hAnsi="Arial Narrow"/>
          <w:sz w:val="16"/>
          <w:szCs w:val="16"/>
          <w:vertAlign w:val="baseline"/>
        </w:rPr>
        <w:tab/>
        <w:t xml:space="preserve">Daniels MJ; </w:t>
      </w:r>
      <w:proofErr w:type="spellStart"/>
      <w:r w:rsidRPr="00A01020">
        <w:rPr>
          <w:rStyle w:val="FootnoteReference"/>
          <w:rFonts w:ascii="Arial Narrow" w:hAnsi="Arial Narrow"/>
          <w:sz w:val="16"/>
          <w:szCs w:val="16"/>
          <w:vertAlign w:val="baseline"/>
        </w:rPr>
        <w:t>Dominici</w:t>
      </w:r>
      <w:proofErr w:type="spellEnd"/>
      <w:r w:rsidRPr="00A01020">
        <w:rPr>
          <w:rStyle w:val="FootnoteReference"/>
          <w:rFonts w:ascii="Arial Narrow" w:hAnsi="Arial Narrow"/>
          <w:sz w:val="16"/>
          <w:szCs w:val="16"/>
          <w:vertAlign w:val="baseline"/>
        </w:rPr>
        <w:t xml:space="preserve"> F; </w:t>
      </w:r>
      <w:proofErr w:type="spellStart"/>
      <w:r w:rsidRPr="00A01020">
        <w:rPr>
          <w:rStyle w:val="FootnoteReference"/>
          <w:rFonts w:ascii="Arial Narrow" w:hAnsi="Arial Narrow"/>
          <w:sz w:val="16"/>
          <w:szCs w:val="16"/>
          <w:vertAlign w:val="baseline"/>
        </w:rPr>
        <w:t>Zeger</w:t>
      </w:r>
      <w:proofErr w:type="spellEnd"/>
      <w:r w:rsidRPr="00A01020">
        <w:rPr>
          <w:rStyle w:val="FootnoteReference"/>
          <w:rFonts w:ascii="Arial Narrow" w:hAnsi="Arial Narrow"/>
          <w:sz w:val="16"/>
          <w:szCs w:val="16"/>
          <w:vertAlign w:val="baseline"/>
        </w:rPr>
        <w:t xml:space="preserve"> SL; </w:t>
      </w:r>
      <w:proofErr w:type="spellStart"/>
      <w:r w:rsidRPr="00A01020">
        <w:rPr>
          <w:rStyle w:val="FootnoteReference"/>
          <w:rFonts w:ascii="Arial Narrow" w:hAnsi="Arial Narrow"/>
          <w:sz w:val="16"/>
          <w:szCs w:val="16"/>
          <w:vertAlign w:val="baseline"/>
        </w:rPr>
        <w:t>Samet</w:t>
      </w:r>
      <w:proofErr w:type="spellEnd"/>
      <w:r w:rsidRPr="00A01020">
        <w:rPr>
          <w:rStyle w:val="FootnoteReference"/>
          <w:rFonts w:ascii="Arial Narrow" w:hAnsi="Arial Narrow"/>
          <w:sz w:val="16"/>
          <w:szCs w:val="16"/>
          <w:vertAlign w:val="baseline"/>
        </w:rPr>
        <w:t xml:space="preserve"> JM (2004). The national morbidity, mortality, and air pollution study Part III: PM10 concentration-response curves and thresholds for the 20 largest US cities. Report.</w:t>
      </w:r>
    </w:p>
  </w:footnote>
  <w:footnote w:id="3">
    <w:p w:rsidR="00636785" w:rsidRDefault="00636785" w:rsidP="00A01020">
      <w:r w:rsidRPr="00A01020">
        <w:rPr>
          <w:rStyle w:val="FootnoteReference"/>
          <w:rFonts w:ascii="Arial Narrow" w:hAnsi="Arial Narrow"/>
          <w:sz w:val="16"/>
          <w:szCs w:val="16"/>
        </w:rPr>
        <w:footnoteRef/>
      </w:r>
      <w:r w:rsidRPr="00A01020">
        <w:rPr>
          <w:rStyle w:val="FootnoteReference"/>
          <w:rFonts w:ascii="Arial Narrow" w:hAnsi="Arial Narrow"/>
          <w:sz w:val="16"/>
          <w:szCs w:val="16"/>
        </w:rPr>
        <w:t xml:space="preserve"> </w:t>
      </w:r>
      <w:r w:rsidRPr="00A01020">
        <w:rPr>
          <w:rStyle w:val="FootnoteReference"/>
          <w:rFonts w:ascii="Arial Narrow" w:hAnsi="Arial Narrow"/>
          <w:sz w:val="16"/>
          <w:szCs w:val="16"/>
          <w:vertAlign w:val="baseline"/>
        </w:rPr>
        <w:tab/>
      </w:r>
      <w:proofErr w:type="spellStart"/>
      <w:r w:rsidRPr="00A01020">
        <w:rPr>
          <w:rStyle w:val="FootnoteReference"/>
          <w:rFonts w:ascii="Arial Narrow" w:hAnsi="Arial Narrow"/>
          <w:sz w:val="16"/>
          <w:szCs w:val="16"/>
          <w:vertAlign w:val="baseline"/>
        </w:rPr>
        <w:t>Samoli</w:t>
      </w:r>
      <w:proofErr w:type="spellEnd"/>
      <w:r w:rsidRPr="00A01020">
        <w:rPr>
          <w:rStyle w:val="FootnoteReference"/>
          <w:rFonts w:ascii="Arial Narrow" w:hAnsi="Arial Narrow"/>
          <w:sz w:val="16"/>
          <w:szCs w:val="16"/>
          <w:vertAlign w:val="baseline"/>
        </w:rPr>
        <w:t xml:space="preserve"> E; </w:t>
      </w:r>
      <w:proofErr w:type="spellStart"/>
      <w:r w:rsidRPr="00A01020">
        <w:rPr>
          <w:rStyle w:val="FootnoteReference"/>
          <w:rFonts w:ascii="Arial Narrow" w:hAnsi="Arial Narrow"/>
          <w:sz w:val="16"/>
          <w:szCs w:val="16"/>
          <w:vertAlign w:val="baseline"/>
        </w:rPr>
        <w:t>Analitis</w:t>
      </w:r>
      <w:proofErr w:type="spellEnd"/>
      <w:r w:rsidRPr="00A01020">
        <w:rPr>
          <w:rStyle w:val="FootnoteReference"/>
          <w:rFonts w:ascii="Arial Narrow" w:hAnsi="Arial Narrow"/>
          <w:sz w:val="16"/>
          <w:szCs w:val="16"/>
          <w:vertAlign w:val="baseline"/>
        </w:rPr>
        <w:t xml:space="preserve"> A; </w:t>
      </w:r>
      <w:proofErr w:type="spellStart"/>
      <w:r w:rsidRPr="00A01020">
        <w:rPr>
          <w:rStyle w:val="FootnoteReference"/>
          <w:rFonts w:ascii="Arial Narrow" w:hAnsi="Arial Narrow"/>
          <w:sz w:val="16"/>
          <w:szCs w:val="16"/>
          <w:vertAlign w:val="baseline"/>
        </w:rPr>
        <w:t>Touloumi</w:t>
      </w:r>
      <w:proofErr w:type="spellEnd"/>
      <w:r w:rsidRPr="00A01020">
        <w:rPr>
          <w:rStyle w:val="FootnoteReference"/>
          <w:rFonts w:ascii="Arial Narrow" w:hAnsi="Arial Narrow"/>
          <w:sz w:val="16"/>
          <w:szCs w:val="16"/>
          <w:vertAlign w:val="baseline"/>
        </w:rPr>
        <w:t xml:space="preserve"> G; Schwartz J; Anderson HR; </w:t>
      </w:r>
      <w:proofErr w:type="spellStart"/>
      <w:r w:rsidRPr="00A01020">
        <w:rPr>
          <w:rStyle w:val="FootnoteReference"/>
          <w:rFonts w:ascii="Arial Narrow" w:hAnsi="Arial Narrow"/>
          <w:sz w:val="16"/>
          <w:szCs w:val="16"/>
          <w:vertAlign w:val="baseline"/>
        </w:rPr>
        <w:t>Sunyer</w:t>
      </w:r>
      <w:proofErr w:type="spellEnd"/>
      <w:r w:rsidRPr="00A01020">
        <w:rPr>
          <w:rStyle w:val="FootnoteReference"/>
          <w:rFonts w:ascii="Arial Narrow" w:hAnsi="Arial Narrow"/>
          <w:sz w:val="16"/>
          <w:szCs w:val="16"/>
          <w:vertAlign w:val="baseline"/>
        </w:rPr>
        <w:t xml:space="preserve"> J; </w:t>
      </w:r>
      <w:proofErr w:type="spellStart"/>
      <w:r w:rsidRPr="00A01020">
        <w:rPr>
          <w:rStyle w:val="FootnoteReference"/>
          <w:rFonts w:ascii="Arial Narrow" w:hAnsi="Arial Narrow"/>
          <w:sz w:val="16"/>
          <w:szCs w:val="16"/>
          <w:vertAlign w:val="baseline"/>
        </w:rPr>
        <w:t>Bisanti</w:t>
      </w:r>
      <w:proofErr w:type="spellEnd"/>
      <w:r w:rsidRPr="00A01020">
        <w:rPr>
          <w:rStyle w:val="FootnoteReference"/>
          <w:rFonts w:ascii="Arial Narrow" w:hAnsi="Arial Narrow"/>
          <w:sz w:val="16"/>
          <w:szCs w:val="16"/>
          <w:vertAlign w:val="baseline"/>
        </w:rPr>
        <w:t xml:space="preserve"> L; </w:t>
      </w:r>
      <w:proofErr w:type="spellStart"/>
      <w:r w:rsidRPr="00A01020">
        <w:rPr>
          <w:rStyle w:val="FootnoteReference"/>
          <w:rFonts w:ascii="Arial Narrow" w:hAnsi="Arial Narrow"/>
          <w:sz w:val="16"/>
          <w:szCs w:val="16"/>
          <w:vertAlign w:val="baseline"/>
        </w:rPr>
        <w:t>Zmirou</w:t>
      </w:r>
      <w:proofErr w:type="spellEnd"/>
      <w:r w:rsidRPr="00A01020">
        <w:rPr>
          <w:rStyle w:val="FootnoteReference"/>
          <w:rFonts w:ascii="Arial Narrow" w:hAnsi="Arial Narrow"/>
          <w:sz w:val="16"/>
          <w:szCs w:val="16"/>
          <w:vertAlign w:val="baseline"/>
        </w:rPr>
        <w:t xml:space="preserve"> D; </w:t>
      </w:r>
      <w:proofErr w:type="spellStart"/>
      <w:r w:rsidRPr="00A01020">
        <w:rPr>
          <w:rStyle w:val="FootnoteReference"/>
          <w:rFonts w:ascii="Arial Narrow" w:hAnsi="Arial Narrow"/>
          <w:sz w:val="16"/>
          <w:szCs w:val="16"/>
          <w:vertAlign w:val="baseline"/>
        </w:rPr>
        <w:t>Vonk</w:t>
      </w:r>
      <w:proofErr w:type="spellEnd"/>
      <w:r w:rsidRPr="00A01020">
        <w:rPr>
          <w:rStyle w:val="FootnoteReference"/>
          <w:rFonts w:ascii="Arial Narrow" w:hAnsi="Arial Narrow"/>
          <w:sz w:val="16"/>
          <w:szCs w:val="16"/>
          <w:vertAlign w:val="baseline"/>
        </w:rPr>
        <w:t xml:space="preserve"> JM; </w:t>
      </w:r>
      <w:proofErr w:type="spellStart"/>
      <w:r w:rsidRPr="00A01020">
        <w:rPr>
          <w:rStyle w:val="FootnoteReference"/>
          <w:rFonts w:ascii="Arial Narrow" w:hAnsi="Arial Narrow"/>
          <w:sz w:val="16"/>
          <w:szCs w:val="16"/>
          <w:vertAlign w:val="baseline"/>
        </w:rPr>
        <w:t>Pekkanen</w:t>
      </w:r>
      <w:proofErr w:type="spellEnd"/>
      <w:r w:rsidRPr="00A01020">
        <w:rPr>
          <w:rStyle w:val="FootnoteReference"/>
          <w:rFonts w:ascii="Arial Narrow" w:hAnsi="Arial Narrow"/>
          <w:sz w:val="16"/>
          <w:szCs w:val="16"/>
          <w:vertAlign w:val="baseline"/>
        </w:rPr>
        <w:t xml:space="preserve"> J; Goodman P; </w:t>
      </w:r>
      <w:proofErr w:type="spellStart"/>
      <w:r w:rsidRPr="00A01020">
        <w:rPr>
          <w:rStyle w:val="FootnoteReference"/>
          <w:rFonts w:ascii="Arial Narrow" w:hAnsi="Arial Narrow"/>
          <w:sz w:val="16"/>
          <w:szCs w:val="16"/>
          <w:vertAlign w:val="baseline"/>
        </w:rPr>
        <w:t>Paldy</w:t>
      </w:r>
      <w:proofErr w:type="spellEnd"/>
      <w:r w:rsidRPr="00A01020">
        <w:rPr>
          <w:rStyle w:val="FootnoteReference"/>
          <w:rFonts w:ascii="Arial Narrow" w:hAnsi="Arial Narrow"/>
          <w:sz w:val="16"/>
          <w:szCs w:val="16"/>
          <w:vertAlign w:val="baseline"/>
        </w:rPr>
        <w:t xml:space="preserve"> A; Schindler C; </w:t>
      </w:r>
      <w:proofErr w:type="spellStart"/>
      <w:r w:rsidRPr="00A01020">
        <w:rPr>
          <w:rStyle w:val="FootnoteReference"/>
          <w:rFonts w:ascii="Arial Narrow" w:hAnsi="Arial Narrow"/>
          <w:sz w:val="16"/>
          <w:szCs w:val="16"/>
          <w:vertAlign w:val="baseline"/>
        </w:rPr>
        <w:t>Katsouyanni</w:t>
      </w:r>
      <w:proofErr w:type="spellEnd"/>
      <w:r w:rsidRPr="00A01020">
        <w:rPr>
          <w:rStyle w:val="FootnoteReference"/>
          <w:rFonts w:ascii="Arial Narrow" w:hAnsi="Arial Narrow"/>
          <w:sz w:val="16"/>
          <w:szCs w:val="16"/>
          <w:vertAlign w:val="baseline"/>
        </w:rPr>
        <w:t xml:space="preserve"> K (2005). Estimating the exposure-response relationships between particulate matter and mortality within the APHEA multicity project, Journal Environmental Health Perspectives, 113:88-95.</w:t>
      </w:r>
    </w:p>
  </w:footnote>
  <w:footnote w:id="4">
    <w:p w:rsidR="00636785" w:rsidRDefault="00636785" w:rsidP="00A01020">
      <w:r w:rsidRPr="00A01020">
        <w:rPr>
          <w:rStyle w:val="FootnoteReference"/>
          <w:rFonts w:ascii="Arial Narrow" w:hAnsi="Arial Narrow"/>
          <w:sz w:val="16"/>
          <w:szCs w:val="16"/>
        </w:rPr>
        <w:footnoteRef/>
      </w:r>
      <w:r w:rsidRPr="00A01020">
        <w:rPr>
          <w:rStyle w:val="FootnoteReference"/>
          <w:rFonts w:ascii="Arial Narrow" w:hAnsi="Arial Narrow"/>
          <w:sz w:val="16"/>
          <w:szCs w:val="16"/>
        </w:rPr>
        <w:t xml:space="preserve"> </w:t>
      </w:r>
      <w:r w:rsidRPr="00A01020">
        <w:rPr>
          <w:rStyle w:val="FootnoteReference"/>
          <w:rFonts w:ascii="Arial Narrow" w:hAnsi="Arial Narrow"/>
          <w:sz w:val="16"/>
          <w:szCs w:val="16"/>
          <w:vertAlign w:val="baseline"/>
        </w:rPr>
        <w:tab/>
        <w:t xml:space="preserve">Schwartz J; </w:t>
      </w:r>
      <w:proofErr w:type="spellStart"/>
      <w:r w:rsidRPr="00A01020">
        <w:rPr>
          <w:rStyle w:val="FootnoteReference"/>
          <w:rFonts w:ascii="Arial Narrow" w:hAnsi="Arial Narrow"/>
          <w:sz w:val="16"/>
          <w:szCs w:val="16"/>
          <w:vertAlign w:val="baseline"/>
        </w:rPr>
        <w:t>Coull</w:t>
      </w:r>
      <w:proofErr w:type="spellEnd"/>
      <w:r w:rsidRPr="00A01020">
        <w:rPr>
          <w:rStyle w:val="FootnoteReference"/>
          <w:rFonts w:ascii="Arial Narrow" w:hAnsi="Arial Narrow"/>
          <w:sz w:val="16"/>
          <w:szCs w:val="16"/>
          <w:vertAlign w:val="baseline"/>
        </w:rPr>
        <w:t xml:space="preserve"> B; Laden F; Ryan L (2008). The effect of dose and timing of dose on the association between airborne particles and survival, Journal Environmental Health Perspectives, 116:64-69.</w:t>
      </w:r>
    </w:p>
  </w:footnote>
  <w:footnote w:id="5">
    <w:p w:rsidR="00636785" w:rsidRDefault="00636785" w:rsidP="00A01020">
      <w:r w:rsidRPr="00A01020">
        <w:rPr>
          <w:rStyle w:val="FootnoteReference"/>
          <w:rFonts w:ascii="Arial Narrow" w:hAnsi="Arial Narrow"/>
          <w:sz w:val="16"/>
          <w:szCs w:val="16"/>
        </w:rPr>
        <w:footnoteRef/>
      </w:r>
      <w:r w:rsidRPr="00A01020">
        <w:rPr>
          <w:rStyle w:val="FootnoteReference"/>
          <w:rFonts w:ascii="Arial Narrow" w:hAnsi="Arial Narrow"/>
          <w:sz w:val="16"/>
          <w:szCs w:val="16"/>
        </w:rPr>
        <w:t xml:space="preserve"> </w:t>
      </w:r>
      <w:r w:rsidRPr="00A01020">
        <w:rPr>
          <w:rStyle w:val="FootnoteReference"/>
          <w:rFonts w:ascii="Arial Narrow" w:hAnsi="Arial Narrow"/>
          <w:sz w:val="16"/>
          <w:szCs w:val="16"/>
          <w:vertAlign w:val="baseline"/>
        </w:rPr>
        <w:tab/>
        <w:t>Schwartz J (2004). The effects of particulate air pollution on daily deaths: a multi-city case crossover analysis, Journal Occupational and Environmental Medicine, 61:956-961.</w:t>
      </w:r>
    </w:p>
  </w:footnote>
  <w:footnote w:id="6">
    <w:p w:rsidR="00636785" w:rsidRDefault="00636785" w:rsidP="00A01020">
      <w:r w:rsidRPr="00A01020">
        <w:rPr>
          <w:rStyle w:val="FootnoteReference"/>
          <w:rFonts w:ascii="Arial Narrow" w:hAnsi="Arial Narrow"/>
          <w:sz w:val="16"/>
          <w:szCs w:val="16"/>
        </w:rPr>
        <w:footnoteRef/>
      </w:r>
      <w:r w:rsidRPr="00A01020">
        <w:rPr>
          <w:sz w:val="16"/>
          <w:szCs w:val="16"/>
        </w:rPr>
        <w:t xml:space="preserve"> </w:t>
      </w:r>
      <w:r w:rsidRPr="00A01020">
        <w:rPr>
          <w:sz w:val="16"/>
          <w:szCs w:val="16"/>
        </w:rPr>
        <w:tab/>
      </w:r>
      <w:proofErr w:type="gramStart"/>
      <w:r w:rsidRPr="00A01020">
        <w:rPr>
          <w:sz w:val="16"/>
          <w:szCs w:val="16"/>
        </w:rPr>
        <w:t>U.S. EPA (2006).</w:t>
      </w:r>
      <w:proofErr w:type="gramEnd"/>
      <w:r w:rsidRPr="00A01020">
        <w:rPr>
          <w:sz w:val="16"/>
          <w:szCs w:val="16"/>
        </w:rPr>
        <w:t xml:space="preserve"> </w:t>
      </w:r>
      <w:proofErr w:type="gramStart"/>
      <w:r w:rsidRPr="00A01020">
        <w:rPr>
          <w:sz w:val="16"/>
          <w:szCs w:val="16"/>
        </w:rPr>
        <w:t>Air quality criteria for ozone and related photochemical oxidants.</w:t>
      </w:r>
      <w:proofErr w:type="gramEnd"/>
      <w:r w:rsidRPr="00A01020">
        <w:rPr>
          <w:sz w:val="16"/>
          <w:szCs w:val="16"/>
        </w:rPr>
        <w:t xml:space="preserve"> </w:t>
      </w:r>
      <w:proofErr w:type="gramStart"/>
      <w:r w:rsidRPr="00A01020">
        <w:rPr>
          <w:sz w:val="16"/>
          <w:szCs w:val="16"/>
        </w:rPr>
        <w:t>Volume I. United States Environmental Protection Agency.</w:t>
      </w:r>
      <w:proofErr w:type="gramEnd"/>
    </w:p>
  </w:footnote>
  <w:footnote w:id="7">
    <w:p w:rsidR="00636785" w:rsidRDefault="00636785" w:rsidP="00320142">
      <w:pPr>
        <w:pStyle w:val="FootnoteText"/>
        <w:ind w:left="720" w:hanging="720"/>
      </w:pPr>
      <w:r>
        <w:rPr>
          <w:rStyle w:val="FootnoteReference"/>
        </w:rPr>
        <w:footnoteRef/>
      </w:r>
      <w:r>
        <w:t xml:space="preserve"> </w:t>
      </w:r>
      <w:r>
        <w:tab/>
      </w:r>
      <w:r w:rsidRPr="00320142">
        <w:rPr>
          <w:rFonts w:ascii="Arial Narrow" w:hAnsi="Arial Narrow"/>
          <w:sz w:val="18"/>
          <w:szCs w:val="18"/>
        </w:rPr>
        <w:t xml:space="preserve">See discussion paper on AAQ NEPM review at: </w:t>
      </w:r>
      <w:hyperlink r:id="rId1" w:history="1">
        <w:r w:rsidRPr="00320142">
          <w:rPr>
            <w:rStyle w:val="Hyperlink"/>
            <w:rFonts w:ascii="Arial Narrow" w:hAnsi="Arial Narrow"/>
            <w:sz w:val="18"/>
            <w:szCs w:val="18"/>
          </w:rPr>
          <w:t>http://www.ephc.gov.au/sites/default/files/AAQ_DiscPpr__Review_of_the_AAQ_NEPM_Discussion_Paper_AQ_Standards_Final_201007.pdf</w:t>
        </w:r>
      </w:hyperlink>
      <w:r w:rsidRPr="00320142">
        <w:rPr>
          <w:rFonts w:ascii="Arial Narrow" w:hAnsi="Arial Narrow"/>
          <w:sz w:val="18"/>
          <w:szCs w:val="18"/>
        </w:rPr>
        <w:t xml:space="preserve"> </w:t>
      </w:r>
    </w:p>
  </w:footnote>
  <w:footnote w:id="8">
    <w:p w:rsidR="00636785" w:rsidRDefault="00636785" w:rsidP="00A01020">
      <w:r w:rsidRPr="00A01020">
        <w:rPr>
          <w:rStyle w:val="FootnoteReference"/>
          <w:rFonts w:ascii="Arial Narrow" w:hAnsi="Arial Narrow"/>
          <w:sz w:val="18"/>
          <w:szCs w:val="18"/>
        </w:rPr>
        <w:footnoteRef/>
      </w:r>
      <w:r w:rsidRPr="00A01020">
        <w:rPr>
          <w:sz w:val="18"/>
          <w:szCs w:val="18"/>
        </w:rPr>
        <w:t xml:space="preserve"> </w:t>
      </w:r>
      <w:r w:rsidRPr="00A01020">
        <w:rPr>
          <w:sz w:val="18"/>
          <w:szCs w:val="18"/>
        </w:rPr>
        <w:tab/>
        <w:t xml:space="preserve">NSW DECC (2007) </w:t>
      </w:r>
      <w:r w:rsidRPr="00A01020">
        <w:rPr>
          <w:i/>
          <w:sz w:val="18"/>
          <w:szCs w:val="18"/>
        </w:rPr>
        <w:t>Current and projected air quality in NSW</w:t>
      </w:r>
      <w:r w:rsidRPr="00A01020">
        <w:rPr>
          <w:sz w:val="18"/>
          <w:szCs w:val="18"/>
        </w:rPr>
        <w:t xml:space="preserve"> at: </w:t>
      </w:r>
      <w:hyperlink r:id="rId2" w:history="1">
        <w:r w:rsidRPr="00A01020">
          <w:rPr>
            <w:rStyle w:val="Hyperlink"/>
            <w:rFonts w:ascii="Arial Narrow" w:hAnsi="Arial Narrow"/>
            <w:sz w:val="18"/>
            <w:szCs w:val="18"/>
          </w:rPr>
          <w:t>http://www.environment.nsw.gov.au/resources/air/07529cpairqual.pdf</w:t>
        </w:r>
      </w:hyperlink>
      <w:r w:rsidRPr="00A01020">
        <w:rPr>
          <w:sz w:val="18"/>
          <w:szCs w:val="18"/>
        </w:rPr>
        <w:t xml:space="preserve"> </w:t>
      </w:r>
    </w:p>
  </w:footnote>
  <w:footnote w:id="9">
    <w:p w:rsidR="00636785" w:rsidRDefault="00636785" w:rsidP="00A01020">
      <w:r w:rsidRPr="00A01020">
        <w:rPr>
          <w:rStyle w:val="FootnoteReference"/>
          <w:rFonts w:ascii="Arial Narrow" w:hAnsi="Arial Narrow"/>
          <w:sz w:val="18"/>
          <w:szCs w:val="18"/>
        </w:rPr>
        <w:footnoteRef/>
      </w:r>
      <w:r w:rsidRPr="00A01020">
        <w:rPr>
          <w:sz w:val="18"/>
          <w:szCs w:val="18"/>
        </w:rPr>
        <w:t xml:space="preserve"> </w:t>
      </w:r>
      <w:r w:rsidRPr="00A01020">
        <w:rPr>
          <w:sz w:val="18"/>
          <w:szCs w:val="18"/>
        </w:rPr>
        <w:tab/>
        <w:t xml:space="preserve">EPA Victoria (2006). </w:t>
      </w:r>
      <w:r w:rsidRPr="00A01020">
        <w:rPr>
          <w:i/>
          <w:sz w:val="18"/>
          <w:szCs w:val="18"/>
        </w:rPr>
        <w:t>Review of air quality near major roads</w:t>
      </w:r>
      <w:r w:rsidRPr="00A01020">
        <w:rPr>
          <w:sz w:val="18"/>
          <w:szCs w:val="18"/>
        </w:rPr>
        <w:t xml:space="preserve">. </w:t>
      </w:r>
      <w:proofErr w:type="gramStart"/>
      <w:r w:rsidRPr="00A01020">
        <w:rPr>
          <w:sz w:val="18"/>
          <w:szCs w:val="18"/>
        </w:rPr>
        <w:t>Publication 1025.</w:t>
      </w:r>
      <w:proofErr w:type="gramEnd"/>
      <w:r w:rsidRPr="00A01020">
        <w:rPr>
          <w:sz w:val="18"/>
          <w:szCs w:val="18"/>
        </w:rPr>
        <w:t xml:space="preserve"> February 2006.  </w:t>
      </w:r>
      <w:proofErr w:type="gramStart"/>
      <w:r w:rsidRPr="00A01020">
        <w:rPr>
          <w:sz w:val="18"/>
          <w:szCs w:val="18"/>
        </w:rPr>
        <w:t>Environment Protection Authority Victoria.</w:t>
      </w:r>
      <w:proofErr w:type="gramEnd"/>
    </w:p>
  </w:footnote>
  <w:footnote w:id="10">
    <w:p w:rsidR="00636785" w:rsidRDefault="00636785" w:rsidP="00A01020">
      <w:r w:rsidRPr="00A01020">
        <w:rPr>
          <w:rStyle w:val="FootnoteReference"/>
          <w:rFonts w:ascii="Arial Narrow" w:hAnsi="Arial Narrow"/>
          <w:sz w:val="18"/>
          <w:szCs w:val="18"/>
        </w:rPr>
        <w:footnoteRef/>
      </w:r>
      <w:r w:rsidRPr="00A01020">
        <w:rPr>
          <w:sz w:val="18"/>
          <w:szCs w:val="18"/>
        </w:rPr>
        <w:t xml:space="preserve"> </w:t>
      </w:r>
      <w:r w:rsidRPr="00A01020">
        <w:rPr>
          <w:sz w:val="18"/>
          <w:szCs w:val="18"/>
        </w:rPr>
        <w:tab/>
        <w:t>The UN Economic Commission for Europe includes body known as the International Forum for the Harmonization of Vehicle Standards, which sets the UN ECE vehicle standards.   The Forum is a body open to representation by all member countries of the UN.  Australia is represented on the Forum.</w:t>
      </w:r>
    </w:p>
  </w:footnote>
  <w:footnote w:id="11">
    <w:p w:rsidR="00636785" w:rsidRDefault="00636785" w:rsidP="00A01020">
      <w:r w:rsidRPr="00A01020">
        <w:rPr>
          <w:rStyle w:val="FootnoteReference"/>
          <w:rFonts w:ascii="Arial Narrow" w:hAnsi="Arial Narrow"/>
          <w:sz w:val="18"/>
          <w:szCs w:val="18"/>
        </w:rPr>
        <w:footnoteRef/>
      </w:r>
      <w:r w:rsidRPr="00A01020">
        <w:rPr>
          <w:sz w:val="18"/>
          <w:szCs w:val="18"/>
        </w:rPr>
        <w:t xml:space="preserve"> </w:t>
      </w:r>
      <w:r w:rsidRPr="00A01020">
        <w:rPr>
          <w:sz w:val="18"/>
          <w:szCs w:val="18"/>
        </w:rPr>
        <w:tab/>
        <w:t>In the context of this Statement, references to the Euro 5/6 emission standards for light vehicles cover all 4</w:t>
      </w:r>
      <w:r w:rsidRPr="00A01020">
        <w:rPr>
          <w:sz w:val="18"/>
          <w:szCs w:val="18"/>
        </w:rPr>
        <w:noBreakHyphen/>
        <w:t xml:space="preserve">wheeled road vehicles </w:t>
      </w:r>
      <w:r w:rsidRPr="00A01020">
        <w:rPr>
          <w:sz w:val="18"/>
          <w:szCs w:val="18"/>
        </w:rPr>
        <w:sym w:font="Symbol" w:char="F0A3"/>
      </w:r>
      <w:r w:rsidRPr="00A01020">
        <w:rPr>
          <w:sz w:val="18"/>
          <w:szCs w:val="18"/>
        </w:rPr>
        <w:t xml:space="preserve"> 3.5 tonnes GVM which operate on petrol, diesel, LPG or NG. </w:t>
      </w:r>
    </w:p>
  </w:footnote>
  <w:footnote w:id="12">
    <w:p w:rsidR="00636785" w:rsidRDefault="00636785" w:rsidP="00A01020">
      <w:r w:rsidRPr="00A01020">
        <w:rPr>
          <w:rStyle w:val="FootnoteReference"/>
          <w:rFonts w:ascii="Arial Narrow" w:hAnsi="Arial Narrow"/>
          <w:sz w:val="18"/>
          <w:szCs w:val="18"/>
        </w:rPr>
        <w:footnoteRef/>
      </w:r>
      <w:r w:rsidRPr="00A01020">
        <w:rPr>
          <w:sz w:val="18"/>
          <w:szCs w:val="18"/>
        </w:rPr>
        <w:t xml:space="preserve"> </w:t>
      </w:r>
      <w:r w:rsidRPr="00A01020">
        <w:rPr>
          <w:sz w:val="18"/>
          <w:szCs w:val="18"/>
        </w:rPr>
        <w:tab/>
        <w:t>The updated version of the ECE Regulation for emissions from light vehicles (ECE R83/06) which adopts the Euro 5 standards is currently being finalised.  The basic timing for Euro 5 specified in the draft ECE R83/06 matches that applying in the EU.  R83/06 also includes the particle number standards previously identified for introduction in Europe between Euro 5 and Euro 6, but delays their introduction until 2 years after the start date for the “base” Euro 5.  Particular OBD requirements also take effect from later dates.</w:t>
      </w:r>
    </w:p>
  </w:footnote>
  <w:footnote w:id="13">
    <w:p w:rsidR="00636785" w:rsidRDefault="00636785" w:rsidP="00A01020">
      <w:r w:rsidRPr="00A01020">
        <w:rPr>
          <w:rStyle w:val="FootnoteReference"/>
          <w:rFonts w:ascii="Arial Narrow" w:hAnsi="Arial Narrow"/>
          <w:b/>
          <w:sz w:val="18"/>
          <w:szCs w:val="18"/>
        </w:rPr>
        <w:footnoteRef/>
      </w:r>
      <w:r w:rsidRPr="00A01020">
        <w:rPr>
          <w:sz w:val="18"/>
          <w:szCs w:val="18"/>
        </w:rPr>
        <w:t xml:space="preserve"> </w:t>
      </w:r>
      <w:r w:rsidRPr="00A01020">
        <w:rPr>
          <w:sz w:val="18"/>
          <w:szCs w:val="18"/>
        </w:rPr>
        <w:tab/>
        <w:t>A full listing of all Type I test emission limits for light vehicles under Euro 2-6 is at Appendix A.  The Type I test is the core exhaust emissions test in the standard.</w:t>
      </w:r>
    </w:p>
  </w:footnote>
  <w:footnote w:id="14">
    <w:p w:rsidR="00636785" w:rsidRDefault="00636785" w:rsidP="00A01020">
      <w:r w:rsidRPr="00A01020">
        <w:rPr>
          <w:rStyle w:val="FootnoteReference"/>
          <w:rFonts w:ascii="Arial Narrow" w:hAnsi="Arial Narrow"/>
          <w:sz w:val="18"/>
          <w:szCs w:val="18"/>
        </w:rPr>
        <w:footnoteRef/>
      </w:r>
      <w:r w:rsidRPr="00A01020">
        <w:rPr>
          <w:sz w:val="18"/>
          <w:szCs w:val="18"/>
        </w:rPr>
        <w:t xml:space="preserve"> </w:t>
      </w:r>
      <w:r w:rsidRPr="00A01020">
        <w:rPr>
          <w:sz w:val="18"/>
          <w:szCs w:val="18"/>
        </w:rPr>
        <w:tab/>
        <w:t>RON = Research Octane Number; ULP = Unleaded Petrol (minimum 91 RON); PULP = Premium Unleaded Petrol (minimum 95 RON)</w:t>
      </w:r>
    </w:p>
  </w:footnote>
  <w:footnote w:id="15">
    <w:p w:rsidR="00636785" w:rsidRDefault="00636785" w:rsidP="00A01020">
      <w:r w:rsidRPr="00A01020">
        <w:rPr>
          <w:rStyle w:val="FootnoteReference"/>
          <w:rFonts w:ascii="Arial Narrow" w:hAnsi="Arial Narrow"/>
          <w:sz w:val="18"/>
          <w:szCs w:val="18"/>
        </w:rPr>
        <w:footnoteRef/>
      </w:r>
      <w:r w:rsidRPr="00A01020">
        <w:rPr>
          <w:sz w:val="18"/>
          <w:szCs w:val="18"/>
        </w:rPr>
        <w:t xml:space="preserve"> </w:t>
      </w:r>
      <w:r w:rsidRPr="00A01020">
        <w:rPr>
          <w:sz w:val="18"/>
          <w:szCs w:val="18"/>
        </w:rPr>
        <w:tab/>
        <w:t xml:space="preserve">AEA (2000) </w:t>
      </w:r>
      <w:r w:rsidRPr="00A01020">
        <w:rPr>
          <w:i/>
          <w:sz w:val="18"/>
          <w:szCs w:val="18"/>
        </w:rPr>
        <w:t>Consultation on the Need to Reduce the Sulphur content of Petrol and Diesel Fuels below 50</w:t>
      </w:r>
      <w:r w:rsidRPr="00A01020">
        <w:rPr>
          <w:sz w:val="18"/>
          <w:szCs w:val="18"/>
        </w:rPr>
        <w:t>ppm</w:t>
      </w:r>
      <w:proofErr w:type="gramStart"/>
      <w:r w:rsidRPr="00A01020">
        <w:rPr>
          <w:i/>
          <w:sz w:val="18"/>
          <w:szCs w:val="18"/>
        </w:rPr>
        <w:t>:-</w:t>
      </w:r>
      <w:proofErr w:type="gramEnd"/>
      <w:r w:rsidRPr="00A01020">
        <w:rPr>
          <w:i/>
          <w:sz w:val="18"/>
          <w:szCs w:val="18"/>
        </w:rPr>
        <w:t xml:space="preserve"> A Policy Makers Summary</w:t>
      </w:r>
      <w:r w:rsidRPr="00A01020">
        <w:rPr>
          <w:sz w:val="18"/>
          <w:szCs w:val="18"/>
        </w:rPr>
        <w:t xml:space="preserve"> report prepared for the European Commission, DG Environment, by Marsh, G, Hill, N and Sully, J of AEA Technology, November 2000.</w:t>
      </w:r>
    </w:p>
  </w:footnote>
  <w:footnote w:id="16">
    <w:p w:rsidR="00636785" w:rsidRPr="00A01020" w:rsidRDefault="00636785" w:rsidP="00A01020">
      <w:pPr>
        <w:rPr>
          <w:sz w:val="18"/>
          <w:szCs w:val="18"/>
        </w:rPr>
      </w:pPr>
      <w:r w:rsidRPr="00A01020">
        <w:rPr>
          <w:rStyle w:val="FootnoteReference"/>
          <w:rFonts w:ascii="Arial Narrow" w:hAnsi="Arial Narrow"/>
          <w:sz w:val="18"/>
          <w:szCs w:val="18"/>
        </w:rPr>
        <w:footnoteRef/>
      </w:r>
      <w:r w:rsidRPr="00A01020">
        <w:rPr>
          <w:sz w:val="18"/>
          <w:szCs w:val="18"/>
        </w:rPr>
        <w:t xml:space="preserve"> </w:t>
      </w:r>
      <w:r w:rsidRPr="00A01020">
        <w:rPr>
          <w:sz w:val="18"/>
          <w:szCs w:val="18"/>
        </w:rPr>
        <w:tab/>
        <w:t xml:space="preserve">Source: </w:t>
      </w:r>
      <w:hyperlink r:id="rId3" w:history="1">
        <w:r w:rsidRPr="00A01020">
          <w:rPr>
            <w:rStyle w:val="Hyperlink"/>
            <w:rFonts w:ascii="Arial Narrow" w:hAnsi="Arial Narrow"/>
            <w:sz w:val="18"/>
            <w:szCs w:val="18"/>
          </w:rPr>
          <w:t>www.greenvehicleguide.gov.au</w:t>
        </w:r>
      </w:hyperlink>
      <w:r w:rsidRPr="00A01020">
        <w:rPr>
          <w:sz w:val="18"/>
          <w:szCs w:val="18"/>
        </w:rPr>
        <w:t xml:space="preserve"> Note: In some cases, some variants of models listed as ULP compatible (usually higher performance versions) required operation on PULP.</w:t>
      </w:r>
    </w:p>
    <w:p w:rsidR="00636785" w:rsidRDefault="00636785" w:rsidP="00A01020"/>
  </w:footnote>
  <w:footnote w:id="17">
    <w:p w:rsidR="00636785" w:rsidRDefault="00636785" w:rsidP="00A01020">
      <w:r w:rsidRPr="00A01020">
        <w:rPr>
          <w:rStyle w:val="FootnoteReference"/>
          <w:rFonts w:ascii="Arial Narrow" w:hAnsi="Arial Narrow"/>
          <w:sz w:val="18"/>
          <w:szCs w:val="18"/>
        </w:rPr>
        <w:footnoteRef/>
      </w:r>
      <w:r w:rsidRPr="00A01020">
        <w:rPr>
          <w:sz w:val="18"/>
          <w:szCs w:val="18"/>
        </w:rPr>
        <w:t xml:space="preserve"> </w:t>
      </w:r>
      <w:r w:rsidRPr="00A01020">
        <w:rPr>
          <w:sz w:val="18"/>
          <w:szCs w:val="18"/>
        </w:rPr>
        <w:tab/>
        <w:t xml:space="preserve">Productivity Commission (2002) </w:t>
      </w:r>
      <w:r w:rsidRPr="00A01020">
        <w:rPr>
          <w:i/>
          <w:sz w:val="18"/>
          <w:szCs w:val="18"/>
        </w:rPr>
        <w:t xml:space="preserve">Review of Automotive Assistance – Inquiry Report No.25, </w:t>
      </w:r>
      <w:r w:rsidRPr="00A01020">
        <w:rPr>
          <w:sz w:val="18"/>
          <w:szCs w:val="18"/>
        </w:rPr>
        <w:t xml:space="preserve">August 2002 at: </w:t>
      </w:r>
      <w:hyperlink r:id="rId4" w:history="1">
        <w:r w:rsidRPr="00A01020">
          <w:rPr>
            <w:rStyle w:val="Hyperlink"/>
            <w:rFonts w:ascii="Arial Narrow" w:hAnsi="Arial Narrow"/>
            <w:sz w:val="18"/>
            <w:szCs w:val="18"/>
          </w:rPr>
          <w:t>http://www.pc.gov.au/__data/assets/pdf_file/0003/25284/auto.pdf</w:t>
        </w:r>
      </w:hyperlink>
      <w:r w:rsidRPr="001E24EC">
        <w:t xml:space="preserve"> </w:t>
      </w:r>
    </w:p>
  </w:footnote>
  <w:footnote w:id="18">
    <w:p w:rsidR="00636785" w:rsidRDefault="00636785" w:rsidP="00970222">
      <w:r w:rsidRPr="00970222">
        <w:rPr>
          <w:rStyle w:val="FootnoteReference"/>
          <w:rFonts w:ascii="Arial Narrow" w:hAnsi="Arial Narrow"/>
          <w:sz w:val="18"/>
          <w:szCs w:val="18"/>
        </w:rPr>
        <w:footnoteRef/>
      </w:r>
      <w:r w:rsidRPr="00970222">
        <w:rPr>
          <w:sz w:val="18"/>
          <w:szCs w:val="18"/>
        </w:rPr>
        <w:t xml:space="preserve"> </w:t>
      </w:r>
      <w:r w:rsidRPr="00970222">
        <w:rPr>
          <w:sz w:val="18"/>
          <w:szCs w:val="18"/>
        </w:rPr>
        <w:tab/>
        <w:t xml:space="preserve">ANOP (2005) </w:t>
      </w:r>
      <w:r w:rsidRPr="00970222">
        <w:rPr>
          <w:i/>
          <w:sz w:val="18"/>
          <w:szCs w:val="18"/>
        </w:rPr>
        <w:t>National Survey of Motorists’ Attitudes</w:t>
      </w:r>
      <w:r w:rsidRPr="00970222">
        <w:rPr>
          <w:sz w:val="18"/>
          <w:szCs w:val="18"/>
        </w:rPr>
        <w:t xml:space="preserve"> Report prepared for the Australian Automobile Association at: </w:t>
      </w:r>
      <w:hyperlink r:id="rId5" w:history="1">
        <w:r w:rsidRPr="00970222">
          <w:rPr>
            <w:rStyle w:val="Hyperlink"/>
            <w:rFonts w:ascii="Arial Narrow" w:hAnsi="Arial Narrow"/>
            <w:sz w:val="18"/>
            <w:szCs w:val="18"/>
          </w:rPr>
          <w:t>http://www.aaa.asn.au/documents/opinion%2F2005%2FANOP_exec_05.pdf</w:t>
        </w:r>
      </w:hyperlink>
      <w:r w:rsidRPr="00970222">
        <w:rPr>
          <w:sz w:val="18"/>
          <w:szCs w:val="18"/>
        </w:rPr>
        <w:t xml:space="preserve"> </w:t>
      </w:r>
    </w:p>
  </w:footnote>
  <w:footnote w:id="19">
    <w:p w:rsidR="00636785" w:rsidRDefault="00636785" w:rsidP="00970222">
      <w:r w:rsidRPr="00970222">
        <w:rPr>
          <w:rStyle w:val="FootnoteReference"/>
          <w:rFonts w:ascii="Arial Narrow" w:hAnsi="Arial Narrow"/>
          <w:sz w:val="18"/>
          <w:szCs w:val="18"/>
        </w:rPr>
        <w:footnoteRef/>
      </w:r>
      <w:r w:rsidRPr="00970222">
        <w:rPr>
          <w:sz w:val="18"/>
          <w:szCs w:val="18"/>
        </w:rPr>
        <w:t xml:space="preserve"> </w:t>
      </w:r>
      <w:r w:rsidRPr="00970222">
        <w:rPr>
          <w:sz w:val="18"/>
          <w:szCs w:val="18"/>
        </w:rPr>
        <w:tab/>
        <w:t xml:space="preserve">For example, see OECD (2004) </w:t>
      </w:r>
      <w:r w:rsidRPr="00970222">
        <w:rPr>
          <w:i/>
          <w:sz w:val="18"/>
          <w:szCs w:val="18"/>
        </w:rPr>
        <w:t xml:space="preserve">Can Cars Come Clean? Strategies for Low Emission Vehicles </w:t>
      </w:r>
      <w:r w:rsidRPr="00970222">
        <w:rPr>
          <w:sz w:val="18"/>
          <w:szCs w:val="18"/>
        </w:rPr>
        <w:t>at:</w:t>
      </w:r>
      <w:r w:rsidRPr="00970222">
        <w:rPr>
          <w:i/>
          <w:sz w:val="18"/>
          <w:szCs w:val="18"/>
        </w:rPr>
        <w:t xml:space="preserve"> </w:t>
      </w:r>
      <w:hyperlink r:id="rId6" w:history="1">
        <w:r w:rsidRPr="00970222">
          <w:rPr>
            <w:rStyle w:val="Hyperlink"/>
            <w:rFonts w:ascii="Arial Narrow" w:hAnsi="Arial Narrow"/>
            <w:sz w:val="18"/>
            <w:szCs w:val="18"/>
          </w:rPr>
          <w:t>http://www.oecdbookshop.org/oecd/display.asp?k=5LMQCR2JFM24&amp;lang=en</w:t>
        </w:r>
      </w:hyperlink>
      <w:r w:rsidRPr="00970222">
        <w:rPr>
          <w:sz w:val="18"/>
          <w:szCs w:val="18"/>
        </w:rPr>
        <w:t xml:space="preserve"> ; ECMT (2001) </w:t>
      </w:r>
      <w:r w:rsidRPr="00970222">
        <w:rPr>
          <w:i/>
          <w:sz w:val="18"/>
          <w:szCs w:val="18"/>
        </w:rPr>
        <w:t>Vehicle Emission Reductions</w:t>
      </w:r>
      <w:r w:rsidRPr="00970222">
        <w:rPr>
          <w:sz w:val="18"/>
          <w:szCs w:val="18"/>
        </w:rPr>
        <w:t xml:space="preserve"> at: </w:t>
      </w:r>
      <w:hyperlink r:id="rId7" w:history="1">
        <w:r w:rsidRPr="00970222">
          <w:rPr>
            <w:rStyle w:val="Hyperlink"/>
            <w:rFonts w:ascii="Arial Narrow" w:hAnsi="Arial Narrow"/>
            <w:sz w:val="18"/>
            <w:szCs w:val="18"/>
          </w:rPr>
          <w:t>http://www.internationaltransportforum.org/europe/ecmt/pubpdf/01VehEmis.pdf</w:t>
        </w:r>
      </w:hyperlink>
      <w:r w:rsidRPr="00970222">
        <w:rPr>
          <w:sz w:val="18"/>
          <w:szCs w:val="18"/>
        </w:rPr>
        <w:t xml:space="preserve"> </w:t>
      </w:r>
    </w:p>
  </w:footnote>
  <w:footnote w:id="20">
    <w:p w:rsidR="00636785" w:rsidRDefault="00636785" w:rsidP="00970222">
      <w:r w:rsidRPr="00970222">
        <w:rPr>
          <w:rStyle w:val="FootnoteReference"/>
          <w:rFonts w:ascii="Arial Narrow" w:hAnsi="Arial Narrow"/>
          <w:sz w:val="18"/>
          <w:szCs w:val="18"/>
        </w:rPr>
        <w:footnoteRef/>
      </w:r>
      <w:r w:rsidRPr="00970222">
        <w:rPr>
          <w:sz w:val="18"/>
          <w:szCs w:val="18"/>
        </w:rPr>
        <w:t xml:space="preserve"> </w:t>
      </w:r>
      <w:r w:rsidRPr="00970222">
        <w:rPr>
          <w:sz w:val="18"/>
          <w:szCs w:val="18"/>
        </w:rPr>
        <w:tab/>
        <w:t>World Bank (</w:t>
      </w:r>
      <w:proofErr w:type="spellStart"/>
      <w:r w:rsidRPr="00970222">
        <w:rPr>
          <w:sz w:val="18"/>
          <w:szCs w:val="18"/>
        </w:rPr>
        <w:t>Gwilliam</w:t>
      </w:r>
      <w:proofErr w:type="spellEnd"/>
      <w:r w:rsidRPr="00970222">
        <w:rPr>
          <w:sz w:val="18"/>
          <w:szCs w:val="18"/>
        </w:rPr>
        <w:t xml:space="preserve">, K, Kojima, M &amp; Johnson, T) (2004) </w:t>
      </w:r>
      <w:r w:rsidRPr="00970222">
        <w:rPr>
          <w:i/>
          <w:sz w:val="18"/>
          <w:szCs w:val="18"/>
        </w:rPr>
        <w:t>Reducing Air Pollution from Urban Transport</w:t>
      </w:r>
      <w:r w:rsidRPr="00970222">
        <w:rPr>
          <w:sz w:val="18"/>
          <w:szCs w:val="18"/>
        </w:rPr>
        <w:t xml:space="preserve"> World Bank, Washington DC, June 2004 at: </w:t>
      </w:r>
      <w:hyperlink r:id="rId8" w:history="1">
        <w:r w:rsidRPr="00970222">
          <w:rPr>
            <w:rStyle w:val="Hyperlink"/>
            <w:rFonts w:ascii="Arial Narrow" w:hAnsi="Arial Narrow"/>
            <w:sz w:val="18"/>
            <w:szCs w:val="18"/>
          </w:rPr>
          <w:t>http://www.cleanairnet.org/cai/1403/article-56396.html</w:t>
        </w:r>
      </w:hyperlink>
      <w:r w:rsidRPr="0080653E">
        <w:t xml:space="preserve"> </w:t>
      </w:r>
    </w:p>
  </w:footnote>
  <w:footnote w:id="21">
    <w:p w:rsidR="00636785" w:rsidRDefault="00636785" w:rsidP="00970222">
      <w:r w:rsidRPr="00970222">
        <w:rPr>
          <w:rStyle w:val="FootnoteReference"/>
          <w:rFonts w:ascii="Arial Narrow" w:hAnsi="Arial Narrow"/>
          <w:sz w:val="18"/>
          <w:szCs w:val="18"/>
        </w:rPr>
        <w:footnoteRef/>
      </w:r>
      <w:r w:rsidRPr="00970222">
        <w:rPr>
          <w:sz w:val="18"/>
          <w:szCs w:val="18"/>
        </w:rPr>
        <w:t xml:space="preserve"> </w:t>
      </w:r>
      <w:r w:rsidRPr="00970222">
        <w:rPr>
          <w:sz w:val="18"/>
          <w:szCs w:val="18"/>
        </w:rPr>
        <w:tab/>
        <w:t>These estimates should be considered as indicative only, as the cost of emission control systems (such as particle traps) can vary with the engine exhaust output.  This may not necessarily be linked to the vehicle’s price, although vehicles with larger engines will generally be more expensive.</w:t>
      </w:r>
    </w:p>
  </w:footnote>
  <w:footnote w:id="22">
    <w:p w:rsidR="00636785" w:rsidRDefault="00636785" w:rsidP="00970222">
      <w:r w:rsidRPr="00970222">
        <w:rPr>
          <w:rStyle w:val="FootnoteReference"/>
          <w:rFonts w:ascii="Arial Narrow" w:hAnsi="Arial Narrow"/>
          <w:sz w:val="18"/>
          <w:szCs w:val="18"/>
        </w:rPr>
        <w:footnoteRef/>
      </w:r>
      <w:r w:rsidRPr="00970222">
        <w:rPr>
          <w:sz w:val="18"/>
          <w:szCs w:val="18"/>
        </w:rPr>
        <w:t xml:space="preserve"> </w:t>
      </w:r>
      <w:r w:rsidRPr="00970222">
        <w:rPr>
          <w:sz w:val="18"/>
          <w:szCs w:val="18"/>
        </w:rPr>
        <w:tab/>
      </w:r>
      <w:r w:rsidRPr="00970222">
        <w:rPr>
          <w:rFonts w:cs="Arial"/>
          <w:sz w:val="18"/>
          <w:szCs w:val="18"/>
        </w:rPr>
        <w:t xml:space="preserve">Commission of the European Communities SEC (2005) 1745, COM(2005)683 Final 21.12.2005 at: </w:t>
      </w:r>
      <w:hyperlink r:id="rId9" w:history="1">
        <w:r w:rsidRPr="00970222">
          <w:rPr>
            <w:rStyle w:val="Hyperlink"/>
            <w:rFonts w:ascii="Arial Narrow" w:hAnsi="Arial Narrow" w:cs="Arial"/>
            <w:sz w:val="18"/>
            <w:szCs w:val="18"/>
          </w:rPr>
          <w:t>http://www.europarl.europa.eu/registre/docs_autres_institutions/commission_europeenne/sec/2005/1745/COM_SEC(2005)1745_EN.pdf</w:t>
        </w:r>
      </w:hyperlink>
    </w:p>
  </w:footnote>
  <w:footnote w:id="23">
    <w:p w:rsidR="00636785" w:rsidRDefault="00636785" w:rsidP="00970222">
      <w:r w:rsidRPr="00970222">
        <w:rPr>
          <w:rStyle w:val="FootnoteReference"/>
          <w:rFonts w:ascii="Arial Narrow" w:hAnsi="Arial Narrow"/>
          <w:sz w:val="18"/>
          <w:szCs w:val="18"/>
        </w:rPr>
        <w:footnoteRef/>
      </w:r>
      <w:r w:rsidRPr="00970222">
        <w:rPr>
          <w:sz w:val="18"/>
          <w:szCs w:val="18"/>
        </w:rPr>
        <w:t xml:space="preserve"> </w:t>
      </w:r>
      <w:r w:rsidRPr="00970222">
        <w:rPr>
          <w:sz w:val="18"/>
          <w:szCs w:val="18"/>
        </w:rPr>
        <w:tab/>
        <w:t xml:space="preserve">DSEWPC (2009) </w:t>
      </w:r>
      <w:r w:rsidRPr="00970222">
        <w:rPr>
          <w:i/>
          <w:sz w:val="18"/>
          <w:szCs w:val="18"/>
        </w:rPr>
        <w:t xml:space="preserve">Second National In-service Emissions Study (NISE 2) - Final Report </w:t>
      </w:r>
      <w:r w:rsidRPr="00970222">
        <w:rPr>
          <w:sz w:val="18"/>
          <w:szCs w:val="18"/>
        </w:rPr>
        <w:t xml:space="preserve">at: </w:t>
      </w:r>
      <w:hyperlink r:id="rId10" w:history="1">
        <w:r w:rsidRPr="00970222">
          <w:rPr>
            <w:rStyle w:val="Hyperlink"/>
            <w:rFonts w:ascii="Arial Narrow" w:hAnsi="Arial Narrow"/>
            <w:sz w:val="18"/>
            <w:szCs w:val="18"/>
          </w:rPr>
          <w:t>http://www.environment.gov.au/atmosphere/transport/nise2.html</w:t>
        </w:r>
      </w:hyperlink>
      <w:r>
        <w:t xml:space="preserve"> </w:t>
      </w:r>
    </w:p>
  </w:footnote>
  <w:footnote w:id="24">
    <w:p w:rsidR="00636785" w:rsidRDefault="00636785" w:rsidP="00A06566">
      <w:r w:rsidRPr="00A06566">
        <w:rPr>
          <w:rStyle w:val="FootnoteReference"/>
          <w:rFonts w:ascii="Arial Narrow" w:hAnsi="Arial Narrow"/>
          <w:sz w:val="18"/>
          <w:szCs w:val="18"/>
        </w:rPr>
        <w:footnoteRef/>
      </w:r>
      <w:r w:rsidRPr="00A06566">
        <w:rPr>
          <w:sz w:val="18"/>
          <w:szCs w:val="18"/>
        </w:rPr>
        <w:t xml:space="preserve"> </w:t>
      </w:r>
      <w:r w:rsidRPr="00A06566">
        <w:rPr>
          <w:sz w:val="18"/>
          <w:szCs w:val="18"/>
        </w:rPr>
        <w:tab/>
        <w:t xml:space="preserve">Note: in this RIS, the emissions projections are estimated for the Period 2005-2040.  However, for the purposes of the Benefit Cost Analysis in section 4, the analysis period is limited to 2009-2029.  </w:t>
      </w:r>
    </w:p>
  </w:footnote>
  <w:footnote w:id="25">
    <w:p w:rsidR="00636785" w:rsidRDefault="00636785">
      <w:pPr>
        <w:pStyle w:val="FootnoteText"/>
      </w:pPr>
      <w:r w:rsidRPr="005D49D1">
        <w:rPr>
          <w:rStyle w:val="FootnoteReference"/>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See Note to Table 4</w:t>
      </w:r>
      <w:r w:rsidRPr="005D49D1">
        <w:rPr>
          <w:rFonts w:ascii="Arial Narrow" w:hAnsi="Arial Narrow"/>
          <w:sz w:val="18"/>
          <w:szCs w:val="18"/>
        </w:rPr>
        <w:t xml:space="preserve"> for explanation of dates</w:t>
      </w:r>
    </w:p>
  </w:footnote>
  <w:footnote w:id="26">
    <w:p w:rsidR="00636785" w:rsidRDefault="00636785" w:rsidP="00A06566">
      <w:r w:rsidRPr="00A06566">
        <w:rPr>
          <w:rStyle w:val="FootnoteReference"/>
          <w:rFonts w:ascii="Arial Narrow" w:hAnsi="Arial Narrow"/>
          <w:sz w:val="18"/>
          <w:szCs w:val="18"/>
        </w:rPr>
        <w:footnoteRef/>
      </w:r>
      <w:r w:rsidRPr="00A06566">
        <w:rPr>
          <w:sz w:val="18"/>
          <w:szCs w:val="18"/>
        </w:rPr>
        <w:t xml:space="preserve"> </w:t>
      </w:r>
      <w:r w:rsidRPr="00A06566">
        <w:rPr>
          <w:sz w:val="18"/>
          <w:szCs w:val="18"/>
        </w:rPr>
        <w:tab/>
        <w:t xml:space="preserve">Original EC 2005/6 cost estimates in Euros converted to A$ at exchange rate of A$ 1.00 = € 0.6 - sourced from Commission of the European Communities SEC (2005) 1745, COM(2005)683 Final 21.12.2005 at: </w:t>
      </w:r>
      <w:hyperlink r:id="rId11" w:history="1">
        <w:r w:rsidRPr="00A06566">
          <w:rPr>
            <w:rStyle w:val="Hyperlink"/>
            <w:rFonts w:ascii="Arial Narrow" w:hAnsi="Arial Narrow" w:cs="Arial"/>
            <w:sz w:val="18"/>
            <w:szCs w:val="18"/>
          </w:rPr>
          <w:t>http://www.europarl.europa.eu/registre/docs_autres_institutions/commission_europeenne/sec/2005/1745/COM_SEC(2005)1745_EN.pdf</w:t>
        </w:r>
      </w:hyperlink>
      <w:r w:rsidRPr="00A06566">
        <w:rPr>
          <w:sz w:val="18"/>
          <w:szCs w:val="18"/>
        </w:rPr>
        <w:t xml:space="preserve"> </w:t>
      </w:r>
      <w:r w:rsidRPr="00A06566">
        <w:rPr>
          <w:b/>
          <w:sz w:val="18"/>
          <w:szCs w:val="18"/>
        </w:rPr>
        <w:t xml:space="preserve">and </w:t>
      </w:r>
      <w:r w:rsidRPr="00A06566">
        <w:rPr>
          <w:sz w:val="18"/>
          <w:szCs w:val="18"/>
        </w:rPr>
        <w:t xml:space="preserve"> European Commission, Impact Assessment for Euro 6 emission limits for light duty vehicles 20.09.2006 at: </w:t>
      </w:r>
      <w:hyperlink r:id="rId12" w:history="1">
        <w:r w:rsidRPr="00A06566">
          <w:rPr>
            <w:rStyle w:val="Hyperlink"/>
            <w:rFonts w:ascii="Arial Narrow" w:hAnsi="Arial Narrow" w:cs="Arial"/>
            <w:sz w:val="18"/>
            <w:szCs w:val="18"/>
          </w:rPr>
          <w:t>http://ec.europa.eu/enterprise/automotive/pagesbackground/pollutant_emission/impact_assessment_euro6.pdf</w:t>
        </w:r>
      </w:hyperlink>
      <w:r w:rsidRPr="00A06566">
        <w:rPr>
          <w:sz w:val="18"/>
          <w:szCs w:val="18"/>
        </w:rPr>
        <w:t xml:space="preserve"> </w:t>
      </w:r>
    </w:p>
  </w:footnote>
  <w:footnote w:id="27">
    <w:p w:rsidR="00636785" w:rsidRDefault="00636785">
      <w:pPr>
        <w:pStyle w:val="FootnoteText"/>
      </w:pPr>
      <w:r w:rsidRPr="005D49D1">
        <w:rPr>
          <w:rStyle w:val="FootnoteReference"/>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See Note to Table 4</w:t>
      </w:r>
      <w:r w:rsidRPr="005D49D1">
        <w:rPr>
          <w:rFonts w:ascii="Arial Narrow" w:hAnsi="Arial Narrow"/>
          <w:sz w:val="18"/>
          <w:szCs w:val="18"/>
        </w:rPr>
        <w:t xml:space="preserve"> for explanation of dates.</w:t>
      </w:r>
    </w:p>
  </w:footnote>
  <w:footnote w:id="28">
    <w:p w:rsidR="00636785" w:rsidRDefault="00636785" w:rsidP="00621905">
      <w:r w:rsidRPr="00621905">
        <w:rPr>
          <w:rStyle w:val="FootnoteReference"/>
          <w:rFonts w:ascii="Arial Narrow" w:hAnsi="Arial Narrow"/>
          <w:sz w:val="18"/>
          <w:szCs w:val="18"/>
        </w:rPr>
        <w:footnoteRef/>
      </w:r>
      <w:r w:rsidRPr="00621905">
        <w:rPr>
          <w:sz w:val="18"/>
          <w:szCs w:val="18"/>
        </w:rPr>
        <w:t xml:space="preserve"> </w:t>
      </w:r>
      <w:r w:rsidRPr="00621905">
        <w:rPr>
          <w:sz w:val="18"/>
          <w:szCs w:val="18"/>
        </w:rPr>
        <w:tab/>
        <w:t>See Note to Table 4 for explanation of dates.</w:t>
      </w:r>
    </w:p>
  </w:footnote>
  <w:footnote w:id="29">
    <w:p w:rsidR="00636785" w:rsidRDefault="00636785" w:rsidP="00621905">
      <w:r w:rsidRPr="00621905">
        <w:rPr>
          <w:rStyle w:val="FootnoteReference"/>
          <w:rFonts w:ascii="Arial Narrow" w:hAnsi="Arial Narrow"/>
          <w:sz w:val="18"/>
          <w:szCs w:val="18"/>
        </w:rPr>
        <w:footnoteRef/>
      </w:r>
      <w:r w:rsidRPr="00621905">
        <w:rPr>
          <w:sz w:val="18"/>
          <w:szCs w:val="18"/>
        </w:rPr>
        <w:t xml:space="preserve"> </w:t>
      </w:r>
      <w:r w:rsidRPr="00621905">
        <w:rPr>
          <w:sz w:val="18"/>
          <w:szCs w:val="18"/>
        </w:rPr>
        <w:tab/>
        <w:t>See Note to Table 4 for explanation of dates</w:t>
      </w:r>
    </w:p>
  </w:footnote>
  <w:footnote w:id="30">
    <w:p w:rsidR="00636785" w:rsidRDefault="00636785" w:rsidP="00621905">
      <w:r w:rsidRPr="00621905">
        <w:rPr>
          <w:rStyle w:val="FootnoteReference"/>
          <w:rFonts w:ascii="Arial Narrow" w:hAnsi="Arial Narrow"/>
          <w:sz w:val="18"/>
          <w:szCs w:val="18"/>
        </w:rPr>
        <w:footnoteRef/>
      </w:r>
      <w:r w:rsidRPr="00621905">
        <w:rPr>
          <w:sz w:val="18"/>
          <w:szCs w:val="18"/>
        </w:rPr>
        <w:t xml:space="preserve"> </w:t>
      </w:r>
      <w:r w:rsidRPr="00621905">
        <w:rPr>
          <w:sz w:val="18"/>
          <w:szCs w:val="18"/>
        </w:rPr>
        <w:tab/>
        <w:t>See Note to Table 4 for explanation of dates</w:t>
      </w:r>
    </w:p>
  </w:footnote>
  <w:footnote w:id="31">
    <w:p w:rsidR="00636785" w:rsidRDefault="00636785" w:rsidP="006E1F57">
      <w:r w:rsidRPr="006E1F57">
        <w:rPr>
          <w:rStyle w:val="FootnoteReference"/>
          <w:sz w:val="18"/>
          <w:szCs w:val="18"/>
        </w:rPr>
        <w:footnoteRef/>
      </w:r>
      <w:r w:rsidRPr="006E1F57">
        <w:rPr>
          <w:sz w:val="18"/>
          <w:szCs w:val="18"/>
        </w:rPr>
        <w:t xml:space="preserve"> </w:t>
      </w:r>
      <w:r w:rsidRPr="006E1F57">
        <w:rPr>
          <w:sz w:val="18"/>
          <w:szCs w:val="18"/>
        </w:rPr>
        <w:tab/>
        <w:t xml:space="preserve">While the Benefit Cost Analysis period is limited to 2009-2029, the emissions projections in section 4.1 are reported over a longer period (to 2040) to illustrate expected fleet emissions behaviour in the absence of any new standards being introduced beyond the BCA analysis period.  </w:t>
      </w:r>
    </w:p>
  </w:footnote>
  <w:footnote w:id="32">
    <w:p w:rsidR="00636785" w:rsidRDefault="00636785" w:rsidP="006E1F57">
      <w:r w:rsidRPr="006E1F57">
        <w:rPr>
          <w:rStyle w:val="FootnoteReference"/>
          <w:rFonts w:ascii="Arial Narrow" w:hAnsi="Arial Narrow"/>
          <w:sz w:val="18"/>
          <w:szCs w:val="18"/>
        </w:rPr>
        <w:footnoteRef/>
      </w:r>
      <w:r w:rsidRPr="006E1F57">
        <w:rPr>
          <w:sz w:val="18"/>
          <w:szCs w:val="18"/>
        </w:rPr>
        <w:t xml:space="preserve"> </w:t>
      </w:r>
      <w:r w:rsidRPr="006E1F57">
        <w:rPr>
          <w:sz w:val="18"/>
          <w:szCs w:val="18"/>
        </w:rPr>
        <w:tab/>
        <w:t xml:space="preserve">OBPR (2007) Best Practice Regulation Handbook at: </w:t>
      </w:r>
      <w:hyperlink r:id="rId13" w:history="1">
        <w:r w:rsidRPr="006E1F57">
          <w:rPr>
            <w:rStyle w:val="Hyperlink"/>
            <w:rFonts w:ascii="Arial Narrow" w:hAnsi="Arial Narrow"/>
            <w:sz w:val="18"/>
            <w:szCs w:val="18"/>
          </w:rPr>
          <w:t>http://www.finance.gov.au/obpr/docs/handbook.pdf</w:t>
        </w:r>
      </w:hyperlink>
      <w:r w:rsidRPr="00573D65">
        <w:t xml:space="preserve"> </w:t>
      </w:r>
    </w:p>
  </w:footnote>
  <w:footnote w:id="33">
    <w:p w:rsidR="00636785" w:rsidRDefault="00636785" w:rsidP="000C238A">
      <w:r w:rsidRPr="000C238A">
        <w:rPr>
          <w:rStyle w:val="FootnoteReference"/>
          <w:sz w:val="18"/>
          <w:szCs w:val="18"/>
        </w:rPr>
        <w:footnoteRef/>
      </w:r>
      <w:r w:rsidRPr="000C238A">
        <w:rPr>
          <w:sz w:val="18"/>
          <w:szCs w:val="18"/>
        </w:rPr>
        <w:t xml:space="preserve"> </w:t>
      </w:r>
      <w:r w:rsidRPr="000C238A">
        <w:rPr>
          <w:sz w:val="18"/>
          <w:szCs w:val="18"/>
        </w:rPr>
        <w:tab/>
        <w:t xml:space="preserve">Commission of the European Communities SEC (2005) 1745, COM(2005)683 Final 21.12.2005 at: </w:t>
      </w:r>
      <w:hyperlink r:id="rId14" w:history="1">
        <w:r w:rsidRPr="000C238A">
          <w:rPr>
            <w:rStyle w:val="Hyperlink"/>
            <w:rFonts w:ascii="Arial Narrow" w:hAnsi="Arial Narrow" w:cs="Arial"/>
            <w:sz w:val="18"/>
            <w:szCs w:val="18"/>
          </w:rPr>
          <w:t>http://www.europarl.europa.eu/registre/docs_autres_institutions/commission_europeenne/sec/2005/1745/COM_SEC(2005)1745_EN.pdf</w:t>
        </w:r>
      </w:hyperlink>
      <w:r w:rsidRPr="000C238A">
        <w:rPr>
          <w:sz w:val="18"/>
          <w:szCs w:val="18"/>
        </w:rPr>
        <w:t xml:space="preserve"> </w:t>
      </w:r>
      <w:r w:rsidRPr="000C238A">
        <w:rPr>
          <w:b/>
          <w:sz w:val="18"/>
          <w:szCs w:val="18"/>
        </w:rPr>
        <w:t xml:space="preserve">and </w:t>
      </w:r>
      <w:r w:rsidRPr="000C238A">
        <w:rPr>
          <w:sz w:val="18"/>
          <w:szCs w:val="18"/>
        </w:rPr>
        <w:t xml:space="preserve"> European Commission, </w:t>
      </w:r>
      <w:r w:rsidRPr="000C238A">
        <w:rPr>
          <w:i/>
          <w:sz w:val="18"/>
          <w:szCs w:val="18"/>
        </w:rPr>
        <w:t>Impact Assessment for Euro 6 emission limits for light duty vehicles</w:t>
      </w:r>
      <w:r w:rsidRPr="000C238A">
        <w:rPr>
          <w:sz w:val="18"/>
          <w:szCs w:val="18"/>
        </w:rPr>
        <w:t xml:space="preserve"> 20.09.2006 at: </w:t>
      </w:r>
      <w:hyperlink r:id="rId15" w:history="1">
        <w:r w:rsidRPr="000C238A">
          <w:rPr>
            <w:rStyle w:val="Hyperlink"/>
            <w:rFonts w:ascii="Arial Narrow" w:hAnsi="Arial Narrow" w:cs="Arial"/>
            <w:sz w:val="18"/>
            <w:szCs w:val="18"/>
          </w:rPr>
          <w:t>http://ec.europa.eu/enterprise/automotive/pagesbackground/pollutant_emission/impact_assessment_euro6.pdf</w:t>
        </w:r>
      </w:hyperlink>
    </w:p>
  </w:footnote>
  <w:footnote w:id="34">
    <w:p w:rsidR="00636785" w:rsidRDefault="00636785" w:rsidP="000C238A">
      <w:r w:rsidRPr="000C238A">
        <w:rPr>
          <w:rStyle w:val="FootnoteReference"/>
          <w:sz w:val="18"/>
          <w:szCs w:val="18"/>
        </w:rPr>
        <w:footnoteRef/>
      </w:r>
      <w:r w:rsidRPr="000C238A">
        <w:rPr>
          <w:sz w:val="18"/>
          <w:szCs w:val="18"/>
        </w:rPr>
        <w:t xml:space="preserve"> </w:t>
      </w:r>
      <w:r w:rsidRPr="000C238A">
        <w:rPr>
          <w:sz w:val="18"/>
          <w:szCs w:val="18"/>
        </w:rPr>
        <w:tab/>
        <w:t xml:space="preserve">Estimates of total daily travel demand by Australians for each forecast year are based on relevant demographic and economic conditions, projected out to the end-year using ABS projections of national population and Treasury projections of economic growth.  Mode split models estimate the amount of this total (annual) travel to be performed by light vehicles, which in turn (using trends in average travel per vehicle) estimate the aggregate car stock required to perform the estimated total VKT task for that year.  Models of vehicle fleet dynamics estimate how many cars will leave the fleet each year (with estimated survival curves applied to each vintage – such that older vehicles are much more likely to be scrapped in any particular year than newer vehicles).  New sales in any particular projection year are then estimated as the difference between that </w:t>
      </w:r>
      <w:proofErr w:type="gramStart"/>
      <w:r w:rsidRPr="000C238A">
        <w:rPr>
          <w:sz w:val="18"/>
          <w:szCs w:val="18"/>
        </w:rPr>
        <w:t>year’s</w:t>
      </w:r>
      <w:proofErr w:type="gramEnd"/>
      <w:r w:rsidRPr="000C238A">
        <w:rPr>
          <w:sz w:val="18"/>
          <w:szCs w:val="18"/>
        </w:rPr>
        <w:t xml:space="preserve"> required vehicle stock, and last year’s stock less the intervening </w:t>
      </w:r>
      <w:proofErr w:type="spellStart"/>
      <w:r w:rsidRPr="000C238A">
        <w:rPr>
          <w:sz w:val="18"/>
          <w:szCs w:val="18"/>
        </w:rPr>
        <w:t>scrappage</w:t>
      </w:r>
      <w:proofErr w:type="spellEnd"/>
      <w:r w:rsidRPr="000C238A">
        <w:rPr>
          <w:sz w:val="18"/>
          <w:szCs w:val="18"/>
        </w:rPr>
        <w:t xml:space="preserve"> amount.</w:t>
      </w:r>
    </w:p>
  </w:footnote>
  <w:footnote w:id="35">
    <w:p w:rsidR="00636785" w:rsidRDefault="00636785" w:rsidP="000C238A">
      <w:r w:rsidRPr="000C238A">
        <w:rPr>
          <w:rStyle w:val="FootnoteReference"/>
          <w:rFonts w:ascii="Arial Narrow" w:hAnsi="Arial Narrow"/>
          <w:sz w:val="18"/>
          <w:szCs w:val="18"/>
        </w:rPr>
        <w:footnoteRef/>
      </w:r>
      <w:r w:rsidRPr="000C238A">
        <w:rPr>
          <w:sz w:val="18"/>
          <w:szCs w:val="18"/>
        </w:rPr>
        <w:t xml:space="preserve"> </w:t>
      </w:r>
      <w:r w:rsidRPr="000C238A">
        <w:rPr>
          <w:sz w:val="18"/>
          <w:szCs w:val="18"/>
        </w:rPr>
        <w:tab/>
        <w:t>As the majority of direct injection petrol engines are likely to be imported and subject to stringent Euro 5 PM emissions limits, their performance in PM emissions terms is not likely to be much different from conventional petrol engines (i.e. very low PM emissions) and thus their impact on PM emissions overall is minimal.</w:t>
      </w:r>
    </w:p>
  </w:footnote>
  <w:footnote w:id="36">
    <w:p w:rsidR="00636785" w:rsidRDefault="00636785" w:rsidP="000C238A">
      <w:r w:rsidRPr="000C238A">
        <w:rPr>
          <w:rStyle w:val="FootnoteReference"/>
          <w:sz w:val="18"/>
          <w:szCs w:val="18"/>
        </w:rPr>
        <w:footnoteRef/>
      </w:r>
      <w:r w:rsidRPr="000C238A">
        <w:rPr>
          <w:sz w:val="18"/>
          <w:szCs w:val="18"/>
        </w:rPr>
        <w:t xml:space="preserve"> </w:t>
      </w:r>
      <w:r w:rsidRPr="000C238A">
        <w:rPr>
          <w:sz w:val="18"/>
          <w:szCs w:val="18"/>
        </w:rPr>
        <w:tab/>
        <w:t xml:space="preserve">Original EC 2005/6 cost estimates in Euros converted to A$ at exchange rate of A$ 1.00 = € 0.6 - sourced from Commission of the European Communities SEC (2005) 1745, COM(2005)683 Final 21.12.2005 at: </w:t>
      </w:r>
      <w:hyperlink r:id="rId16" w:history="1">
        <w:r w:rsidRPr="000C238A">
          <w:rPr>
            <w:rStyle w:val="Hyperlink"/>
            <w:rFonts w:ascii="Arial Narrow" w:hAnsi="Arial Narrow" w:cs="Arial"/>
            <w:sz w:val="18"/>
            <w:szCs w:val="18"/>
          </w:rPr>
          <w:t>http://www.europarl.europa.eu/registre/docs_autres_institutions/commission_europeenne/sec/2005/1745/COM_SEC(2005)1745_EN.pdf</w:t>
        </w:r>
      </w:hyperlink>
      <w:r w:rsidRPr="000C238A">
        <w:rPr>
          <w:sz w:val="18"/>
          <w:szCs w:val="18"/>
        </w:rPr>
        <w:t xml:space="preserve"> </w:t>
      </w:r>
      <w:r w:rsidRPr="000C238A">
        <w:rPr>
          <w:b/>
          <w:sz w:val="18"/>
          <w:szCs w:val="18"/>
        </w:rPr>
        <w:t xml:space="preserve">and </w:t>
      </w:r>
      <w:r w:rsidRPr="000C238A">
        <w:rPr>
          <w:sz w:val="18"/>
          <w:szCs w:val="18"/>
        </w:rPr>
        <w:t xml:space="preserve"> European Commission, Impact Assessment for Euro 6 emission limits for light duty vehicles 20.09.2006 at: </w:t>
      </w:r>
      <w:hyperlink r:id="rId17" w:history="1">
        <w:r w:rsidRPr="000C238A">
          <w:rPr>
            <w:rStyle w:val="Hyperlink"/>
            <w:rFonts w:ascii="Arial Narrow" w:hAnsi="Arial Narrow" w:cs="Arial"/>
            <w:sz w:val="18"/>
            <w:szCs w:val="18"/>
          </w:rPr>
          <w:t>http://ec.europa.eu/enterprise/automotive/pagesbackground/pollutant_emission/impact_assessment_euro6.pdf</w:t>
        </w:r>
      </w:hyperlink>
      <w:r w:rsidRPr="000C238A">
        <w:rPr>
          <w:sz w:val="18"/>
          <w:szCs w:val="18"/>
        </w:rPr>
        <w:t xml:space="preserve"> </w:t>
      </w:r>
    </w:p>
  </w:footnote>
  <w:footnote w:id="37">
    <w:p w:rsidR="00636785" w:rsidRDefault="00636785" w:rsidP="000C238A">
      <w:r w:rsidRPr="000C238A">
        <w:rPr>
          <w:rStyle w:val="FootnoteReference"/>
          <w:rFonts w:ascii="Arial Narrow" w:hAnsi="Arial Narrow"/>
          <w:sz w:val="18"/>
          <w:szCs w:val="18"/>
        </w:rPr>
        <w:footnoteRef/>
      </w:r>
      <w:r w:rsidRPr="000C238A">
        <w:rPr>
          <w:sz w:val="18"/>
          <w:szCs w:val="18"/>
        </w:rPr>
        <w:t xml:space="preserve"> </w:t>
      </w:r>
      <w:r w:rsidRPr="000C238A">
        <w:rPr>
          <w:sz w:val="18"/>
          <w:szCs w:val="18"/>
        </w:rPr>
        <w:tab/>
        <w:t xml:space="preserve">TNO (2005) Euro 5 technologies and costs for Light-Duty vehicles, TNO Report 05.OR.VM.032.1/NG at: </w:t>
      </w:r>
      <w:hyperlink r:id="rId18" w:history="1">
        <w:r w:rsidRPr="000C238A">
          <w:rPr>
            <w:rStyle w:val="Hyperlink"/>
            <w:rFonts w:ascii="Arial Narrow" w:hAnsi="Arial Narrow"/>
            <w:sz w:val="18"/>
            <w:szCs w:val="18"/>
          </w:rPr>
          <w:t>http://ec.europa.eu/environment/air/pdf/euro_5.pdf</w:t>
        </w:r>
      </w:hyperlink>
      <w:r w:rsidRPr="000C238A">
        <w:rPr>
          <w:sz w:val="18"/>
          <w:szCs w:val="18"/>
        </w:rPr>
        <w:t xml:space="preserve"> </w:t>
      </w:r>
    </w:p>
  </w:footnote>
  <w:footnote w:id="38">
    <w:p w:rsidR="00636785" w:rsidRDefault="00636785" w:rsidP="000C238A">
      <w:r w:rsidRPr="000C238A">
        <w:rPr>
          <w:rStyle w:val="FootnoteReference"/>
          <w:rFonts w:ascii="Arial Narrow" w:hAnsi="Arial Narrow"/>
          <w:sz w:val="18"/>
          <w:szCs w:val="18"/>
        </w:rPr>
        <w:footnoteRef/>
      </w:r>
      <w:r w:rsidRPr="000C238A">
        <w:rPr>
          <w:sz w:val="18"/>
          <w:szCs w:val="18"/>
        </w:rPr>
        <w:t xml:space="preserve"> </w:t>
      </w:r>
      <w:r w:rsidRPr="000C238A">
        <w:rPr>
          <w:sz w:val="18"/>
          <w:szCs w:val="18"/>
        </w:rPr>
        <w:tab/>
      </w:r>
      <w:proofErr w:type="spellStart"/>
      <w:r w:rsidRPr="000C238A">
        <w:rPr>
          <w:sz w:val="18"/>
          <w:szCs w:val="18"/>
        </w:rPr>
        <w:t>Nieuwenhuis</w:t>
      </w:r>
      <w:proofErr w:type="spellEnd"/>
      <w:r w:rsidRPr="000C238A">
        <w:rPr>
          <w:sz w:val="18"/>
          <w:szCs w:val="18"/>
        </w:rPr>
        <w:t xml:space="preserve"> and Wells (2006) </w:t>
      </w:r>
      <w:r w:rsidRPr="000C238A">
        <w:rPr>
          <w:i/>
          <w:sz w:val="18"/>
          <w:szCs w:val="18"/>
        </w:rPr>
        <w:t xml:space="preserve">Study of the Euro 5 Impact Assessment SEC (2005) 1745 </w:t>
      </w:r>
      <w:r w:rsidRPr="000C238A">
        <w:rPr>
          <w:sz w:val="18"/>
          <w:szCs w:val="18"/>
        </w:rPr>
        <w:t xml:space="preserve">Centre for Automotive Industry Research, Cardiff University and ESRC centre for Business Relationships, Accountability, Sustainability and Society at:  </w:t>
      </w:r>
      <w:hyperlink r:id="rId19" w:history="1">
        <w:r w:rsidRPr="000C238A">
          <w:rPr>
            <w:rStyle w:val="Hyperlink"/>
            <w:rFonts w:ascii="Arial Narrow" w:hAnsi="Arial Narrow"/>
            <w:sz w:val="18"/>
            <w:szCs w:val="18"/>
          </w:rPr>
          <w:t>http://www.brass.cf.ac.uk/projects/Sustainable_Mobility/towards-sustainable-mobility--Environmental-Regulation.html</w:t>
        </w:r>
      </w:hyperlink>
      <w:r w:rsidRPr="000C238A">
        <w:rPr>
          <w:sz w:val="18"/>
          <w:szCs w:val="18"/>
        </w:rPr>
        <w:t xml:space="preserve"> </w:t>
      </w:r>
    </w:p>
  </w:footnote>
  <w:footnote w:id="39">
    <w:p w:rsidR="00636785" w:rsidRDefault="00636785" w:rsidP="000C238A">
      <w:r w:rsidRPr="000C238A">
        <w:rPr>
          <w:rStyle w:val="FootnoteReference"/>
          <w:rFonts w:ascii="Arial Narrow" w:hAnsi="Arial Narrow"/>
          <w:sz w:val="18"/>
          <w:szCs w:val="18"/>
        </w:rPr>
        <w:footnoteRef/>
      </w:r>
      <w:r w:rsidRPr="000C238A">
        <w:rPr>
          <w:sz w:val="18"/>
          <w:szCs w:val="18"/>
        </w:rPr>
        <w:t xml:space="preserve"> </w:t>
      </w:r>
      <w:r w:rsidRPr="000C238A">
        <w:rPr>
          <w:sz w:val="18"/>
          <w:szCs w:val="18"/>
        </w:rPr>
        <w:tab/>
        <w:t xml:space="preserve">AECC (2005) </w:t>
      </w:r>
      <w:r w:rsidRPr="000C238A">
        <w:rPr>
          <w:i/>
          <w:sz w:val="18"/>
          <w:szCs w:val="18"/>
        </w:rPr>
        <w:t xml:space="preserve">AECC Response to Stakeholder Consultation on Euro 5 Emission Limits for Light Duty Vehicles </w:t>
      </w:r>
      <w:r w:rsidRPr="000C238A">
        <w:rPr>
          <w:sz w:val="18"/>
          <w:szCs w:val="18"/>
        </w:rPr>
        <w:t xml:space="preserve">at: </w:t>
      </w:r>
      <w:hyperlink r:id="rId20" w:history="1">
        <w:r w:rsidRPr="000C238A">
          <w:rPr>
            <w:rStyle w:val="Hyperlink"/>
            <w:rFonts w:ascii="Arial Narrow" w:hAnsi="Arial Narrow"/>
            <w:sz w:val="18"/>
            <w:szCs w:val="18"/>
          </w:rPr>
          <w:t>http://www.aecc.be/content/pdf/AECC%20Response%20to%20Stakeholder%20for%20Light-duty%20Vehicles%20070905.pdf</w:t>
        </w:r>
      </w:hyperlink>
      <w:r w:rsidRPr="000C238A">
        <w:rPr>
          <w:sz w:val="18"/>
          <w:szCs w:val="18"/>
        </w:rPr>
        <w:t xml:space="preserve">  </w:t>
      </w:r>
    </w:p>
  </w:footnote>
  <w:footnote w:id="40">
    <w:p w:rsidR="00636785" w:rsidRDefault="00636785" w:rsidP="000C238A">
      <w:r w:rsidRPr="000C238A">
        <w:rPr>
          <w:rStyle w:val="FootnoteReference"/>
          <w:rFonts w:ascii="Arial Narrow" w:hAnsi="Arial Narrow"/>
          <w:sz w:val="18"/>
          <w:szCs w:val="18"/>
        </w:rPr>
        <w:footnoteRef/>
      </w:r>
      <w:r w:rsidRPr="000C238A">
        <w:rPr>
          <w:sz w:val="18"/>
          <w:szCs w:val="18"/>
        </w:rPr>
        <w:t xml:space="preserve"> </w:t>
      </w:r>
      <w:r w:rsidRPr="000C238A">
        <w:rPr>
          <w:sz w:val="18"/>
          <w:szCs w:val="18"/>
        </w:rPr>
        <w:tab/>
        <w:t xml:space="preserve">Chen et al (2004) </w:t>
      </w:r>
      <w:r w:rsidRPr="000C238A">
        <w:rPr>
          <w:i/>
          <w:sz w:val="18"/>
          <w:szCs w:val="18"/>
        </w:rPr>
        <w:t>Effect of Emissions Regulation on Vehicle Attributes, Cost and Price</w:t>
      </w:r>
      <w:r w:rsidRPr="000C238A">
        <w:rPr>
          <w:sz w:val="18"/>
          <w:szCs w:val="18"/>
        </w:rPr>
        <w:t xml:space="preserve">, University of California, Davis at: </w:t>
      </w:r>
      <w:hyperlink r:id="rId21" w:history="1">
        <w:r w:rsidRPr="000C238A">
          <w:rPr>
            <w:rStyle w:val="Hyperlink"/>
            <w:rFonts w:ascii="Arial Narrow" w:hAnsi="Arial Narrow"/>
            <w:sz w:val="18"/>
            <w:szCs w:val="18"/>
          </w:rPr>
          <w:t>http://www.its.ucdavis.edu/publications/2004/UCD-ITS-RR-04-38.pdf</w:t>
        </w:r>
      </w:hyperlink>
      <w:r>
        <w:t xml:space="preserve"> </w:t>
      </w:r>
    </w:p>
  </w:footnote>
  <w:footnote w:id="41">
    <w:p w:rsidR="00636785" w:rsidRDefault="00636785" w:rsidP="000C238A">
      <w:r w:rsidRPr="000C238A">
        <w:rPr>
          <w:rStyle w:val="FootnoteReference"/>
          <w:rFonts w:ascii="Arial Narrow" w:hAnsi="Arial Narrow"/>
          <w:sz w:val="18"/>
          <w:szCs w:val="18"/>
        </w:rPr>
        <w:footnoteRef/>
      </w:r>
      <w:r w:rsidRPr="000C238A">
        <w:rPr>
          <w:sz w:val="18"/>
          <w:szCs w:val="18"/>
        </w:rPr>
        <w:t xml:space="preserve"> </w:t>
      </w:r>
      <w:r w:rsidRPr="000C238A">
        <w:rPr>
          <w:sz w:val="18"/>
          <w:szCs w:val="18"/>
        </w:rPr>
        <w:tab/>
        <w:t xml:space="preserve">See, for example: King (2008) </w:t>
      </w:r>
      <w:r w:rsidRPr="000C238A">
        <w:rPr>
          <w:i/>
          <w:sz w:val="18"/>
          <w:szCs w:val="18"/>
        </w:rPr>
        <w:t>The King Review of low carbon cars Part II – recommendations for action</w:t>
      </w:r>
      <w:r w:rsidRPr="000C238A">
        <w:rPr>
          <w:sz w:val="18"/>
          <w:szCs w:val="18"/>
        </w:rPr>
        <w:t xml:space="preserve"> at: http://www.hm-treasury.gov.uk/budget/budget_08/reviews/bud_bud08_king.cfm </w:t>
      </w:r>
      <w:r w:rsidRPr="000C238A">
        <w:rPr>
          <w:b/>
          <w:sz w:val="18"/>
          <w:szCs w:val="18"/>
        </w:rPr>
        <w:t xml:space="preserve">and </w:t>
      </w:r>
      <w:r w:rsidRPr="000C238A">
        <w:rPr>
          <w:sz w:val="18"/>
          <w:szCs w:val="18"/>
          <w:vertAlign w:val="superscript"/>
        </w:rPr>
        <w:t xml:space="preserve"> </w:t>
      </w:r>
      <w:r w:rsidRPr="000C238A">
        <w:rPr>
          <w:sz w:val="18"/>
          <w:szCs w:val="18"/>
        </w:rPr>
        <w:t xml:space="preserve">ITF (2008) </w:t>
      </w:r>
      <w:r w:rsidRPr="000C238A">
        <w:rPr>
          <w:i/>
          <w:sz w:val="18"/>
          <w:szCs w:val="18"/>
        </w:rPr>
        <w:t>Transport and Energy - The Challenge of Climate Change, Research  Findings</w:t>
      </w:r>
      <w:r w:rsidRPr="000C238A">
        <w:rPr>
          <w:sz w:val="18"/>
          <w:szCs w:val="18"/>
        </w:rPr>
        <w:t>, Leipzig May 2008 at: http://www.internationaltransportforum.org/Topics/Workshops/WS1Conclusions.pdf</w:t>
      </w:r>
    </w:p>
  </w:footnote>
  <w:footnote w:id="42">
    <w:p w:rsidR="00636785" w:rsidRDefault="00636785" w:rsidP="000C238A">
      <w:r w:rsidRPr="000C238A">
        <w:rPr>
          <w:rStyle w:val="FootnoteReference"/>
          <w:rFonts w:ascii="Arial Narrow" w:hAnsi="Arial Narrow"/>
          <w:sz w:val="18"/>
          <w:szCs w:val="18"/>
        </w:rPr>
        <w:footnoteRef/>
      </w:r>
      <w:r w:rsidRPr="000C238A">
        <w:rPr>
          <w:sz w:val="18"/>
          <w:szCs w:val="18"/>
        </w:rPr>
        <w:t xml:space="preserve"> </w:t>
      </w:r>
      <w:r w:rsidRPr="000C238A">
        <w:rPr>
          <w:sz w:val="18"/>
          <w:szCs w:val="18"/>
        </w:rPr>
        <w:tab/>
        <w:t xml:space="preserve">See </w:t>
      </w:r>
      <w:hyperlink r:id="rId22" w:history="1">
        <w:r w:rsidRPr="000C238A">
          <w:rPr>
            <w:rStyle w:val="Hyperlink"/>
            <w:rFonts w:ascii="Arial Narrow" w:hAnsi="Arial Narrow"/>
            <w:sz w:val="18"/>
            <w:szCs w:val="18"/>
          </w:rPr>
          <w:t>www.greenvehicleguide.gov.au</w:t>
        </w:r>
      </w:hyperlink>
      <w:r w:rsidRPr="000C238A">
        <w:rPr>
          <w:sz w:val="18"/>
          <w:szCs w:val="18"/>
        </w:rPr>
        <w:t xml:space="preserve"> </w:t>
      </w:r>
    </w:p>
  </w:footnote>
  <w:footnote w:id="43">
    <w:p w:rsidR="00636785" w:rsidRDefault="00636785" w:rsidP="000C238A">
      <w:r w:rsidRPr="000C238A">
        <w:rPr>
          <w:rStyle w:val="FootnoteReference"/>
          <w:rFonts w:ascii="Arial Narrow" w:hAnsi="Arial Narrow"/>
          <w:sz w:val="18"/>
          <w:szCs w:val="18"/>
        </w:rPr>
        <w:footnoteRef/>
      </w:r>
      <w:r w:rsidRPr="000C238A">
        <w:rPr>
          <w:sz w:val="18"/>
          <w:szCs w:val="18"/>
        </w:rPr>
        <w:t xml:space="preserve"> </w:t>
      </w:r>
      <w:r w:rsidRPr="000C238A">
        <w:rPr>
          <w:sz w:val="18"/>
          <w:szCs w:val="18"/>
        </w:rPr>
        <w:tab/>
      </w:r>
      <w:proofErr w:type="spellStart"/>
      <w:r w:rsidRPr="000C238A">
        <w:rPr>
          <w:sz w:val="18"/>
          <w:szCs w:val="18"/>
        </w:rPr>
        <w:t>Nieuwenhuis</w:t>
      </w:r>
      <w:proofErr w:type="spellEnd"/>
      <w:r w:rsidRPr="000C238A">
        <w:rPr>
          <w:sz w:val="18"/>
          <w:szCs w:val="18"/>
        </w:rPr>
        <w:t xml:space="preserve"> and Wells (2006) </w:t>
      </w:r>
      <w:r w:rsidRPr="000C238A">
        <w:rPr>
          <w:i/>
          <w:sz w:val="18"/>
          <w:szCs w:val="18"/>
        </w:rPr>
        <w:t xml:space="preserve">Study of the Euro 5 Impact Assessment SEC (2005) 1745 </w:t>
      </w:r>
      <w:r w:rsidRPr="000C238A">
        <w:rPr>
          <w:sz w:val="18"/>
          <w:szCs w:val="18"/>
        </w:rPr>
        <w:t xml:space="preserve">Centre for Automotive Industry Research, Cardiff University and ESRC centre for Business Relationships, Accountability, Sustainability and Society at:  </w:t>
      </w:r>
      <w:hyperlink r:id="rId23" w:history="1">
        <w:r w:rsidRPr="000C238A">
          <w:rPr>
            <w:rStyle w:val="Hyperlink"/>
            <w:rFonts w:ascii="Arial Narrow" w:hAnsi="Arial Narrow"/>
            <w:sz w:val="18"/>
            <w:szCs w:val="18"/>
          </w:rPr>
          <w:t>http://www.brass.cf.ac.uk/projects/Sustainable_Mobility/towards-sustainable-mobility--Environmental-Regulation.html</w:t>
        </w:r>
      </w:hyperlink>
      <w:r>
        <w:t xml:space="preserve"> </w:t>
      </w:r>
    </w:p>
  </w:footnote>
  <w:footnote w:id="44">
    <w:p w:rsidR="00636785" w:rsidRDefault="00636785" w:rsidP="008E08EB">
      <w:pPr>
        <w:pStyle w:val="FootnoteText"/>
        <w:ind w:left="720" w:hanging="720"/>
      </w:pPr>
      <w:r w:rsidRPr="008E08EB">
        <w:rPr>
          <w:rStyle w:val="FootnoteReference"/>
          <w:rFonts w:ascii="Arial Narrow" w:hAnsi="Arial Narrow"/>
          <w:sz w:val="18"/>
          <w:szCs w:val="18"/>
        </w:rPr>
        <w:footnoteRef/>
      </w:r>
      <w:r w:rsidRPr="008E08EB">
        <w:rPr>
          <w:rFonts w:ascii="Arial Narrow" w:hAnsi="Arial Narrow"/>
          <w:sz w:val="18"/>
          <w:szCs w:val="18"/>
        </w:rPr>
        <w:t xml:space="preserve"> </w:t>
      </w:r>
      <w:r w:rsidRPr="008E08EB">
        <w:rPr>
          <w:rFonts w:ascii="Arial Narrow" w:hAnsi="Arial Narrow"/>
          <w:sz w:val="18"/>
          <w:szCs w:val="18"/>
        </w:rPr>
        <w:tab/>
      </w:r>
      <w:proofErr w:type="spellStart"/>
      <w:r w:rsidRPr="008E08EB">
        <w:rPr>
          <w:rFonts w:ascii="Arial Narrow" w:hAnsi="Arial Narrow"/>
          <w:sz w:val="18"/>
          <w:szCs w:val="18"/>
        </w:rPr>
        <w:t>Jantzen</w:t>
      </w:r>
      <w:proofErr w:type="spellEnd"/>
      <w:r w:rsidRPr="008E08EB">
        <w:rPr>
          <w:rFonts w:ascii="Arial Narrow" w:hAnsi="Arial Narrow"/>
          <w:sz w:val="18"/>
          <w:szCs w:val="18"/>
        </w:rPr>
        <w:t xml:space="preserve"> and van der </w:t>
      </w:r>
      <w:proofErr w:type="spellStart"/>
      <w:r w:rsidRPr="008E08EB">
        <w:rPr>
          <w:rFonts w:ascii="Arial Narrow" w:hAnsi="Arial Narrow"/>
          <w:sz w:val="18"/>
          <w:szCs w:val="18"/>
        </w:rPr>
        <w:t>Woerd</w:t>
      </w:r>
      <w:proofErr w:type="spellEnd"/>
      <w:r w:rsidRPr="008E08EB">
        <w:rPr>
          <w:rFonts w:ascii="Arial Narrow" w:hAnsi="Arial Narrow"/>
          <w:sz w:val="18"/>
          <w:szCs w:val="18"/>
        </w:rPr>
        <w:t xml:space="preserve"> (2006) </w:t>
      </w:r>
      <w:r w:rsidRPr="008E08EB">
        <w:rPr>
          <w:rFonts w:ascii="Arial Narrow" w:hAnsi="Arial Narrow"/>
          <w:i/>
          <w:sz w:val="18"/>
          <w:szCs w:val="18"/>
        </w:rPr>
        <w:t xml:space="preserve">Ex-post Estimates of Costs to Business of EU Environmental Policies, Institute for Applied Environmental </w:t>
      </w:r>
      <w:r w:rsidRPr="00B07A00">
        <w:rPr>
          <w:rFonts w:ascii="Arial Narrow" w:hAnsi="Arial Narrow"/>
          <w:i/>
          <w:sz w:val="18"/>
          <w:szCs w:val="18"/>
        </w:rPr>
        <w:t>Economics (TME)</w:t>
      </w:r>
      <w:r w:rsidRPr="00B07A00">
        <w:rPr>
          <w:rFonts w:ascii="Arial Narrow" w:hAnsi="Arial Narrow"/>
          <w:sz w:val="18"/>
          <w:szCs w:val="18"/>
        </w:rPr>
        <w:t xml:space="preserve"> at: </w:t>
      </w:r>
      <w:hyperlink r:id="rId24" w:history="1">
        <w:r w:rsidRPr="0004260F">
          <w:rPr>
            <w:rStyle w:val="Hyperlink"/>
            <w:rFonts w:ascii="Arial Narrow" w:hAnsi="Arial Narrow"/>
            <w:sz w:val="18"/>
            <w:szCs w:val="18"/>
          </w:rPr>
          <w:t>http://ec.europa.eu/environment/enveco/ex_post/pdf/transport.pdf</w:t>
        </w:r>
      </w:hyperlink>
      <w:r>
        <w:rPr>
          <w:rFonts w:ascii="Arial Narrow" w:hAnsi="Arial Narrow"/>
          <w:sz w:val="18"/>
          <w:szCs w:val="18"/>
        </w:rPr>
        <w:t xml:space="preserve"> </w:t>
      </w:r>
    </w:p>
  </w:footnote>
  <w:footnote w:id="45">
    <w:p w:rsidR="00636785" w:rsidRDefault="00636785" w:rsidP="00D56B08">
      <w:pPr>
        <w:pStyle w:val="FootnoteText"/>
        <w:ind w:left="720" w:hanging="720"/>
      </w:pPr>
      <w:r w:rsidRPr="008E08EB">
        <w:rPr>
          <w:rStyle w:val="FootnoteReference"/>
          <w:rFonts w:ascii="Arial Narrow" w:hAnsi="Arial Narrow"/>
          <w:sz w:val="18"/>
          <w:szCs w:val="18"/>
        </w:rPr>
        <w:footnoteRef/>
      </w:r>
      <w:r w:rsidRPr="008E08EB">
        <w:rPr>
          <w:rFonts w:ascii="Arial Narrow" w:hAnsi="Arial Narrow"/>
          <w:sz w:val="18"/>
          <w:szCs w:val="18"/>
        </w:rPr>
        <w:t xml:space="preserve"> </w:t>
      </w:r>
      <w:r>
        <w:rPr>
          <w:rFonts w:ascii="Arial Narrow" w:hAnsi="Arial Narrow"/>
          <w:sz w:val="18"/>
          <w:szCs w:val="18"/>
        </w:rPr>
        <w:tab/>
      </w:r>
      <w:r w:rsidRPr="00887911">
        <w:rPr>
          <w:rFonts w:ascii="Arial Narrow" w:hAnsi="Arial Narrow"/>
          <w:sz w:val="18"/>
          <w:szCs w:val="18"/>
        </w:rPr>
        <w:t xml:space="preserve">Board on Environmental Studies and Toxicology (2006) </w:t>
      </w:r>
      <w:r w:rsidRPr="00887911">
        <w:rPr>
          <w:rFonts w:ascii="Arial Narrow" w:hAnsi="Arial Narrow"/>
          <w:i/>
          <w:sz w:val="18"/>
          <w:szCs w:val="18"/>
        </w:rPr>
        <w:t xml:space="preserve">State and Federal Standards for Mobile-Source Emissions </w:t>
      </w:r>
      <w:r w:rsidRPr="00887911">
        <w:rPr>
          <w:rFonts w:ascii="Arial Narrow" w:hAnsi="Arial Narrow"/>
          <w:sz w:val="18"/>
          <w:szCs w:val="18"/>
        </w:rPr>
        <w:t>The National Academies Press</w:t>
      </w:r>
      <w:r>
        <w:rPr>
          <w:rFonts w:ascii="Arial Narrow" w:hAnsi="Arial Narrow"/>
          <w:sz w:val="18"/>
          <w:szCs w:val="18"/>
        </w:rPr>
        <w:t xml:space="preserve"> at: </w:t>
      </w:r>
      <w:hyperlink r:id="rId25" w:history="1">
        <w:r w:rsidRPr="0004260F">
          <w:rPr>
            <w:rStyle w:val="Hyperlink"/>
            <w:rFonts w:ascii="Arial Narrow" w:hAnsi="Arial Narrow"/>
            <w:sz w:val="18"/>
            <w:szCs w:val="18"/>
          </w:rPr>
          <w:t>http://books.nap.edu/openbook.php?record_id=11586&amp;page=196</w:t>
        </w:r>
      </w:hyperlink>
      <w:r>
        <w:rPr>
          <w:rFonts w:ascii="Arial Narrow" w:hAnsi="Arial Narrow"/>
          <w:sz w:val="18"/>
          <w:szCs w:val="18"/>
        </w:rPr>
        <w:t xml:space="preserve"> </w:t>
      </w:r>
    </w:p>
  </w:footnote>
  <w:footnote w:id="46">
    <w:p w:rsidR="00636785" w:rsidRPr="00A8433F" w:rsidRDefault="00636785" w:rsidP="00A8433F">
      <w:pPr>
        <w:rPr>
          <w:sz w:val="18"/>
          <w:szCs w:val="18"/>
        </w:rPr>
      </w:pPr>
      <w:r w:rsidRPr="00A8433F">
        <w:rPr>
          <w:rStyle w:val="FootnoteReference"/>
          <w:rFonts w:ascii="Arial Narrow" w:hAnsi="Arial Narrow"/>
          <w:sz w:val="18"/>
          <w:szCs w:val="18"/>
        </w:rPr>
        <w:footnoteRef/>
      </w:r>
      <w:r w:rsidRPr="00A8433F">
        <w:rPr>
          <w:sz w:val="18"/>
          <w:szCs w:val="18"/>
        </w:rPr>
        <w:t xml:space="preserve"> </w:t>
      </w:r>
      <w:r w:rsidRPr="00A8433F">
        <w:rPr>
          <w:sz w:val="18"/>
          <w:szCs w:val="18"/>
        </w:rPr>
        <w:tab/>
      </w:r>
      <w:proofErr w:type="spellStart"/>
      <w:r w:rsidRPr="00A8433F">
        <w:rPr>
          <w:sz w:val="18"/>
          <w:szCs w:val="18"/>
        </w:rPr>
        <w:t>Jalaludin</w:t>
      </w:r>
      <w:proofErr w:type="spellEnd"/>
      <w:r w:rsidRPr="00A8433F">
        <w:rPr>
          <w:sz w:val="18"/>
          <w:szCs w:val="18"/>
        </w:rPr>
        <w:t xml:space="preserve"> B., </w:t>
      </w:r>
      <w:proofErr w:type="spellStart"/>
      <w:r w:rsidRPr="00A8433F">
        <w:rPr>
          <w:sz w:val="18"/>
          <w:szCs w:val="18"/>
        </w:rPr>
        <w:t>Salkeld</w:t>
      </w:r>
      <w:proofErr w:type="spellEnd"/>
      <w:r w:rsidRPr="00A8433F">
        <w:rPr>
          <w:sz w:val="18"/>
          <w:szCs w:val="18"/>
        </w:rPr>
        <w:t xml:space="preserve"> G., Morgan G., Beer T. and </w:t>
      </w:r>
      <w:proofErr w:type="spellStart"/>
      <w:r w:rsidRPr="00A8433F">
        <w:rPr>
          <w:sz w:val="18"/>
          <w:szCs w:val="18"/>
        </w:rPr>
        <w:t>Nisar</w:t>
      </w:r>
      <w:proofErr w:type="spellEnd"/>
      <w:r w:rsidRPr="00A8433F">
        <w:rPr>
          <w:sz w:val="18"/>
          <w:szCs w:val="18"/>
        </w:rPr>
        <w:t xml:space="preserve"> Y. B. 2009, </w:t>
      </w:r>
      <w:r w:rsidRPr="00A8433F">
        <w:rPr>
          <w:i/>
          <w:sz w:val="18"/>
          <w:szCs w:val="18"/>
        </w:rPr>
        <w:t>A Methodology for Cost-Benefit Analysis of Ambient Air Pollution Health Impacts,</w:t>
      </w:r>
      <w:r w:rsidRPr="00A8433F">
        <w:rPr>
          <w:sz w:val="18"/>
          <w:szCs w:val="18"/>
        </w:rPr>
        <w:t xml:space="preserve"> Final Report, funded by the Department of the Environment, Water, Heritage and the Arts though the Clean Air Research Program.</w:t>
      </w:r>
    </w:p>
    <w:p w:rsidR="00636785" w:rsidRDefault="00636785" w:rsidP="00A8433F"/>
  </w:footnote>
  <w:footnote w:id="47">
    <w:p w:rsidR="00636785" w:rsidRDefault="00636785" w:rsidP="005B0DD7">
      <w:r w:rsidRPr="005B0DD7">
        <w:rPr>
          <w:rStyle w:val="FootnoteReference"/>
          <w:rFonts w:ascii="Arial Narrow" w:hAnsi="Arial Narrow"/>
          <w:sz w:val="18"/>
          <w:szCs w:val="18"/>
        </w:rPr>
        <w:footnoteRef/>
      </w:r>
      <w:r w:rsidRPr="005B0DD7">
        <w:rPr>
          <w:sz w:val="18"/>
          <w:szCs w:val="18"/>
        </w:rPr>
        <w:t xml:space="preserve"> </w:t>
      </w:r>
      <w:r w:rsidRPr="005B0DD7">
        <w:rPr>
          <w:sz w:val="18"/>
          <w:szCs w:val="18"/>
        </w:rPr>
        <w:tab/>
        <w:t xml:space="preserve">Access Economics (2008) </w:t>
      </w:r>
      <w:r w:rsidRPr="005B0DD7">
        <w:rPr>
          <w:i/>
          <w:sz w:val="18"/>
          <w:szCs w:val="18"/>
        </w:rPr>
        <w:t>The Health of Nations: The Value of a Statistical Life</w:t>
      </w:r>
      <w:r w:rsidRPr="005B0DD7">
        <w:rPr>
          <w:sz w:val="18"/>
          <w:szCs w:val="18"/>
        </w:rPr>
        <w:t xml:space="preserve"> Report for the Office of the Australian Safety and Compensation Council at: </w:t>
      </w:r>
      <w:hyperlink r:id="rId26" w:history="1">
        <w:r w:rsidRPr="005B0DD7">
          <w:rPr>
            <w:rStyle w:val="Hyperlink"/>
            <w:rFonts w:ascii="Arial Narrow" w:hAnsi="Arial Narrow"/>
            <w:sz w:val="18"/>
            <w:szCs w:val="18"/>
          </w:rPr>
          <w:t>http://www.safeworkaustralia.gov.au/NR/rdonlyres/AAF0F980-FAA3-410F-837C-47C448DD5EFB/0/Health_national_value_Statistical_life_full_version.pdf</w:t>
        </w:r>
      </w:hyperlink>
      <w:r w:rsidRPr="005B0DD7">
        <w:rPr>
          <w:sz w:val="18"/>
          <w:szCs w:val="18"/>
        </w:rPr>
        <w:t xml:space="preserve"> </w:t>
      </w:r>
    </w:p>
  </w:footnote>
  <w:footnote w:id="48">
    <w:p w:rsidR="00636785" w:rsidRDefault="00636785" w:rsidP="003C3329">
      <w:r w:rsidRPr="003C3329">
        <w:rPr>
          <w:rStyle w:val="FootnoteReference"/>
          <w:rFonts w:ascii="Arial Narrow" w:hAnsi="Arial Narrow"/>
          <w:sz w:val="18"/>
          <w:szCs w:val="18"/>
        </w:rPr>
        <w:footnoteRef/>
      </w:r>
      <w:r w:rsidRPr="003C3329">
        <w:rPr>
          <w:sz w:val="18"/>
          <w:szCs w:val="18"/>
        </w:rPr>
        <w:t xml:space="preserve"> </w:t>
      </w:r>
      <w:r w:rsidRPr="003C3329">
        <w:rPr>
          <w:sz w:val="18"/>
          <w:szCs w:val="18"/>
        </w:rPr>
        <w:tab/>
        <w:t>Key assumptions in the base case include 17 year analysis period from first year of standards (2012-29), 7% discount rate, $6million VSL, BITRE estimates for fleet parameters, health costs and vehicle costs.</w:t>
      </w:r>
    </w:p>
  </w:footnote>
  <w:footnote w:id="49">
    <w:p w:rsidR="00636785" w:rsidRDefault="00636785" w:rsidP="003C3329">
      <w:r w:rsidRPr="003C3329">
        <w:rPr>
          <w:rStyle w:val="FootnoteReference"/>
          <w:rFonts w:ascii="Arial Narrow" w:hAnsi="Arial Narrow"/>
          <w:sz w:val="18"/>
          <w:szCs w:val="18"/>
        </w:rPr>
        <w:footnoteRef/>
      </w:r>
      <w:r w:rsidRPr="003C3329">
        <w:rPr>
          <w:sz w:val="18"/>
          <w:szCs w:val="18"/>
        </w:rPr>
        <w:t xml:space="preserve"> </w:t>
      </w:r>
      <w:r w:rsidRPr="003C3329">
        <w:rPr>
          <w:sz w:val="18"/>
          <w:szCs w:val="18"/>
        </w:rPr>
        <w:tab/>
      </w:r>
      <w:r w:rsidRPr="003C3329">
        <w:rPr>
          <w:i/>
          <w:sz w:val="18"/>
          <w:szCs w:val="18"/>
        </w:rPr>
        <w:t>Review of Australia’s Automotive Industry Final Report</w:t>
      </w:r>
      <w:r w:rsidRPr="003C3329">
        <w:rPr>
          <w:sz w:val="18"/>
          <w:szCs w:val="18"/>
        </w:rPr>
        <w:t xml:space="preserve"> (July 2008) p.90 at: </w:t>
      </w:r>
      <w:hyperlink r:id="rId27" w:history="1">
        <w:r w:rsidRPr="003C3329">
          <w:rPr>
            <w:rStyle w:val="Hyperlink"/>
            <w:rFonts w:ascii="Arial Narrow" w:hAnsi="Arial Narrow"/>
            <w:sz w:val="18"/>
            <w:szCs w:val="18"/>
          </w:rPr>
          <w:t>http://www.innovation.gov.au/automotivereview/Documents/aug08%20final%20report_secure.pdf</w:t>
        </w:r>
      </w:hyperlink>
      <w:r w:rsidRPr="003C3329">
        <w:rPr>
          <w:sz w:val="18"/>
          <w:szCs w:val="18"/>
        </w:rPr>
        <w:t xml:space="preserve"> </w:t>
      </w:r>
    </w:p>
  </w:footnote>
  <w:footnote w:id="50">
    <w:p w:rsidR="00636785" w:rsidRPr="008549DC" w:rsidRDefault="00636785" w:rsidP="003C3329">
      <w:pPr>
        <w:rPr>
          <w:sz w:val="18"/>
          <w:szCs w:val="18"/>
        </w:rPr>
      </w:pPr>
      <w:r w:rsidRPr="008549DC">
        <w:rPr>
          <w:rStyle w:val="FootnoteReference"/>
          <w:sz w:val="18"/>
          <w:szCs w:val="18"/>
        </w:rPr>
        <w:footnoteRef/>
      </w:r>
      <w:r w:rsidRPr="008549DC">
        <w:rPr>
          <w:sz w:val="18"/>
          <w:szCs w:val="18"/>
        </w:rPr>
        <w:t xml:space="preserve"> </w:t>
      </w:r>
      <w:r w:rsidRPr="008549DC">
        <w:rPr>
          <w:sz w:val="18"/>
          <w:szCs w:val="18"/>
        </w:rPr>
        <w:tab/>
        <w:t>The “core” Euro 5 requirements which apply in ADR79/03 (Phase 1) would require compliance with all elements of ECE R83/06 except that ADR79/03 would:</w:t>
      </w:r>
    </w:p>
    <w:p w:rsidR="00636785" w:rsidRPr="008549DC" w:rsidRDefault="00636785" w:rsidP="00E90069">
      <w:pPr>
        <w:numPr>
          <w:ilvl w:val="0"/>
          <w:numId w:val="35"/>
        </w:numPr>
        <w:rPr>
          <w:sz w:val="18"/>
          <w:szCs w:val="18"/>
        </w:rPr>
      </w:pPr>
      <w:r w:rsidRPr="008549DC">
        <w:rPr>
          <w:sz w:val="18"/>
          <w:szCs w:val="18"/>
        </w:rPr>
        <w:t>allow the provision of PM mass emissions data based on the previous ECE R83/05 Annex 4 Type I test procedure (with a PM mass emissions limit of 0.005g/km) in lieu of data collected under the revised  test procedure (Annex 4a of ECE R83/06) which specifies a limit of 0.0045g/km);</w:t>
      </w:r>
    </w:p>
    <w:p w:rsidR="00636785" w:rsidRPr="008549DC" w:rsidRDefault="00636785" w:rsidP="00E90069">
      <w:pPr>
        <w:numPr>
          <w:ilvl w:val="0"/>
          <w:numId w:val="35"/>
        </w:numPr>
        <w:rPr>
          <w:sz w:val="18"/>
          <w:szCs w:val="18"/>
        </w:rPr>
      </w:pPr>
      <w:r w:rsidRPr="008549DC">
        <w:rPr>
          <w:sz w:val="18"/>
          <w:szCs w:val="18"/>
        </w:rPr>
        <w:t>accept a relaxed OBD threshold limit (80mg/km) for PM mass for M and N category vehicles of reference mass &gt;1760kg;</w:t>
      </w:r>
    </w:p>
    <w:p w:rsidR="00636785" w:rsidRPr="008549DC" w:rsidRDefault="00636785" w:rsidP="00E90069">
      <w:pPr>
        <w:numPr>
          <w:ilvl w:val="0"/>
          <w:numId w:val="35"/>
        </w:numPr>
        <w:rPr>
          <w:sz w:val="18"/>
          <w:szCs w:val="18"/>
        </w:rPr>
      </w:pPr>
      <w:r w:rsidRPr="008549DC">
        <w:rPr>
          <w:sz w:val="18"/>
          <w:szCs w:val="18"/>
        </w:rPr>
        <w:t>not require compliance with the PM number limit specified for diesel vehicles in ECE R83/06; and</w:t>
      </w:r>
    </w:p>
    <w:p w:rsidR="00636785" w:rsidRDefault="00636785" w:rsidP="00E90069">
      <w:pPr>
        <w:numPr>
          <w:ilvl w:val="0"/>
          <w:numId w:val="35"/>
        </w:numPr>
      </w:pPr>
      <w:proofErr w:type="gramStart"/>
      <w:r w:rsidRPr="008549DC">
        <w:rPr>
          <w:sz w:val="18"/>
          <w:szCs w:val="18"/>
        </w:rPr>
        <w:t>not</w:t>
      </w:r>
      <w:proofErr w:type="gramEnd"/>
      <w:r w:rsidRPr="008549DC">
        <w:rPr>
          <w:sz w:val="18"/>
          <w:szCs w:val="18"/>
        </w:rPr>
        <w:t xml:space="preserve"> require the NOx monitoring for petrol vehicles specified in ECE R83/06.</w:t>
      </w:r>
    </w:p>
  </w:footnote>
  <w:footnote w:id="51">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gramStart"/>
      <w:r w:rsidRPr="008549DC">
        <w:rPr>
          <w:sz w:val="18"/>
          <w:szCs w:val="18"/>
        </w:rPr>
        <w:t xml:space="preserve">Barnett AG; Williams GM; Schwartz J; </w:t>
      </w:r>
      <w:proofErr w:type="spellStart"/>
      <w:r w:rsidRPr="008549DC">
        <w:rPr>
          <w:sz w:val="18"/>
          <w:szCs w:val="18"/>
        </w:rPr>
        <w:t>Neller</w:t>
      </w:r>
      <w:proofErr w:type="spellEnd"/>
      <w:r w:rsidRPr="008549DC">
        <w:rPr>
          <w:sz w:val="18"/>
          <w:szCs w:val="18"/>
        </w:rPr>
        <w:t xml:space="preserve"> AH; Best TL; </w:t>
      </w:r>
      <w:proofErr w:type="spellStart"/>
      <w:r w:rsidRPr="008549DC">
        <w:rPr>
          <w:sz w:val="18"/>
          <w:szCs w:val="18"/>
        </w:rPr>
        <w:t>Petroeschevsky</w:t>
      </w:r>
      <w:proofErr w:type="spellEnd"/>
      <w:r w:rsidRPr="008549DC">
        <w:rPr>
          <w:sz w:val="18"/>
          <w:szCs w:val="18"/>
        </w:rPr>
        <w:t xml:space="preserve"> AL; Simpson RW (2005).</w:t>
      </w:r>
      <w:proofErr w:type="gramEnd"/>
      <w:r w:rsidRPr="008549DC">
        <w:rPr>
          <w:sz w:val="18"/>
          <w:szCs w:val="18"/>
        </w:rPr>
        <w:t xml:space="preserve"> </w:t>
      </w:r>
      <w:r w:rsidRPr="008549DC">
        <w:rPr>
          <w:i/>
          <w:sz w:val="18"/>
          <w:szCs w:val="18"/>
        </w:rPr>
        <w:t>Air pollution and child respiratory health: a case-crossover study in Australia and New Zealand</w:t>
      </w:r>
      <w:r w:rsidRPr="008549DC">
        <w:rPr>
          <w:sz w:val="18"/>
          <w:szCs w:val="18"/>
        </w:rPr>
        <w:t>, Journal American Journal of Respiratory and Critical Care Medicine, 171:1272–1278.</w:t>
      </w:r>
    </w:p>
  </w:footnote>
  <w:footnote w:id="52">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gramStart"/>
      <w:r w:rsidRPr="008549DC">
        <w:rPr>
          <w:sz w:val="18"/>
          <w:szCs w:val="18"/>
        </w:rPr>
        <w:t xml:space="preserve">Barnett AG; Williams GM; Schwartz J; Best TL; </w:t>
      </w:r>
      <w:proofErr w:type="spellStart"/>
      <w:r w:rsidRPr="008549DC">
        <w:rPr>
          <w:sz w:val="18"/>
          <w:szCs w:val="18"/>
        </w:rPr>
        <w:t>Neller</w:t>
      </w:r>
      <w:proofErr w:type="spellEnd"/>
      <w:r w:rsidRPr="008549DC">
        <w:rPr>
          <w:sz w:val="18"/>
          <w:szCs w:val="18"/>
        </w:rPr>
        <w:t xml:space="preserve"> AH; </w:t>
      </w:r>
      <w:proofErr w:type="spellStart"/>
      <w:r w:rsidRPr="008549DC">
        <w:rPr>
          <w:sz w:val="18"/>
          <w:szCs w:val="18"/>
        </w:rPr>
        <w:t>Petroeschevsky</w:t>
      </w:r>
      <w:proofErr w:type="spellEnd"/>
      <w:r w:rsidRPr="008549DC">
        <w:rPr>
          <w:sz w:val="18"/>
          <w:szCs w:val="18"/>
        </w:rPr>
        <w:t xml:space="preserve"> AL; Simpson RW (2006).</w:t>
      </w:r>
      <w:proofErr w:type="gramEnd"/>
      <w:r w:rsidRPr="008549DC">
        <w:rPr>
          <w:sz w:val="18"/>
          <w:szCs w:val="18"/>
        </w:rPr>
        <w:t xml:space="preserve"> </w:t>
      </w:r>
      <w:r w:rsidRPr="008549DC">
        <w:rPr>
          <w:i/>
          <w:sz w:val="18"/>
          <w:szCs w:val="18"/>
        </w:rPr>
        <w:t>The effects of air pollution on hospitalizations for cardiovascular disease in elderly people in Australian and New Zealand cities</w:t>
      </w:r>
      <w:r w:rsidRPr="008549DC">
        <w:rPr>
          <w:sz w:val="18"/>
          <w:szCs w:val="18"/>
        </w:rPr>
        <w:t>, Journal Environmental Health Perspectives, 114:1018-1023.</w:t>
      </w:r>
    </w:p>
  </w:footnote>
  <w:footnote w:id="53">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spellStart"/>
      <w:proofErr w:type="gramStart"/>
      <w:r w:rsidRPr="008549DC">
        <w:rPr>
          <w:sz w:val="18"/>
          <w:szCs w:val="18"/>
        </w:rPr>
        <w:t>Jalaludin</w:t>
      </w:r>
      <w:proofErr w:type="spellEnd"/>
      <w:r w:rsidRPr="008549DC">
        <w:rPr>
          <w:sz w:val="18"/>
          <w:szCs w:val="18"/>
        </w:rPr>
        <w:t xml:space="preserve"> B; Morgan G; Lincoln D; </w:t>
      </w:r>
      <w:proofErr w:type="spellStart"/>
      <w:r w:rsidRPr="008549DC">
        <w:rPr>
          <w:sz w:val="18"/>
          <w:szCs w:val="18"/>
        </w:rPr>
        <w:t>Sheppeard</w:t>
      </w:r>
      <w:proofErr w:type="spellEnd"/>
      <w:r w:rsidRPr="008549DC">
        <w:rPr>
          <w:sz w:val="18"/>
          <w:szCs w:val="18"/>
        </w:rPr>
        <w:t xml:space="preserve"> V; Simpson R; Corbett S (2006).</w:t>
      </w:r>
      <w:proofErr w:type="gramEnd"/>
      <w:r w:rsidRPr="008549DC">
        <w:rPr>
          <w:sz w:val="18"/>
          <w:szCs w:val="18"/>
        </w:rPr>
        <w:t xml:space="preserve"> </w:t>
      </w:r>
      <w:proofErr w:type="gramStart"/>
      <w:r w:rsidRPr="008549DC">
        <w:rPr>
          <w:i/>
          <w:sz w:val="18"/>
          <w:szCs w:val="18"/>
        </w:rPr>
        <w:t>Associations between ambient air pollution and daily emergency department attendances for cardiovascular disease in the elderly (65+ years), Sydney, Australia</w:t>
      </w:r>
      <w:r w:rsidRPr="008549DC">
        <w:rPr>
          <w:sz w:val="18"/>
          <w:szCs w:val="18"/>
        </w:rPr>
        <w:t>, Journal of Exposure Science and Environmental Epidemiology, 16:225-37.</w:t>
      </w:r>
      <w:proofErr w:type="gramEnd"/>
    </w:p>
  </w:footnote>
  <w:footnote w:id="54">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r w:rsidRPr="008549DC">
        <w:rPr>
          <w:sz w:val="18"/>
          <w:szCs w:val="18"/>
          <w:lang w:val="de-DE"/>
        </w:rPr>
        <w:t xml:space="preserve">Rodriguez C; Tonkin R; Heyworth J; Kusel M; De Klerk N; Sly PD; Franklin P; Runnion T; Blockley A; Landau L; Hinwood AL (2007). </w:t>
      </w:r>
      <w:r w:rsidRPr="008549DC">
        <w:rPr>
          <w:i/>
          <w:sz w:val="18"/>
          <w:szCs w:val="18"/>
        </w:rPr>
        <w:t>The relationship between outdoor air quality and respiratory symptoms in young children</w:t>
      </w:r>
      <w:r w:rsidRPr="008549DC">
        <w:rPr>
          <w:sz w:val="18"/>
          <w:szCs w:val="18"/>
        </w:rPr>
        <w:t>, Journal International Journal of Environmental Health Research, 17(5):351-360.</w:t>
      </w:r>
    </w:p>
  </w:footnote>
  <w:footnote w:id="55">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gramStart"/>
      <w:r w:rsidRPr="008549DC">
        <w:rPr>
          <w:sz w:val="18"/>
          <w:szCs w:val="18"/>
        </w:rPr>
        <w:t xml:space="preserve">Simpson R; Williams G; </w:t>
      </w:r>
      <w:proofErr w:type="spellStart"/>
      <w:r w:rsidRPr="008549DC">
        <w:rPr>
          <w:sz w:val="18"/>
          <w:szCs w:val="18"/>
        </w:rPr>
        <w:t>Petroeschevsky</w:t>
      </w:r>
      <w:proofErr w:type="spellEnd"/>
      <w:r w:rsidRPr="008549DC">
        <w:rPr>
          <w:sz w:val="18"/>
          <w:szCs w:val="18"/>
        </w:rPr>
        <w:t xml:space="preserve"> A; Best T; Morgan G; Denison L; </w:t>
      </w:r>
      <w:proofErr w:type="spellStart"/>
      <w:r w:rsidRPr="008549DC">
        <w:rPr>
          <w:sz w:val="18"/>
          <w:szCs w:val="18"/>
        </w:rPr>
        <w:t>Hinwood</w:t>
      </w:r>
      <w:proofErr w:type="spellEnd"/>
      <w:r w:rsidRPr="008549DC">
        <w:rPr>
          <w:sz w:val="18"/>
          <w:szCs w:val="18"/>
        </w:rPr>
        <w:t xml:space="preserve"> A; Neville G (2005).</w:t>
      </w:r>
      <w:proofErr w:type="gramEnd"/>
      <w:r w:rsidRPr="008549DC">
        <w:rPr>
          <w:sz w:val="18"/>
          <w:szCs w:val="18"/>
        </w:rPr>
        <w:t xml:space="preserve"> </w:t>
      </w:r>
      <w:proofErr w:type="gramStart"/>
      <w:r w:rsidRPr="008549DC">
        <w:rPr>
          <w:i/>
          <w:sz w:val="18"/>
          <w:szCs w:val="18"/>
        </w:rPr>
        <w:t>The short-term effects of air pollution on hospital admissions in four Australian cities</w:t>
      </w:r>
      <w:r w:rsidRPr="008549DC">
        <w:rPr>
          <w:sz w:val="18"/>
          <w:szCs w:val="18"/>
        </w:rPr>
        <w:t>, Journal Australian and New Zealand Journal of Public Health, 29:213-221.</w:t>
      </w:r>
      <w:proofErr w:type="gramEnd"/>
    </w:p>
  </w:footnote>
  <w:footnote w:id="56">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gramStart"/>
      <w:r w:rsidRPr="008549DC">
        <w:rPr>
          <w:sz w:val="18"/>
          <w:szCs w:val="18"/>
        </w:rPr>
        <w:t>U.S. EPA.</w:t>
      </w:r>
      <w:proofErr w:type="gramEnd"/>
      <w:r w:rsidRPr="008549DC">
        <w:rPr>
          <w:sz w:val="18"/>
          <w:szCs w:val="18"/>
        </w:rPr>
        <w:t xml:space="preserve"> </w:t>
      </w:r>
      <w:proofErr w:type="gramStart"/>
      <w:r w:rsidRPr="008549DC">
        <w:rPr>
          <w:sz w:val="18"/>
          <w:szCs w:val="18"/>
        </w:rPr>
        <w:t xml:space="preserve">(2004). </w:t>
      </w:r>
      <w:r w:rsidRPr="008549DC">
        <w:rPr>
          <w:i/>
          <w:sz w:val="18"/>
          <w:szCs w:val="18"/>
        </w:rPr>
        <w:t>Air quality criteria for particulate matter</w:t>
      </w:r>
      <w:r w:rsidRPr="008549DC">
        <w:rPr>
          <w:sz w:val="18"/>
          <w:szCs w:val="18"/>
        </w:rPr>
        <w:t>.</w:t>
      </w:r>
      <w:proofErr w:type="gramEnd"/>
      <w:r w:rsidRPr="008549DC">
        <w:rPr>
          <w:sz w:val="18"/>
          <w:szCs w:val="18"/>
        </w:rPr>
        <w:t xml:space="preserve"> U.S. Environmental Protection Agency. Research Triangle Park, NC. </w:t>
      </w:r>
      <w:proofErr w:type="gramStart"/>
      <w:r w:rsidRPr="008549DC">
        <w:rPr>
          <w:sz w:val="18"/>
          <w:szCs w:val="18"/>
        </w:rPr>
        <w:t>EPA/600/P-99/002aF-bF.</w:t>
      </w:r>
      <w:proofErr w:type="gramEnd"/>
      <w:r w:rsidRPr="008549DC">
        <w:rPr>
          <w:sz w:val="18"/>
          <w:szCs w:val="18"/>
        </w:rPr>
        <w:t xml:space="preserve">  </w:t>
      </w:r>
    </w:p>
  </w:footnote>
  <w:footnote w:id="57">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t>PM</w:t>
      </w:r>
      <w:r w:rsidRPr="008549DC">
        <w:rPr>
          <w:sz w:val="18"/>
          <w:szCs w:val="18"/>
          <w:vertAlign w:val="subscript"/>
        </w:rPr>
        <w:t>10</w:t>
      </w:r>
      <w:r w:rsidRPr="008549DC">
        <w:rPr>
          <w:sz w:val="18"/>
          <w:szCs w:val="18"/>
        </w:rPr>
        <w:t xml:space="preserve"> and PM</w:t>
      </w:r>
      <w:r w:rsidRPr="008549DC">
        <w:rPr>
          <w:sz w:val="18"/>
          <w:szCs w:val="18"/>
          <w:vertAlign w:val="subscript"/>
        </w:rPr>
        <w:t xml:space="preserve">2.5 </w:t>
      </w:r>
      <w:r w:rsidRPr="008549DC">
        <w:rPr>
          <w:sz w:val="18"/>
          <w:szCs w:val="18"/>
        </w:rPr>
        <w:t>refer to particles of diameter of 10 microns and less, and 2.5 microns and less, respectively.</w:t>
      </w:r>
    </w:p>
  </w:footnote>
  <w:footnote w:id="58">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t xml:space="preserve">Yue W; Schneider A; </w:t>
      </w:r>
      <w:proofErr w:type="spellStart"/>
      <w:r w:rsidRPr="008549DC">
        <w:rPr>
          <w:sz w:val="18"/>
          <w:szCs w:val="18"/>
        </w:rPr>
        <w:t>Stolzel</w:t>
      </w:r>
      <w:proofErr w:type="spellEnd"/>
      <w:r w:rsidRPr="008549DC">
        <w:rPr>
          <w:sz w:val="18"/>
          <w:szCs w:val="18"/>
        </w:rPr>
        <w:t xml:space="preserve"> M; </w:t>
      </w:r>
      <w:proofErr w:type="spellStart"/>
      <w:r w:rsidRPr="008549DC">
        <w:rPr>
          <w:sz w:val="18"/>
          <w:szCs w:val="18"/>
        </w:rPr>
        <w:t>Ruckerl</w:t>
      </w:r>
      <w:proofErr w:type="spellEnd"/>
      <w:r w:rsidRPr="008549DC">
        <w:rPr>
          <w:sz w:val="18"/>
          <w:szCs w:val="18"/>
        </w:rPr>
        <w:t xml:space="preserve"> R; </w:t>
      </w:r>
      <w:proofErr w:type="spellStart"/>
      <w:r w:rsidRPr="008549DC">
        <w:rPr>
          <w:sz w:val="18"/>
          <w:szCs w:val="18"/>
        </w:rPr>
        <w:t>Cyrys</w:t>
      </w:r>
      <w:proofErr w:type="spellEnd"/>
      <w:r w:rsidRPr="008549DC">
        <w:rPr>
          <w:sz w:val="18"/>
          <w:szCs w:val="18"/>
        </w:rPr>
        <w:t xml:space="preserve"> J; Pan X; </w:t>
      </w:r>
      <w:proofErr w:type="spellStart"/>
      <w:r w:rsidRPr="008549DC">
        <w:rPr>
          <w:sz w:val="18"/>
          <w:szCs w:val="18"/>
        </w:rPr>
        <w:t>Zareba</w:t>
      </w:r>
      <w:proofErr w:type="spellEnd"/>
      <w:r w:rsidRPr="008549DC">
        <w:rPr>
          <w:sz w:val="18"/>
          <w:szCs w:val="18"/>
        </w:rPr>
        <w:t xml:space="preserve"> W; Koenig W; </w:t>
      </w:r>
      <w:proofErr w:type="spellStart"/>
      <w:r w:rsidRPr="008549DC">
        <w:rPr>
          <w:sz w:val="18"/>
          <w:szCs w:val="18"/>
        </w:rPr>
        <w:t>Wichmann</w:t>
      </w:r>
      <w:proofErr w:type="spellEnd"/>
      <w:r w:rsidRPr="008549DC">
        <w:rPr>
          <w:sz w:val="18"/>
          <w:szCs w:val="18"/>
        </w:rPr>
        <w:t xml:space="preserve"> HE; Peters A (2007). Ambient source-specific particles are associated with prolonged repolarization and increased levels of inflammation in male coronary artery disease patients, Journal Mutation Research: Fundamental and Molecular Mechanisms of Mutagenesis, 621:50-60.</w:t>
      </w:r>
    </w:p>
  </w:footnote>
  <w:footnote w:id="59">
    <w:p w:rsidR="00636785" w:rsidRDefault="00636785" w:rsidP="008549DC">
      <w:r w:rsidRPr="008549DC">
        <w:rPr>
          <w:rStyle w:val="FootnoteReference"/>
          <w:rFonts w:ascii="Arial Narrow" w:hAnsi="Arial Narrow"/>
          <w:sz w:val="18"/>
          <w:szCs w:val="18"/>
        </w:rPr>
        <w:footnoteRef/>
      </w:r>
      <w:r w:rsidRPr="008549DC">
        <w:rPr>
          <w:rStyle w:val="FootnoteReference"/>
          <w:rFonts w:ascii="Arial Narrow" w:hAnsi="Arial Narrow"/>
          <w:sz w:val="18"/>
          <w:szCs w:val="18"/>
        </w:rPr>
        <w:t xml:space="preserve"> </w:t>
      </w:r>
      <w:r w:rsidRPr="008549DC">
        <w:rPr>
          <w:rStyle w:val="FootnoteReference"/>
          <w:rFonts w:ascii="Arial Narrow" w:hAnsi="Arial Narrow"/>
          <w:sz w:val="18"/>
          <w:szCs w:val="18"/>
          <w:vertAlign w:val="baseline"/>
        </w:rPr>
        <w:tab/>
        <w:t xml:space="preserve">U.S. EPA (2009). Second External Draft of the Integrated Science Assessment of Particulate Matter.  U.S. Environmental Protection Agency, Washington, DC, EPA/600/R-08/139B, 2009. </w:t>
      </w:r>
    </w:p>
  </w:footnote>
  <w:footnote w:id="60">
    <w:p w:rsidR="00636785" w:rsidRDefault="00636785" w:rsidP="008549DC">
      <w:r w:rsidRPr="008549DC">
        <w:rPr>
          <w:rStyle w:val="FootnoteReference"/>
          <w:rFonts w:ascii="Arial Narrow" w:hAnsi="Arial Narrow"/>
          <w:sz w:val="18"/>
          <w:szCs w:val="18"/>
        </w:rPr>
        <w:footnoteRef/>
      </w:r>
      <w:r w:rsidRPr="008549DC">
        <w:rPr>
          <w:rStyle w:val="FootnoteReference"/>
          <w:rFonts w:ascii="Arial Narrow" w:hAnsi="Arial Narrow"/>
          <w:sz w:val="18"/>
          <w:szCs w:val="18"/>
        </w:rPr>
        <w:t xml:space="preserve"> </w:t>
      </w:r>
      <w:r w:rsidRPr="008549DC">
        <w:rPr>
          <w:rStyle w:val="FootnoteReference"/>
          <w:rFonts w:ascii="Arial Narrow" w:hAnsi="Arial Narrow"/>
          <w:sz w:val="18"/>
          <w:szCs w:val="18"/>
          <w:vertAlign w:val="baseline"/>
        </w:rPr>
        <w:tab/>
        <w:t xml:space="preserve">Adar SD; Gold DR; </w:t>
      </w:r>
      <w:proofErr w:type="spellStart"/>
      <w:r w:rsidRPr="008549DC">
        <w:rPr>
          <w:rStyle w:val="FootnoteReference"/>
          <w:rFonts w:ascii="Arial Narrow" w:hAnsi="Arial Narrow"/>
          <w:sz w:val="18"/>
          <w:szCs w:val="18"/>
          <w:vertAlign w:val="baseline"/>
        </w:rPr>
        <w:t>Coull</w:t>
      </w:r>
      <w:proofErr w:type="spellEnd"/>
      <w:r w:rsidRPr="008549DC">
        <w:rPr>
          <w:rStyle w:val="FootnoteReference"/>
          <w:rFonts w:ascii="Arial Narrow" w:hAnsi="Arial Narrow"/>
          <w:sz w:val="18"/>
          <w:szCs w:val="18"/>
          <w:vertAlign w:val="baseline"/>
        </w:rPr>
        <w:t xml:space="preserve"> BA; Schwartz J; Stone PH; </w:t>
      </w:r>
      <w:proofErr w:type="spellStart"/>
      <w:r w:rsidRPr="008549DC">
        <w:rPr>
          <w:rStyle w:val="FootnoteReference"/>
          <w:rFonts w:ascii="Arial Narrow" w:hAnsi="Arial Narrow"/>
          <w:sz w:val="18"/>
          <w:szCs w:val="18"/>
          <w:vertAlign w:val="baseline"/>
        </w:rPr>
        <w:t>Suh</w:t>
      </w:r>
      <w:proofErr w:type="spellEnd"/>
      <w:r w:rsidRPr="008549DC">
        <w:rPr>
          <w:rStyle w:val="FootnoteReference"/>
          <w:rFonts w:ascii="Arial Narrow" w:hAnsi="Arial Narrow"/>
          <w:sz w:val="18"/>
          <w:szCs w:val="18"/>
          <w:vertAlign w:val="baseline"/>
        </w:rPr>
        <w:t xml:space="preserve"> H (2007). Focused exposures to airborne traffic particles and heart rate variability in the elderly, Journal Epidemiology, 18:95–103.</w:t>
      </w:r>
    </w:p>
  </w:footnote>
  <w:footnote w:id="61">
    <w:p w:rsidR="00636785" w:rsidRDefault="00636785" w:rsidP="008549DC">
      <w:r w:rsidRPr="008549DC">
        <w:rPr>
          <w:rStyle w:val="FootnoteReference"/>
          <w:rFonts w:ascii="Arial Narrow" w:hAnsi="Arial Narrow"/>
          <w:sz w:val="18"/>
          <w:szCs w:val="18"/>
        </w:rPr>
        <w:footnoteRef/>
      </w:r>
      <w:r w:rsidRPr="008549DC">
        <w:rPr>
          <w:rStyle w:val="FootnoteReference"/>
          <w:rFonts w:ascii="Arial Narrow" w:hAnsi="Arial Narrow"/>
          <w:sz w:val="18"/>
          <w:szCs w:val="18"/>
        </w:rPr>
        <w:t xml:space="preserve"> </w:t>
      </w:r>
      <w:r w:rsidRPr="008549DC">
        <w:rPr>
          <w:rStyle w:val="FootnoteReference"/>
          <w:rFonts w:ascii="Arial Narrow" w:hAnsi="Arial Narrow"/>
          <w:sz w:val="18"/>
          <w:szCs w:val="18"/>
          <w:vertAlign w:val="baseline"/>
        </w:rPr>
        <w:tab/>
      </w:r>
      <w:proofErr w:type="spellStart"/>
      <w:r w:rsidRPr="008549DC">
        <w:rPr>
          <w:rStyle w:val="FootnoteReference"/>
          <w:rFonts w:ascii="Arial Narrow" w:hAnsi="Arial Narrow"/>
          <w:sz w:val="18"/>
          <w:szCs w:val="18"/>
          <w:vertAlign w:val="baseline"/>
        </w:rPr>
        <w:t>Lundbäck</w:t>
      </w:r>
      <w:proofErr w:type="spellEnd"/>
      <w:r w:rsidRPr="008549DC">
        <w:rPr>
          <w:rStyle w:val="FootnoteReference"/>
          <w:rFonts w:ascii="Arial Narrow" w:hAnsi="Arial Narrow"/>
          <w:sz w:val="18"/>
          <w:szCs w:val="18"/>
          <w:vertAlign w:val="baseline"/>
        </w:rPr>
        <w:t xml:space="preserve"> M; Mills NL; Lucking A; </w:t>
      </w:r>
      <w:proofErr w:type="spellStart"/>
      <w:r w:rsidRPr="008549DC">
        <w:rPr>
          <w:rStyle w:val="FootnoteReference"/>
          <w:rFonts w:ascii="Arial Narrow" w:hAnsi="Arial Narrow"/>
          <w:sz w:val="18"/>
          <w:szCs w:val="18"/>
          <w:vertAlign w:val="baseline"/>
        </w:rPr>
        <w:t>Barath</w:t>
      </w:r>
      <w:proofErr w:type="spellEnd"/>
      <w:r w:rsidRPr="008549DC">
        <w:rPr>
          <w:rStyle w:val="FootnoteReference"/>
          <w:rFonts w:ascii="Arial Narrow" w:hAnsi="Arial Narrow"/>
          <w:sz w:val="18"/>
          <w:szCs w:val="18"/>
          <w:vertAlign w:val="baseline"/>
        </w:rPr>
        <w:t xml:space="preserve"> S; Donaldson K; Newby DE; </w:t>
      </w:r>
      <w:proofErr w:type="spellStart"/>
      <w:r w:rsidRPr="008549DC">
        <w:rPr>
          <w:rStyle w:val="FootnoteReference"/>
          <w:rFonts w:ascii="Arial Narrow" w:hAnsi="Arial Narrow"/>
          <w:sz w:val="18"/>
          <w:szCs w:val="18"/>
          <w:vertAlign w:val="baseline"/>
        </w:rPr>
        <w:t>Sandström</w:t>
      </w:r>
      <w:proofErr w:type="spellEnd"/>
      <w:r w:rsidRPr="008549DC">
        <w:rPr>
          <w:rStyle w:val="FootnoteReference"/>
          <w:rFonts w:ascii="Arial Narrow" w:hAnsi="Arial Narrow"/>
          <w:sz w:val="18"/>
          <w:szCs w:val="18"/>
          <w:vertAlign w:val="baseline"/>
        </w:rPr>
        <w:t xml:space="preserve"> T; </w:t>
      </w:r>
      <w:proofErr w:type="spellStart"/>
      <w:r w:rsidRPr="008549DC">
        <w:rPr>
          <w:rStyle w:val="FootnoteReference"/>
          <w:rFonts w:ascii="Arial Narrow" w:hAnsi="Arial Narrow"/>
          <w:sz w:val="18"/>
          <w:szCs w:val="18"/>
          <w:vertAlign w:val="baseline"/>
        </w:rPr>
        <w:t>Blomberg</w:t>
      </w:r>
      <w:proofErr w:type="spellEnd"/>
      <w:r w:rsidRPr="008549DC">
        <w:rPr>
          <w:rStyle w:val="FootnoteReference"/>
          <w:rFonts w:ascii="Arial Narrow" w:hAnsi="Arial Narrow"/>
          <w:sz w:val="18"/>
          <w:szCs w:val="18"/>
          <w:vertAlign w:val="baseline"/>
        </w:rPr>
        <w:t xml:space="preserve"> A (2009). Experimental exposure to diesel exhaust increases arterial stiffness in man, Journal Particle and Fibre Toxicology, 6:7.</w:t>
      </w:r>
    </w:p>
  </w:footnote>
  <w:footnote w:id="62">
    <w:p w:rsidR="00636785" w:rsidRDefault="00636785" w:rsidP="008549DC">
      <w:r w:rsidRPr="008549DC">
        <w:rPr>
          <w:rStyle w:val="FootnoteReference"/>
          <w:rFonts w:ascii="Arial Narrow" w:hAnsi="Arial Narrow"/>
          <w:sz w:val="18"/>
          <w:szCs w:val="18"/>
        </w:rPr>
        <w:footnoteRef/>
      </w:r>
      <w:r w:rsidRPr="008549DC">
        <w:rPr>
          <w:rStyle w:val="FootnoteReference"/>
          <w:rFonts w:ascii="Arial Narrow" w:hAnsi="Arial Narrow"/>
          <w:sz w:val="18"/>
          <w:szCs w:val="18"/>
        </w:rPr>
        <w:t xml:space="preserve"> </w:t>
      </w:r>
      <w:r w:rsidRPr="008549DC">
        <w:rPr>
          <w:rStyle w:val="FootnoteReference"/>
          <w:rFonts w:ascii="Arial Narrow" w:hAnsi="Arial Narrow"/>
          <w:sz w:val="18"/>
          <w:szCs w:val="18"/>
          <w:vertAlign w:val="baseline"/>
        </w:rPr>
        <w:tab/>
        <w:t xml:space="preserve">Mills NL; </w:t>
      </w:r>
      <w:proofErr w:type="spellStart"/>
      <w:r w:rsidRPr="008549DC">
        <w:rPr>
          <w:rStyle w:val="FootnoteReference"/>
          <w:rFonts w:ascii="Arial Narrow" w:hAnsi="Arial Narrow"/>
          <w:sz w:val="18"/>
          <w:szCs w:val="18"/>
          <w:vertAlign w:val="baseline"/>
        </w:rPr>
        <w:t>Törnqvist</w:t>
      </w:r>
      <w:proofErr w:type="spellEnd"/>
      <w:r w:rsidRPr="008549DC">
        <w:rPr>
          <w:rStyle w:val="FootnoteReference"/>
          <w:rFonts w:ascii="Arial Narrow" w:hAnsi="Arial Narrow"/>
          <w:sz w:val="18"/>
          <w:szCs w:val="18"/>
          <w:vertAlign w:val="baseline"/>
        </w:rPr>
        <w:t xml:space="preserve"> H; Gonzalez MC; </w:t>
      </w:r>
      <w:proofErr w:type="spellStart"/>
      <w:r w:rsidRPr="008549DC">
        <w:rPr>
          <w:rStyle w:val="FootnoteReference"/>
          <w:rFonts w:ascii="Arial Narrow" w:hAnsi="Arial Narrow"/>
          <w:sz w:val="18"/>
          <w:szCs w:val="18"/>
          <w:vertAlign w:val="baseline"/>
        </w:rPr>
        <w:t>Vink</w:t>
      </w:r>
      <w:proofErr w:type="spellEnd"/>
      <w:r w:rsidRPr="008549DC">
        <w:rPr>
          <w:rStyle w:val="FootnoteReference"/>
          <w:rFonts w:ascii="Arial Narrow" w:hAnsi="Arial Narrow"/>
          <w:sz w:val="18"/>
          <w:szCs w:val="18"/>
          <w:vertAlign w:val="baseline"/>
        </w:rPr>
        <w:t xml:space="preserve"> E; Robinson SD; </w:t>
      </w:r>
      <w:proofErr w:type="spellStart"/>
      <w:r w:rsidRPr="008549DC">
        <w:rPr>
          <w:rStyle w:val="FootnoteReference"/>
          <w:rFonts w:ascii="Arial Narrow" w:hAnsi="Arial Narrow"/>
          <w:sz w:val="18"/>
          <w:szCs w:val="18"/>
          <w:vertAlign w:val="baseline"/>
        </w:rPr>
        <w:t>Soderberg</w:t>
      </w:r>
      <w:proofErr w:type="spellEnd"/>
      <w:r w:rsidRPr="008549DC">
        <w:rPr>
          <w:rStyle w:val="FootnoteReference"/>
          <w:rFonts w:ascii="Arial Narrow" w:hAnsi="Arial Narrow"/>
          <w:sz w:val="18"/>
          <w:szCs w:val="18"/>
          <w:vertAlign w:val="baseline"/>
        </w:rPr>
        <w:t xml:space="preserve"> S; Boon NA; Donaldson K; </w:t>
      </w:r>
      <w:proofErr w:type="spellStart"/>
      <w:r w:rsidRPr="008549DC">
        <w:rPr>
          <w:rStyle w:val="FootnoteReference"/>
          <w:rFonts w:ascii="Arial Narrow" w:hAnsi="Arial Narrow"/>
          <w:sz w:val="18"/>
          <w:szCs w:val="18"/>
          <w:vertAlign w:val="baseline"/>
        </w:rPr>
        <w:t>Sandstrom</w:t>
      </w:r>
      <w:proofErr w:type="spellEnd"/>
      <w:r w:rsidRPr="008549DC">
        <w:rPr>
          <w:rStyle w:val="FootnoteReference"/>
          <w:rFonts w:ascii="Arial Narrow" w:hAnsi="Arial Narrow"/>
          <w:sz w:val="18"/>
          <w:szCs w:val="18"/>
          <w:vertAlign w:val="baseline"/>
        </w:rPr>
        <w:t xml:space="preserve"> T; </w:t>
      </w:r>
      <w:proofErr w:type="spellStart"/>
      <w:r w:rsidRPr="008549DC">
        <w:rPr>
          <w:rStyle w:val="FootnoteReference"/>
          <w:rFonts w:ascii="Arial Narrow" w:hAnsi="Arial Narrow"/>
          <w:sz w:val="18"/>
          <w:szCs w:val="18"/>
          <w:vertAlign w:val="baseline"/>
        </w:rPr>
        <w:t>Blomberg</w:t>
      </w:r>
      <w:proofErr w:type="spellEnd"/>
      <w:r w:rsidRPr="008549DC">
        <w:rPr>
          <w:rStyle w:val="FootnoteReference"/>
          <w:rFonts w:ascii="Arial Narrow" w:hAnsi="Arial Narrow"/>
          <w:sz w:val="18"/>
          <w:szCs w:val="18"/>
          <w:vertAlign w:val="baseline"/>
        </w:rPr>
        <w:t xml:space="preserve"> A; Newby DE (2007). Ischemic and thrombotic effects of dilute diesel-exhaust inhalation in men with coronary heart disease, Journal New England Journal of Medicine, 357:1075-1082.</w:t>
      </w:r>
    </w:p>
  </w:footnote>
  <w:footnote w:id="63">
    <w:p w:rsidR="00636785" w:rsidRDefault="00636785" w:rsidP="008549DC">
      <w:r w:rsidRPr="008549DC">
        <w:rPr>
          <w:rStyle w:val="FootnoteReference"/>
          <w:rFonts w:ascii="Arial Narrow" w:hAnsi="Arial Narrow"/>
          <w:sz w:val="18"/>
          <w:szCs w:val="18"/>
        </w:rPr>
        <w:footnoteRef/>
      </w:r>
      <w:r w:rsidRPr="008549DC">
        <w:rPr>
          <w:rStyle w:val="FootnoteReference"/>
          <w:rFonts w:ascii="Arial Narrow" w:hAnsi="Arial Narrow"/>
          <w:sz w:val="18"/>
          <w:szCs w:val="18"/>
        </w:rPr>
        <w:t xml:space="preserve"> </w:t>
      </w:r>
      <w:r w:rsidRPr="008549DC">
        <w:rPr>
          <w:rStyle w:val="FootnoteReference"/>
          <w:rFonts w:ascii="Arial Narrow" w:hAnsi="Arial Narrow"/>
          <w:sz w:val="18"/>
          <w:szCs w:val="18"/>
          <w:vertAlign w:val="baseline"/>
        </w:rPr>
        <w:tab/>
      </w:r>
      <w:proofErr w:type="spellStart"/>
      <w:r w:rsidRPr="008549DC">
        <w:rPr>
          <w:rStyle w:val="FootnoteReference"/>
          <w:rFonts w:ascii="Arial Narrow" w:hAnsi="Arial Narrow"/>
          <w:sz w:val="18"/>
          <w:szCs w:val="18"/>
          <w:vertAlign w:val="baseline"/>
        </w:rPr>
        <w:t>Peretz</w:t>
      </w:r>
      <w:proofErr w:type="spellEnd"/>
      <w:r w:rsidRPr="008549DC">
        <w:rPr>
          <w:rStyle w:val="FootnoteReference"/>
          <w:rFonts w:ascii="Arial Narrow" w:hAnsi="Arial Narrow"/>
          <w:sz w:val="18"/>
          <w:szCs w:val="18"/>
          <w:vertAlign w:val="baseline"/>
        </w:rPr>
        <w:t xml:space="preserve"> A; Sullivan JH; </w:t>
      </w:r>
      <w:proofErr w:type="spellStart"/>
      <w:r w:rsidRPr="008549DC">
        <w:rPr>
          <w:rStyle w:val="FootnoteReference"/>
          <w:rFonts w:ascii="Arial Narrow" w:hAnsi="Arial Narrow"/>
          <w:sz w:val="18"/>
          <w:szCs w:val="18"/>
          <w:vertAlign w:val="baseline"/>
        </w:rPr>
        <w:t>Leotta</w:t>
      </w:r>
      <w:proofErr w:type="spellEnd"/>
      <w:r w:rsidRPr="008549DC">
        <w:rPr>
          <w:rStyle w:val="FootnoteReference"/>
          <w:rFonts w:ascii="Arial Narrow" w:hAnsi="Arial Narrow"/>
          <w:sz w:val="18"/>
          <w:szCs w:val="18"/>
          <w:vertAlign w:val="baseline"/>
        </w:rPr>
        <w:t xml:space="preserve"> DF; </w:t>
      </w:r>
      <w:proofErr w:type="spellStart"/>
      <w:r w:rsidRPr="008549DC">
        <w:rPr>
          <w:rStyle w:val="FootnoteReference"/>
          <w:rFonts w:ascii="Arial Narrow" w:hAnsi="Arial Narrow"/>
          <w:sz w:val="18"/>
          <w:szCs w:val="18"/>
          <w:vertAlign w:val="baseline"/>
        </w:rPr>
        <w:t>Trenga</w:t>
      </w:r>
      <w:proofErr w:type="spellEnd"/>
      <w:r w:rsidRPr="008549DC">
        <w:rPr>
          <w:rStyle w:val="FootnoteReference"/>
          <w:rFonts w:ascii="Arial Narrow" w:hAnsi="Arial Narrow"/>
          <w:sz w:val="18"/>
          <w:szCs w:val="18"/>
          <w:vertAlign w:val="baseline"/>
        </w:rPr>
        <w:t xml:space="preserve"> CA; Sands FN; Allen J; </w:t>
      </w:r>
      <w:proofErr w:type="spellStart"/>
      <w:r w:rsidRPr="008549DC">
        <w:rPr>
          <w:rStyle w:val="FootnoteReference"/>
          <w:rFonts w:ascii="Arial Narrow" w:hAnsi="Arial Narrow"/>
          <w:sz w:val="18"/>
          <w:szCs w:val="18"/>
          <w:vertAlign w:val="baseline"/>
        </w:rPr>
        <w:t>Carlsten</w:t>
      </w:r>
      <w:proofErr w:type="spellEnd"/>
      <w:r w:rsidRPr="008549DC">
        <w:rPr>
          <w:rStyle w:val="FootnoteReference"/>
          <w:rFonts w:ascii="Arial Narrow" w:hAnsi="Arial Narrow"/>
          <w:sz w:val="18"/>
          <w:szCs w:val="18"/>
          <w:vertAlign w:val="baseline"/>
        </w:rPr>
        <w:t xml:space="preserve"> C; Wilkinson CW; Gill EA; Kaufman JD (2008). Diesel exhaust inhalation elicits acute vasoconstriction in vivo, Journal Environmental Health Perspectives, 116:937-942.</w:t>
      </w:r>
    </w:p>
  </w:footnote>
  <w:footnote w:id="64">
    <w:p w:rsidR="00636785" w:rsidRDefault="00636785" w:rsidP="008549DC">
      <w:r w:rsidRPr="008549DC">
        <w:rPr>
          <w:rStyle w:val="FootnoteReference"/>
          <w:rFonts w:ascii="Arial Narrow" w:hAnsi="Arial Narrow"/>
          <w:sz w:val="18"/>
          <w:szCs w:val="18"/>
        </w:rPr>
        <w:footnoteRef/>
      </w:r>
      <w:r w:rsidRPr="008549DC">
        <w:rPr>
          <w:rStyle w:val="FootnoteReference"/>
          <w:rFonts w:ascii="Arial Narrow" w:hAnsi="Arial Narrow"/>
          <w:sz w:val="18"/>
          <w:szCs w:val="18"/>
        </w:rPr>
        <w:t xml:space="preserve"> </w:t>
      </w:r>
      <w:r w:rsidRPr="008549DC">
        <w:rPr>
          <w:rStyle w:val="FootnoteReference"/>
          <w:rFonts w:ascii="Arial Narrow" w:hAnsi="Arial Narrow"/>
          <w:sz w:val="18"/>
          <w:szCs w:val="18"/>
          <w:vertAlign w:val="baseline"/>
        </w:rPr>
        <w:tab/>
        <w:t xml:space="preserve">Rodriguez C; Tonkin R; Heyworth J; </w:t>
      </w:r>
      <w:proofErr w:type="spellStart"/>
      <w:r w:rsidRPr="008549DC">
        <w:rPr>
          <w:rStyle w:val="FootnoteReference"/>
          <w:rFonts w:ascii="Arial Narrow" w:hAnsi="Arial Narrow"/>
          <w:sz w:val="18"/>
          <w:szCs w:val="18"/>
          <w:vertAlign w:val="baseline"/>
        </w:rPr>
        <w:t>Kusel</w:t>
      </w:r>
      <w:proofErr w:type="spellEnd"/>
      <w:r w:rsidRPr="008549DC">
        <w:rPr>
          <w:rStyle w:val="FootnoteReference"/>
          <w:rFonts w:ascii="Arial Narrow" w:hAnsi="Arial Narrow"/>
          <w:sz w:val="18"/>
          <w:szCs w:val="18"/>
          <w:vertAlign w:val="baseline"/>
        </w:rPr>
        <w:t xml:space="preserve"> M; De Klerk N; Sly PD; Franklin P; </w:t>
      </w:r>
      <w:proofErr w:type="spellStart"/>
      <w:r w:rsidRPr="008549DC">
        <w:rPr>
          <w:rStyle w:val="FootnoteReference"/>
          <w:rFonts w:ascii="Arial Narrow" w:hAnsi="Arial Narrow"/>
          <w:sz w:val="18"/>
          <w:szCs w:val="18"/>
          <w:vertAlign w:val="baseline"/>
        </w:rPr>
        <w:t>Runnion</w:t>
      </w:r>
      <w:proofErr w:type="spellEnd"/>
      <w:r w:rsidRPr="008549DC">
        <w:rPr>
          <w:rStyle w:val="FootnoteReference"/>
          <w:rFonts w:ascii="Arial Narrow" w:hAnsi="Arial Narrow"/>
          <w:sz w:val="18"/>
          <w:szCs w:val="18"/>
          <w:vertAlign w:val="baseline"/>
        </w:rPr>
        <w:t xml:space="preserve"> T; </w:t>
      </w:r>
      <w:proofErr w:type="spellStart"/>
      <w:r w:rsidRPr="008549DC">
        <w:rPr>
          <w:rStyle w:val="FootnoteReference"/>
          <w:rFonts w:ascii="Arial Narrow" w:hAnsi="Arial Narrow"/>
          <w:sz w:val="18"/>
          <w:szCs w:val="18"/>
          <w:vertAlign w:val="baseline"/>
        </w:rPr>
        <w:t>Blockley</w:t>
      </w:r>
      <w:proofErr w:type="spellEnd"/>
      <w:r w:rsidRPr="008549DC">
        <w:rPr>
          <w:rStyle w:val="FootnoteReference"/>
          <w:rFonts w:ascii="Arial Narrow" w:hAnsi="Arial Narrow"/>
          <w:sz w:val="18"/>
          <w:szCs w:val="18"/>
          <w:vertAlign w:val="baseline"/>
        </w:rPr>
        <w:t xml:space="preserve"> A; Landau L; </w:t>
      </w:r>
      <w:proofErr w:type="spellStart"/>
      <w:r w:rsidRPr="008549DC">
        <w:rPr>
          <w:rStyle w:val="FootnoteReference"/>
          <w:rFonts w:ascii="Arial Narrow" w:hAnsi="Arial Narrow"/>
          <w:sz w:val="18"/>
          <w:szCs w:val="18"/>
          <w:vertAlign w:val="baseline"/>
        </w:rPr>
        <w:t>Hinwood</w:t>
      </w:r>
      <w:proofErr w:type="spellEnd"/>
      <w:r w:rsidRPr="008549DC">
        <w:rPr>
          <w:rStyle w:val="FootnoteReference"/>
          <w:rFonts w:ascii="Arial Narrow" w:hAnsi="Arial Narrow"/>
          <w:sz w:val="18"/>
          <w:szCs w:val="18"/>
          <w:vertAlign w:val="baseline"/>
        </w:rPr>
        <w:t xml:space="preserve"> AL (2007). The relationship between outdoor air quality and respiratory symptoms in young children, Journal International Journal of Environmental Health Research, 17(5):351-360.</w:t>
      </w:r>
    </w:p>
  </w:footnote>
  <w:footnote w:id="65">
    <w:p w:rsidR="00636785" w:rsidRDefault="00636785" w:rsidP="008549DC">
      <w:r w:rsidRPr="008549DC">
        <w:rPr>
          <w:rStyle w:val="FootnoteReference"/>
          <w:rFonts w:ascii="Arial Narrow" w:hAnsi="Arial Narrow"/>
          <w:sz w:val="18"/>
          <w:szCs w:val="18"/>
        </w:rPr>
        <w:footnoteRef/>
      </w:r>
      <w:r w:rsidRPr="008549DC">
        <w:rPr>
          <w:rStyle w:val="FootnoteReference"/>
          <w:rFonts w:ascii="Arial Narrow" w:hAnsi="Arial Narrow"/>
          <w:sz w:val="18"/>
          <w:szCs w:val="18"/>
        </w:rPr>
        <w:t xml:space="preserve"> </w:t>
      </w:r>
      <w:r w:rsidRPr="008549DC">
        <w:rPr>
          <w:rStyle w:val="FootnoteReference"/>
          <w:rFonts w:ascii="Arial Narrow" w:hAnsi="Arial Narrow"/>
          <w:sz w:val="18"/>
          <w:szCs w:val="18"/>
          <w:vertAlign w:val="baseline"/>
        </w:rPr>
        <w:tab/>
      </w:r>
      <w:proofErr w:type="spellStart"/>
      <w:r w:rsidRPr="008549DC">
        <w:rPr>
          <w:rStyle w:val="FootnoteReference"/>
          <w:rFonts w:ascii="Arial Narrow" w:hAnsi="Arial Narrow"/>
          <w:sz w:val="18"/>
          <w:szCs w:val="18"/>
          <w:vertAlign w:val="baseline"/>
        </w:rPr>
        <w:t>Tornqvist</w:t>
      </w:r>
      <w:proofErr w:type="spellEnd"/>
      <w:r w:rsidRPr="008549DC">
        <w:rPr>
          <w:rStyle w:val="FootnoteReference"/>
          <w:rFonts w:ascii="Arial Narrow" w:hAnsi="Arial Narrow"/>
          <w:sz w:val="18"/>
          <w:szCs w:val="18"/>
          <w:vertAlign w:val="baseline"/>
        </w:rPr>
        <w:t xml:space="preserve"> H; Mills NL; Gonzalez M; Miller MR; Robinson SD; </w:t>
      </w:r>
      <w:proofErr w:type="spellStart"/>
      <w:r w:rsidRPr="008549DC">
        <w:rPr>
          <w:rStyle w:val="FootnoteReference"/>
          <w:rFonts w:ascii="Arial Narrow" w:hAnsi="Arial Narrow"/>
          <w:sz w:val="18"/>
          <w:szCs w:val="18"/>
          <w:vertAlign w:val="baseline"/>
        </w:rPr>
        <w:t>Megson</w:t>
      </w:r>
      <w:proofErr w:type="spellEnd"/>
      <w:r w:rsidRPr="008549DC">
        <w:rPr>
          <w:rStyle w:val="FootnoteReference"/>
          <w:rFonts w:ascii="Arial Narrow" w:hAnsi="Arial Narrow"/>
          <w:sz w:val="18"/>
          <w:szCs w:val="18"/>
          <w:vertAlign w:val="baseline"/>
        </w:rPr>
        <w:t xml:space="preserve"> IL; </w:t>
      </w:r>
      <w:proofErr w:type="spellStart"/>
      <w:r w:rsidRPr="008549DC">
        <w:rPr>
          <w:rStyle w:val="FootnoteReference"/>
          <w:rFonts w:ascii="Arial Narrow" w:hAnsi="Arial Narrow"/>
          <w:sz w:val="18"/>
          <w:szCs w:val="18"/>
          <w:vertAlign w:val="baseline"/>
        </w:rPr>
        <w:t>MacNee</w:t>
      </w:r>
      <w:proofErr w:type="spellEnd"/>
      <w:r w:rsidRPr="008549DC">
        <w:rPr>
          <w:rStyle w:val="FootnoteReference"/>
          <w:rFonts w:ascii="Arial Narrow" w:hAnsi="Arial Narrow"/>
          <w:sz w:val="18"/>
          <w:szCs w:val="18"/>
          <w:vertAlign w:val="baseline"/>
        </w:rPr>
        <w:t xml:space="preserve"> W; Donaldson K; </w:t>
      </w:r>
      <w:proofErr w:type="spellStart"/>
      <w:r w:rsidRPr="008549DC">
        <w:rPr>
          <w:rStyle w:val="FootnoteReference"/>
          <w:rFonts w:ascii="Arial Narrow" w:hAnsi="Arial Narrow"/>
          <w:sz w:val="18"/>
          <w:szCs w:val="18"/>
          <w:vertAlign w:val="baseline"/>
        </w:rPr>
        <w:t>Soderberg</w:t>
      </w:r>
      <w:proofErr w:type="spellEnd"/>
      <w:r w:rsidRPr="008549DC">
        <w:rPr>
          <w:rStyle w:val="FootnoteReference"/>
          <w:rFonts w:ascii="Arial Narrow" w:hAnsi="Arial Narrow"/>
          <w:sz w:val="18"/>
          <w:szCs w:val="18"/>
          <w:vertAlign w:val="baseline"/>
        </w:rPr>
        <w:t xml:space="preserve"> S; Newby DE; </w:t>
      </w:r>
      <w:proofErr w:type="spellStart"/>
      <w:r w:rsidRPr="008549DC">
        <w:rPr>
          <w:rStyle w:val="FootnoteReference"/>
          <w:rFonts w:ascii="Arial Narrow" w:hAnsi="Arial Narrow"/>
          <w:sz w:val="18"/>
          <w:szCs w:val="18"/>
          <w:vertAlign w:val="baseline"/>
        </w:rPr>
        <w:t>Sandstrom</w:t>
      </w:r>
      <w:proofErr w:type="spellEnd"/>
      <w:r w:rsidRPr="008549DC">
        <w:rPr>
          <w:rStyle w:val="FootnoteReference"/>
          <w:rFonts w:ascii="Arial Narrow" w:hAnsi="Arial Narrow"/>
          <w:sz w:val="18"/>
          <w:szCs w:val="18"/>
          <w:vertAlign w:val="baseline"/>
        </w:rPr>
        <w:t xml:space="preserve"> T; </w:t>
      </w:r>
      <w:proofErr w:type="spellStart"/>
      <w:r w:rsidRPr="008549DC">
        <w:rPr>
          <w:rStyle w:val="FootnoteReference"/>
          <w:rFonts w:ascii="Arial Narrow" w:hAnsi="Arial Narrow"/>
          <w:sz w:val="18"/>
          <w:szCs w:val="18"/>
          <w:vertAlign w:val="baseline"/>
        </w:rPr>
        <w:t>Blomberg</w:t>
      </w:r>
      <w:proofErr w:type="spellEnd"/>
      <w:r w:rsidRPr="008549DC">
        <w:rPr>
          <w:rStyle w:val="FootnoteReference"/>
          <w:rFonts w:ascii="Arial Narrow" w:hAnsi="Arial Narrow"/>
          <w:sz w:val="18"/>
          <w:szCs w:val="18"/>
          <w:vertAlign w:val="baseline"/>
        </w:rPr>
        <w:t xml:space="preserve"> A (2007). Persistent endothelial dysfunction in humans after diesel exhaust inhalation, Journal American Journal of Respiratory and Critical Care Medicine, 176:395-400.</w:t>
      </w:r>
    </w:p>
  </w:footnote>
  <w:footnote w:id="66">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gramStart"/>
      <w:r w:rsidRPr="008549DC">
        <w:rPr>
          <w:sz w:val="18"/>
          <w:szCs w:val="18"/>
        </w:rPr>
        <w:t>U.S. EPA (2009).</w:t>
      </w:r>
      <w:proofErr w:type="gramEnd"/>
      <w:r w:rsidRPr="008549DC">
        <w:rPr>
          <w:sz w:val="18"/>
          <w:szCs w:val="18"/>
        </w:rPr>
        <w:t xml:space="preserve"> </w:t>
      </w:r>
      <w:proofErr w:type="gramStart"/>
      <w:r w:rsidRPr="008549DC">
        <w:rPr>
          <w:i/>
          <w:sz w:val="18"/>
          <w:szCs w:val="18"/>
        </w:rPr>
        <w:t>Second External Draft of the Integrated Science Assessment of Particulate Matter</w:t>
      </w:r>
      <w:r w:rsidRPr="008549DC">
        <w:rPr>
          <w:sz w:val="18"/>
          <w:szCs w:val="18"/>
        </w:rPr>
        <w:t>.</w:t>
      </w:r>
      <w:proofErr w:type="gramEnd"/>
      <w:r w:rsidRPr="008549DC">
        <w:rPr>
          <w:sz w:val="18"/>
          <w:szCs w:val="18"/>
        </w:rPr>
        <w:t xml:space="preserve">  </w:t>
      </w:r>
      <w:proofErr w:type="gramStart"/>
      <w:r w:rsidRPr="008549DC">
        <w:rPr>
          <w:sz w:val="18"/>
          <w:szCs w:val="18"/>
        </w:rPr>
        <w:t>U.S. Environmental Protection Agency, Washington, DC, EPA/600/R-08/139B, 2009.</w:t>
      </w:r>
      <w:proofErr w:type="gramEnd"/>
      <w:r w:rsidRPr="008549DC">
        <w:rPr>
          <w:sz w:val="18"/>
          <w:szCs w:val="18"/>
        </w:rPr>
        <w:t xml:space="preserve"> </w:t>
      </w:r>
    </w:p>
  </w:footnote>
  <w:footnote w:id="67">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gramStart"/>
      <w:r w:rsidRPr="008549DC">
        <w:rPr>
          <w:sz w:val="18"/>
          <w:szCs w:val="18"/>
        </w:rPr>
        <w:t>U.S. EPA (2009).</w:t>
      </w:r>
      <w:proofErr w:type="gramEnd"/>
      <w:r w:rsidRPr="008549DC">
        <w:rPr>
          <w:sz w:val="18"/>
          <w:szCs w:val="18"/>
        </w:rPr>
        <w:t xml:space="preserve"> </w:t>
      </w:r>
      <w:proofErr w:type="gramStart"/>
      <w:r w:rsidRPr="008549DC">
        <w:rPr>
          <w:i/>
          <w:sz w:val="18"/>
          <w:szCs w:val="18"/>
        </w:rPr>
        <w:t>Second External Draft of the Integrated Science Assessment of Particulate Matter</w:t>
      </w:r>
      <w:r w:rsidRPr="008549DC">
        <w:rPr>
          <w:sz w:val="18"/>
          <w:szCs w:val="18"/>
        </w:rPr>
        <w:t>.</w:t>
      </w:r>
      <w:proofErr w:type="gramEnd"/>
      <w:r w:rsidRPr="008549DC">
        <w:rPr>
          <w:sz w:val="18"/>
          <w:szCs w:val="18"/>
        </w:rPr>
        <w:t xml:space="preserve">  </w:t>
      </w:r>
      <w:proofErr w:type="gramStart"/>
      <w:r w:rsidRPr="008549DC">
        <w:rPr>
          <w:sz w:val="18"/>
          <w:szCs w:val="18"/>
        </w:rPr>
        <w:t>U.S. Environmental Protection Agency, Washington, DC, EPA/600/R-08/139B, 2009.</w:t>
      </w:r>
      <w:proofErr w:type="gramEnd"/>
      <w:r w:rsidRPr="008549DC">
        <w:rPr>
          <w:sz w:val="18"/>
          <w:szCs w:val="18"/>
        </w:rPr>
        <w:t xml:space="preserve"> </w:t>
      </w:r>
    </w:p>
  </w:footnote>
  <w:footnote w:id="68">
    <w:p w:rsidR="00636785" w:rsidRDefault="00636785" w:rsidP="008549DC">
      <w:r w:rsidRPr="008549DC">
        <w:rPr>
          <w:rStyle w:val="FootnoteReference"/>
          <w:rFonts w:ascii="Arial Narrow" w:hAnsi="Arial Narrow"/>
          <w:sz w:val="18"/>
          <w:szCs w:val="18"/>
        </w:rPr>
        <w:footnoteRef/>
      </w:r>
      <w:r w:rsidRPr="008549DC">
        <w:rPr>
          <w:rStyle w:val="FootnoteReference"/>
          <w:rFonts w:ascii="Arial Narrow" w:hAnsi="Arial Narrow"/>
          <w:sz w:val="18"/>
          <w:szCs w:val="18"/>
          <w:vertAlign w:val="baseline"/>
        </w:rPr>
        <w:t xml:space="preserve"> </w:t>
      </w:r>
      <w:r w:rsidRPr="008549DC">
        <w:rPr>
          <w:rStyle w:val="FootnoteReference"/>
          <w:rFonts w:ascii="Arial Narrow" w:hAnsi="Arial Narrow"/>
          <w:sz w:val="18"/>
          <w:szCs w:val="18"/>
          <w:vertAlign w:val="baseline"/>
        </w:rPr>
        <w:tab/>
        <w:t xml:space="preserve">Daniels MJ; </w:t>
      </w:r>
      <w:proofErr w:type="spellStart"/>
      <w:r w:rsidRPr="008549DC">
        <w:rPr>
          <w:rStyle w:val="FootnoteReference"/>
          <w:rFonts w:ascii="Arial Narrow" w:hAnsi="Arial Narrow"/>
          <w:sz w:val="18"/>
          <w:szCs w:val="18"/>
          <w:vertAlign w:val="baseline"/>
        </w:rPr>
        <w:t>Dominici</w:t>
      </w:r>
      <w:proofErr w:type="spellEnd"/>
      <w:r w:rsidRPr="008549DC">
        <w:rPr>
          <w:rStyle w:val="FootnoteReference"/>
          <w:rFonts w:ascii="Arial Narrow" w:hAnsi="Arial Narrow"/>
          <w:sz w:val="18"/>
          <w:szCs w:val="18"/>
          <w:vertAlign w:val="baseline"/>
        </w:rPr>
        <w:t xml:space="preserve"> F; </w:t>
      </w:r>
      <w:proofErr w:type="spellStart"/>
      <w:r w:rsidRPr="008549DC">
        <w:rPr>
          <w:rStyle w:val="FootnoteReference"/>
          <w:rFonts w:ascii="Arial Narrow" w:hAnsi="Arial Narrow"/>
          <w:sz w:val="18"/>
          <w:szCs w:val="18"/>
          <w:vertAlign w:val="baseline"/>
        </w:rPr>
        <w:t>Zeger</w:t>
      </w:r>
      <w:proofErr w:type="spellEnd"/>
      <w:r w:rsidRPr="008549DC">
        <w:rPr>
          <w:rStyle w:val="FootnoteReference"/>
          <w:rFonts w:ascii="Arial Narrow" w:hAnsi="Arial Narrow"/>
          <w:sz w:val="18"/>
          <w:szCs w:val="18"/>
          <w:vertAlign w:val="baseline"/>
        </w:rPr>
        <w:t xml:space="preserve"> SL; </w:t>
      </w:r>
      <w:proofErr w:type="spellStart"/>
      <w:r w:rsidRPr="008549DC">
        <w:rPr>
          <w:rStyle w:val="FootnoteReference"/>
          <w:rFonts w:ascii="Arial Narrow" w:hAnsi="Arial Narrow"/>
          <w:sz w:val="18"/>
          <w:szCs w:val="18"/>
          <w:vertAlign w:val="baseline"/>
        </w:rPr>
        <w:t>Samet</w:t>
      </w:r>
      <w:proofErr w:type="spellEnd"/>
      <w:r w:rsidRPr="008549DC">
        <w:rPr>
          <w:rStyle w:val="FootnoteReference"/>
          <w:rFonts w:ascii="Arial Narrow" w:hAnsi="Arial Narrow"/>
          <w:sz w:val="18"/>
          <w:szCs w:val="18"/>
          <w:vertAlign w:val="baseline"/>
        </w:rPr>
        <w:t xml:space="preserve"> JM (2004). The national morbidity, mortality, and air pollution study Part III: PM10 concentration-response curves and thresholds for the 20 largest US cities. Report.</w:t>
      </w:r>
    </w:p>
  </w:footnote>
  <w:footnote w:id="69">
    <w:p w:rsidR="00636785" w:rsidRDefault="00636785" w:rsidP="008549DC">
      <w:r w:rsidRPr="008549DC">
        <w:rPr>
          <w:rStyle w:val="FootnoteReference"/>
          <w:rFonts w:ascii="Arial Narrow" w:hAnsi="Arial Narrow"/>
          <w:sz w:val="18"/>
          <w:szCs w:val="18"/>
        </w:rPr>
        <w:footnoteRef/>
      </w:r>
      <w:r w:rsidRPr="008549DC">
        <w:rPr>
          <w:rStyle w:val="FootnoteReference"/>
          <w:rFonts w:ascii="Arial Narrow" w:hAnsi="Arial Narrow"/>
          <w:sz w:val="18"/>
          <w:szCs w:val="18"/>
        </w:rPr>
        <w:t xml:space="preserve"> </w:t>
      </w:r>
      <w:r w:rsidRPr="008549DC">
        <w:rPr>
          <w:rStyle w:val="FootnoteReference"/>
          <w:rFonts w:ascii="Arial Narrow" w:hAnsi="Arial Narrow"/>
          <w:sz w:val="18"/>
          <w:szCs w:val="18"/>
          <w:vertAlign w:val="baseline"/>
        </w:rPr>
        <w:tab/>
      </w:r>
      <w:proofErr w:type="spellStart"/>
      <w:r w:rsidRPr="008549DC">
        <w:rPr>
          <w:rStyle w:val="FootnoteReference"/>
          <w:rFonts w:ascii="Arial Narrow" w:hAnsi="Arial Narrow"/>
          <w:sz w:val="18"/>
          <w:szCs w:val="18"/>
          <w:vertAlign w:val="baseline"/>
        </w:rPr>
        <w:t>Samoli</w:t>
      </w:r>
      <w:proofErr w:type="spellEnd"/>
      <w:r w:rsidRPr="008549DC">
        <w:rPr>
          <w:rStyle w:val="FootnoteReference"/>
          <w:rFonts w:ascii="Arial Narrow" w:hAnsi="Arial Narrow"/>
          <w:sz w:val="18"/>
          <w:szCs w:val="18"/>
          <w:vertAlign w:val="baseline"/>
        </w:rPr>
        <w:t xml:space="preserve"> E; </w:t>
      </w:r>
      <w:proofErr w:type="spellStart"/>
      <w:r w:rsidRPr="008549DC">
        <w:rPr>
          <w:rStyle w:val="FootnoteReference"/>
          <w:rFonts w:ascii="Arial Narrow" w:hAnsi="Arial Narrow"/>
          <w:sz w:val="18"/>
          <w:szCs w:val="18"/>
          <w:vertAlign w:val="baseline"/>
        </w:rPr>
        <w:t>Analitis</w:t>
      </w:r>
      <w:proofErr w:type="spellEnd"/>
      <w:r w:rsidRPr="008549DC">
        <w:rPr>
          <w:rStyle w:val="FootnoteReference"/>
          <w:rFonts w:ascii="Arial Narrow" w:hAnsi="Arial Narrow"/>
          <w:sz w:val="18"/>
          <w:szCs w:val="18"/>
          <w:vertAlign w:val="baseline"/>
        </w:rPr>
        <w:t xml:space="preserve"> A; </w:t>
      </w:r>
      <w:proofErr w:type="spellStart"/>
      <w:r w:rsidRPr="008549DC">
        <w:rPr>
          <w:rStyle w:val="FootnoteReference"/>
          <w:rFonts w:ascii="Arial Narrow" w:hAnsi="Arial Narrow"/>
          <w:sz w:val="18"/>
          <w:szCs w:val="18"/>
          <w:vertAlign w:val="baseline"/>
        </w:rPr>
        <w:t>Touloumi</w:t>
      </w:r>
      <w:proofErr w:type="spellEnd"/>
      <w:r w:rsidRPr="008549DC">
        <w:rPr>
          <w:rStyle w:val="FootnoteReference"/>
          <w:rFonts w:ascii="Arial Narrow" w:hAnsi="Arial Narrow"/>
          <w:sz w:val="18"/>
          <w:szCs w:val="18"/>
          <w:vertAlign w:val="baseline"/>
        </w:rPr>
        <w:t xml:space="preserve"> G; Schwartz J; Anderson HR; </w:t>
      </w:r>
      <w:proofErr w:type="spellStart"/>
      <w:r w:rsidRPr="008549DC">
        <w:rPr>
          <w:rStyle w:val="FootnoteReference"/>
          <w:rFonts w:ascii="Arial Narrow" w:hAnsi="Arial Narrow"/>
          <w:sz w:val="18"/>
          <w:szCs w:val="18"/>
          <w:vertAlign w:val="baseline"/>
        </w:rPr>
        <w:t>Sunyer</w:t>
      </w:r>
      <w:proofErr w:type="spellEnd"/>
      <w:r w:rsidRPr="008549DC">
        <w:rPr>
          <w:rStyle w:val="FootnoteReference"/>
          <w:rFonts w:ascii="Arial Narrow" w:hAnsi="Arial Narrow"/>
          <w:sz w:val="18"/>
          <w:szCs w:val="18"/>
          <w:vertAlign w:val="baseline"/>
        </w:rPr>
        <w:t xml:space="preserve"> J; </w:t>
      </w:r>
      <w:proofErr w:type="spellStart"/>
      <w:r w:rsidRPr="008549DC">
        <w:rPr>
          <w:rStyle w:val="FootnoteReference"/>
          <w:rFonts w:ascii="Arial Narrow" w:hAnsi="Arial Narrow"/>
          <w:sz w:val="18"/>
          <w:szCs w:val="18"/>
          <w:vertAlign w:val="baseline"/>
        </w:rPr>
        <w:t>Bisanti</w:t>
      </w:r>
      <w:proofErr w:type="spellEnd"/>
      <w:r w:rsidRPr="008549DC">
        <w:rPr>
          <w:rStyle w:val="FootnoteReference"/>
          <w:rFonts w:ascii="Arial Narrow" w:hAnsi="Arial Narrow"/>
          <w:sz w:val="18"/>
          <w:szCs w:val="18"/>
          <w:vertAlign w:val="baseline"/>
        </w:rPr>
        <w:t xml:space="preserve"> L; </w:t>
      </w:r>
      <w:proofErr w:type="spellStart"/>
      <w:r w:rsidRPr="008549DC">
        <w:rPr>
          <w:rStyle w:val="FootnoteReference"/>
          <w:rFonts w:ascii="Arial Narrow" w:hAnsi="Arial Narrow"/>
          <w:sz w:val="18"/>
          <w:szCs w:val="18"/>
          <w:vertAlign w:val="baseline"/>
        </w:rPr>
        <w:t>Zmirou</w:t>
      </w:r>
      <w:proofErr w:type="spellEnd"/>
      <w:r w:rsidRPr="008549DC">
        <w:rPr>
          <w:rStyle w:val="FootnoteReference"/>
          <w:rFonts w:ascii="Arial Narrow" w:hAnsi="Arial Narrow"/>
          <w:sz w:val="18"/>
          <w:szCs w:val="18"/>
          <w:vertAlign w:val="baseline"/>
        </w:rPr>
        <w:t xml:space="preserve"> D; </w:t>
      </w:r>
      <w:proofErr w:type="spellStart"/>
      <w:r w:rsidRPr="008549DC">
        <w:rPr>
          <w:rStyle w:val="FootnoteReference"/>
          <w:rFonts w:ascii="Arial Narrow" w:hAnsi="Arial Narrow"/>
          <w:sz w:val="18"/>
          <w:szCs w:val="18"/>
          <w:vertAlign w:val="baseline"/>
        </w:rPr>
        <w:t>Vonk</w:t>
      </w:r>
      <w:proofErr w:type="spellEnd"/>
      <w:r w:rsidRPr="008549DC">
        <w:rPr>
          <w:rStyle w:val="FootnoteReference"/>
          <w:rFonts w:ascii="Arial Narrow" w:hAnsi="Arial Narrow"/>
          <w:sz w:val="18"/>
          <w:szCs w:val="18"/>
          <w:vertAlign w:val="baseline"/>
        </w:rPr>
        <w:t xml:space="preserve"> JM; </w:t>
      </w:r>
      <w:proofErr w:type="spellStart"/>
      <w:r w:rsidRPr="008549DC">
        <w:rPr>
          <w:rStyle w:val="FootnoteReference"/>
          <w:rFonts w:ascii="Arial Narrow" w:hAnsi="Arial Narrow"/>
          <w:sz w:val="18"/>
          <w:szCs w:val="18"/>
          <w:vertAlign w:val="baseline"/>
        </w:rPr>
        <w:t>Pekkanen</w:t>
      </w:r>
      <w:proofErr w:type="spellEnd"/>
      <w:r w:rsidRPr="008549DC">
        <w:rPr>
          <w:rStyle w:val="FootnoteReference"/>
          <w:rFonts w:ascii="Arial Narrow" w:hAnsi="Arial Narrow"/>
          <w:sz w:val="18"/>
          <w:szCs w:val="18"/>
          <w:vertAlign w:val="baseline"/>
        </w:rPr>
        <w:t xml:space="preserve"> J; Goodman P; </w:t>
      </w:r>
      <w:proofErr w:type="spellStart"/>
      <w:r w:rsidRPr="008549DC">
        <w:rPr>
          <w:rStyle w:val="FootnoteReference"/>
          <w:rFonts w:ascii="Arial Narrow" w:hAnsi="Arial Narrow"/>
          <w:sz w:val="18"/>
          <w:szCs w:val="18"/>
          <w:vertAlign w:val="baseline"/>
        </w:rPr>
        <w:t>Paldy</w:t>
      </w:r>
      <w:proofErr w:type="spellEnd"/>
      <w:r w:rsidRPr="008549DC">
        <w:rPr>
          <w:rStyle w:val="FootnoteReference"/>
          <w:rFonts w:ascii="Arial Narrow" w:hAnsi="Arial Narrow"/>
          <w:sz w:val="18"/>
          <w:szCs w:val="18"/>
          <w:vertAlign w:val="baseline"/>
        </w:rPr>
        <w:t xml:space="preserve"> A; Schindler C; </w:t>
      </w:r>
      <w:proofErr w:type="spellStart"/>
      <w:r w:rsidRPr="008549DC">
        <w:rPr>
          <w:rStyle w:val="FootnoteReference"/>
          <w:rFonts w:ascii="Arial Narrow" w:hAnsi="Arial Narrow"/>
          <w:sz w:val="18"/>
          <w:szCs w:val="18"/>
          <w:vertAlign w:val="baseline"/>
        </w:rPr>
        <w:t>Katsouyanni</w:t>
      </w:r>
      <w:proofErr w:type="spellEnd"/>
      <w:r w:rsidRPr="008549DC">
        <w:rPr>
          <w:rStyle w:val="FootnoteReference"/>
          <w:rFonts w:ascii="Arial Narrow" w:hAnsi="Arial Narrow"/>
          <w:sz w:val="18"/>
          <w:szCs w:val="18"/>
          <w:vertAlign w:val="baseline"/>
        </w:rPr>
        <w:t xml:space="preserve"> K (2005). Estimating the exposure-response relationships between particulate matter and mortality within the APHEA multicity project, Journal Environmental Health Perspectives, 113:88-95.</w:t>
      </w:r>
    </w:p>
  </w:footnote>
  <w:footnote w:id="70">
    <w:p w:rsidR="00636785" w:rsidRDefault="00636785" w:rsidP="008549DC">
      <w:r w:rsidRPr="008549DC">
        <w:rPr>
          <w:rStyle w:val="FootnoteReference"/>
          <w:rFonts w:ascii="Arial Narrow" w:hAnsi="Arial Narrow"/>
          <w:sz w:val="18"/>
          <w:szCs w:val="18"/>
        </w:rPr>
        <w:footnoteRef/>
      </w:r>
      <w:r w:rsidRPr="008549DC">
        <w:rPr>
          <w:rStyle w:val="FootnoteReference"/>
          <w:rFonts w:ascii="Arial Narrow" w:hAnsi="Arial Narrow"/>
          <w:sz w:val="18"/>
          <w:szCs w:val="18"/>
        </w:rPr>
        <w:t xml:space="preserve"> </w:t>
      </w:r>
      <w:r w:rsidRPr="008549DC">
        <w:rPr>
          <w:rStyle w:val="FootnoteReference"/>
          <w:rFonts w:ascii="Arial Narrow" w:hAnsi="Arial Narrow"/>
          <w:sz w:val="18"/>
          <w:szCs w:val="18"/>
          <w:vertAlign w:val="baseline"/>
        </w:rPr>
        <w:tab/>
        <w:t xml:space="preserve">Schwartz J; </w:t>
      </w:r>
      <w:proofErr w:type="spellStart"/>
      <w:r w:rsidRPr="008549DC">
        <w:rPr>
          <w:rStyle w:val="FootnoteReference"/>
          <w:rFonts w:ascii="Arial Narrow" w:hAnsi="Arial Narrow"/>
          <w:sz w:val="18"/>
          <w:szCs w:val="18"/>
          <w:vertAlign w:val="baseline"/>
        </w:rPr>
        <w:t>Coull</w:t>
      </w:r>
      <w:proofErr w:type="spellEnd"/>
      <w:r w:rsidRPr="008549DC">
        <w:rPr>
          <w:rStyle w:val="FootnoteReference"/>
          <w:rFonts w:ascii="Arial Narrow" w:hAnsi="Arial Narrow"/>
          <w:sz w:val="18"/>
          <w:szCs w:val="18"/>
          <w:vertAlign w:val="baseline"/>
        </w:rPr>
        <w:t xml:space="preserve"> B; Laden F; Ryan L (2008). The effect of dose and timing of dose on the association between airborne particles and survival, Journal Environmental Health Perspectives, 116:64-69.</w:t>
      </w:r>
    </w:p>
  </w:footnote>
  <w:footnote w:id="71">
    <w:p w:rsidR="00636785" w:rsidRDefault="00636785" w:rsidP="008549DC">
      <w:r w:rsidRPr="008549DC">
        <w:rPr>
          <w:rStyle w:val="FootnoteReference"/>
          <w:rFonts w:ascii="Arial Narrow" w:hAnsi="Arial Narrow"/>
          <w:sz w:val="18"/>
          <w:szCs w:val="18"/>
        </w:rPr>
        <w:footnoteRef/>
      </w:r>
      <w:r w:rsidRPr="008549DC">
        <w:rPr>
          <w:rStyle w:val="FootnoteReference"/>
          <w:rFonts w:ascii="Arial Narrow" w:hAnsi="Arial Narrow"/>
          <w:sz w:val="18"/>
          <w:szCs w:val="18"/>
        </w:rPr>
        <w:t xml:space="preserve"> </w:t>
      </w:r>
      <w:r w:rsidRPr="008549DC">
        <w:rPr>
          <w:rStyle w:val="FootnoteReference"/>
          <w:rFonts w:ascii="Arial Narrow" w:hAnsi="Arial Narrow"/>
          <w:sz w:val="18"/>
          <w:szCs w:val="18"/>
          <w:vertAlign w:val="baseline"/>
        </w:rPr>
        <w:tab/>
        <w:t>Schwartz J (2004). The effects of particulate air pollution on daily deaths: a multi-city case crossover analysis, Journal Occupational and Environmental Medicine, 61:956-961.</w:t>
      </w:r>
    </w:p>
  </w:footnote>
  <w:footnote w:id="72">
    <w:p w:rsidR="00636785" w:rsidRDefault="00636785" w:rsidP="008549DC">
      <w:r w:rsidRPr="008549DC">
        <w:rPr>
          <w:rStyle w:val="FootnoteReference"/>
          <w:rFonts w:ascii="Arial Narrow" w:hAnsi="Arial Narrow"/>
          <w:sz w:val="18"/>
          <w:szCs w:val="18"/>
        </w:rPr>
        <w:footnoteRef/>
      </w:r>
      <w:r w:rsidRPr="008549DC">
        <w:rPr>
          <w:sz w:val="18"/>
          <w:szCs w:val="18"/>
          <w:vertAlign w:val="superscript"/>
        </w:rPr>
        <w:t xml:space="preserve"> </w:t>
      </w:r>
      <w:r w:rsidRPr="008549DC">
        <w:rPr>
          <w:sz w:val="18"/>
          <w:szCs w:val="18"/>
        </w:rPr>
        <w:tab/>
      </w:r>
      <w:proofErr w:type="gramStart"/>
      <w:r w:rsidRPr="008549DC">
        <w:rPr>
          <w:sz w:val="18"/>
          <w:szCs w:val="18"/>
        </w:rPr>
        <w:t xml:space="preserve">Barnett AG; Williams GM; Schwartz J; </w:t>
      </w:r>
      <w:proofErr w:type="spellStart"/>
      <w:r w:rsidRPr="008549DC">
        <w:rPr>
          <w:sz w:val="18"/>
          <w:szCs w:val="18"/>
        </w:rPr>
        <w:t>Neller</w:t>
      </w:r>
      <w:proofErr w:type="spellEnd"/>
      <w:r w:rsidRPr="008549DC">
        <w:rPr>
          <w:sz w:val="18"/>
          <w:szCs w:val="18"/>
        </w:rPr>
        <w:t xml:space="preserve"> AH; Best TL; </w:t>
      </w:r>
      <w:proofErr w:type="spellStart"/>
      <w:r w:rsidRPr="008549DC">
        <w:rPr>
          <w:sz w:val="18"/>
          <w:szCs w:val="18"/>
        </w:rPr>
        <w:t>Petroeschevsky</w:t>
      </w:r>
      <w:proofErr w:type="spellEnd"/>
      <w:r w:rsidRPr="008549DC">
        <w:rPr>
          <w:sz w:val="18"/>
          <w:szCs w:val="18"/>
        </w:rPr>
        <w:t xml:space="preserve"> AL; Simpson RW (2005).</w:t>
      </w:r>
      <w:proofErr w:type="gramEnd"/>
      <w:r w:rsidRPr="008549DC">
        <w:rPr>
          <w:sz w:val="18"/>
          <w:szCs w:val="18"/>
        </w:rPr>
        <w:t xml:space="preserve"> </w:t>
      </w:r>
      <w:r w:rsidRPr="008549DC">
        <w:rPr>
          <w:i/>
          <w:sz w:val="18"/>
          <w:szCs w:val="18"/>
        </w:rPr>
        <w:t>Air pollution and child respiratory health: a case-crossover study in Australia and New Zealand</w:t>
      </w:r>
      <w:r w:rsidRPr="008549DC">
        <w:rPr>
          <w:sz w:val="18"/>
          <w:szCs w:val="18"/>
        </w:rPr>
        <w:t>, Journal American Journal of Respiratory and Critical Care Medicine, 171:1272–1278.</w:t>
      </w:r>
    </w:p>
  </w:footnote>
  <w:footnote w:id="73">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spellStart"/>
      <w:proofErr w:type="gramStart"/>
      <w:r w:rsidRPr="008549DC">
        <w:rPr>
          <w:sz w:val="18"/>
          <w:szCs w:val="18"/>
        </w:rPr>
        <w:t>Erbas</w:t>
      </w:r>
      <w:proofErr w:type="spellEnd"/>
      <w:r w:rsidRPr="008549DC">
        <w:rPr>
          <w:sz w:val="18"/>
          <w:szCs w:val="18"/>
        </w:rPr>
        <w:t xml:space="preserve"> B; Kelly AM; </w:t>
      </w:r>
      <w:proofErr w:type="spellStart"/>
      <w:r w:rsidRPr="008549DC">
        <w:rPr>
          <w:sz w:val="18"/>
          <w:szCs w:val="18"/>
        </w:rPr>
        <w:t>Physick</w:t>
      </w:r>
      <w:proofErr w:type="spellEnd"/>
      <w:r w:rsidRPr="008549DC">
        <w:rPr>
          <w:sz w:val="18"/>
          <w:szCs w:val="18"/>
        </w:rPr>
        <w:t xml:space="preserve"> B; Code C; Edwards M (2005).</w:t>
      </w:r>
      <w:proofErr w:type="gramEnd"/>
      <w:r w:rsidRPr="008549DC">
        <w:rPr>
          <w:sz w:val="18"/>
          <w:szCs w:val="18"/>
        </w:rPr>
        <w:t xml:space="preserve"> </w:t>
      </w:r>
      <w:r w:rsidRPr="008549DC">
        <w:rPr>
          <w:i/>
          <w:sz w:val="18"/>
          <w:szCs w:val="18"/>
        </w:rPr>
        <w:t>Air pollution and childhood asthma emergency hospital admissions: estimating intra-city regional variations</w:t>
      </w:r>
      <w:r w:rsidRPr="008549DC">
        <w:rPr>
          <w:sz w:val="18"/>
          <w:szCs w:val="18"/>
        </w:rPr>
        <w:t>. International Journal of Environmental Health Research, 15:11-20.</w:t>
      </w:r>
    </w:p>
  </w:footnote>
  <w:footnote w:id="74">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gramStart"/>
      <w:r w:rsidRPr="008549DC">
        <w:rPr>
          <w:sz w:val="18"/>
          <w:szCs w:val="18"/>
        </w:rPr>
        <w:t xml:space="preserve">Simpson R; Williams G; </w:t>
      </w:r>
      <w:proofErr w:type="spellStart"/>
      <w:r w:rsidRPr="008549DC">
        <w:rPr>
          <w:sz w:val="18"/>
          <w:szCs w:val="18"/>
        </w:rPr>
        <w:t>Petroeschevsky</w:t>
      </w:r>
      <w:proofErr w:type="spellEnd"/>
      <w:r w:rsidRPr="008549DC">
        <w:rPr>
          <w:sz w:val="18"/>
          <w:szCs w:val="18"/>
        </w:rPr>
        <w:t xml:space="preserve"> A; Best T; Morgan G; Denison L; </w:t>
      </w:r>
      <w:proofErr w:type="spellStart"/>
      <w:r w:rsidRPr="008549DC">
        <w:rPr>
          <w:sz w:val="18"/>
          <w:szCs w:val="18"/>
        </w:rPr>
        <w:t>Hinwood</w:t>
      </w:r>
      <w:proofErr w:type="spellEnd"/>
      <w:r w:rsidRPr="008549DC">
        <w:rPr>
          <w:sz w:val="18"/>
          <w:szCs w:val="18"/>
        </w:rPr>
        <w:t xml:space="preserve"> A; Neville G (2005).</w:t>
      </w:r>
      <w:proofErr w:type="gramEnd"/>
      <w:r w:rsidRPr="008549DC">
        <w:rPr>
          <w:sz w:val="18"/>
          <w:szCs w:val="18"/>
        </w:rPr>
        <w:t xml:space="preserve"> </w:t>
      </w:r>
      <w:r w:rsidRPr="008549DC">
        <w:rPr>
          <w:i/>
          <w:sz w:val="18"/>
          <w:szCs w:val="18"/>
        </w:rPr>
        <w:t>The short-term effects of air pollution on hospital admissions in four Australian cities</w:t>
      </w:r>
      <w:r w:rsidRPr="008549DC">
        <w:rPr>
          <w:sz w:val="18"/>
          <w:szCs w:val="18"/>
        </w:rPr>
        <w:t>, Journal Australian and New Zealand Journal of Public Health, 29:213-221</w:t>
      </w:r>
      <w:r w:rsidRPr="00CC2B95">
        <w:t xml:space="preserve"> </w:t>
      </w:r>
    </w:p>
  </w:footnote>
  <w:footnote w:id="75">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gramStart"/>
      <w:r w:rsidRPr="008549DC">
        <w:rPr>
          <w:sz w:val="18"/>
          <w:szCs w:val="18"/>
        </w:rPr>
        <w:t>U.S. EPA (2006).</w:t>
      </w:r>
      <w:proofErr w:type="gramEnd"/>
      <w:r w:rsidRPr="008549DC">
        <w:rPr>
          <w:sz w:val="18"/>
          <w:szCs w:val="18"/>
        </w:rPr>
        <w:t xml:space="preserve"> </w:t>
      </w:r>
      <w:proofErr w:type="gramStart"/>
      <w:r w:rsidRPr="008549DC">
        <w:rPr>
          <w:i/>
          <w:sz w:val="18"/>
          <w:szCs w:val="18"/>
        </w:rPr>
        <w:t>Air quality criteria for ozone and related photochemical oxidants</w:t>
      </w:r>
      <w:r w:rsidRPr="008549DC">
        <w:rPr>
          <w:sz w:val="18"/>
          <w:szCs w:val="18"/>
        </w:rPr>
        <w:t>.</w:t>
      </w:r>
      <w:proofErr w:type="gramEnd"/>
      <w:r w:rsidRPr="008549DC">
        <w:rPr>
          <w:sz w:val="18"/>
          <w:szCs w:val="18"/>
        </w:rPr>
        <w:t xml:space="preserve"> </w:t>
      </w:r>
      <w:proofErr w:type="gramStart"/>
      <w:r w:rsidRPr="008549DC">
        <w:rPr>
          <w:sz w:val="18"/>
          <w:szCs w:val="18"/>
        </w:rPr>
        <w:t>Volume I. United States Environmental Protection Agency.</w:t>
      </w:r>
      <w:proofErr w:type="gramEnd"/>
    </w:p>
  </w:footnote>
  <w:footnote w:id="76">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gramStart"/>
      <w:r w:rsidRPr="008549DC">
        <w:rPr>
          <w:sz w:val="18"/>
          <w:szCs w:val="18"/>
        </w:rPr>
        <w:t>U.S. EPA (2006).</w:t>
      </w:r>
      <w:proofErr w:type="gramEnd"/>
      <w:r w:rsidRPr="008549DC">
        <w:rPr>
          <w:sz w:val="18"/>
          <w:szCs w:val="18"/>
        </w:rPr>
        <w:t xml:space="preserve"> </w:t>
      </w:r>
      <w:proofErr w:type="gramStart"/>
      <w:r w:rsidRPr="008549DC">
        <w:rPr>
          <w:i/>
          <w:sz w:val="18"/>
          <w:szCs w:val="18"/>
        </w:rPr>
        <w:t>Air quality criteria for ozone and related photochemical oxidants</w:t>
      </w:r>
      <w:r w:rsidRPr="008549DC">
        <w:rPr>
          <w:sz w:val="18"/>
          <w:szCs w:val="18"/>
        </w:rPr>
        <w:t>.</w:t>
      </w:r>
      <w:proofErr w:type="gramEnd"/>
      <w:r w:rsidRPr="008549DC">
        <w:rPr>
          <w:sz w:val="18"/>
          <w:szCs w:val="18"/>
        </w:rPr>
        <w:t xml:space="preserve"> </w:t>
      </w:r>
      <w:proofErr w:type="gramStart"/>
      <w:r w:rsidRPr="008549DC">
        <w:rPr>
          <w:sz w:val="18"/>
          <w:szCs w:val="18"/>
        </w:rPr>
        <w:t>Volume I. United States Environmental Protection Agency.</w:t>
      </w:r>
      <w:proofErr w:type="gramEnd"/>
    </w:p>
  </w:footnote>
  <w:footnote w:id="77">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gramStart"/>
      <w:r w:rsidRPr="008549DC">
        <w:rPr>
          <w:sz w:val="18"/>
          <w:szCs w:val="18"/>
        </w:rPr>
        <w:t xml:space="preserve">Barnett AG; Williams GM; Schwartz J; </w:t>
      </w:r>
      <w:proofErr w:type="spellStart"/>
      <w:r w:rsidRPr="008549DC">
        <w:rPr>
          <w:sz w:val="18"/>
          <w:szCs w:val="18"/>
        </w:rPr>
        <w:t>Neller</w:t>
      </w:r>
      <w:proofErr w:type="spellEnd"/>
      <w:r w:rsidRPr="008549DC">
        <w:rPr>
          <w:sz w:val="18"/>
          <w:szCs w:val="18"/>
        </w:rPr>
        <w:t xml:space="preserve"> AH; Best TL; </w:t>
      </w:r>
      <w:proofErr w:type="spellStart"/>
      <w:r w:rsidRPr="008549DC">
        <w:rPr>
          <w:sz w:val="18"/>
          <w:szCs w:val="18"/>
        </w:rPr>
        <w:t>Petroeschevsky</w:t>
      </w:r>
      <w:proofErr w:type="spellEnd"/>
      <w:r w:rsidRPr="008549DC">
        <w:rPr>
          <w:sz w:val="18"/>
          <w:szCs w:val="18"/>
        </w:rPr>
        <w:t xml:space="preserve"> AL; Simpson RW (2005).</w:t>
      </w:r>
      <w:proofErr w:type="gramEnd"/>
      <w:r w:rsidRPr="008549DC">
        <w:rPr>
          <w:sz w:val="18"/>
          <w:szCs w:val="18"/>
        </w:rPr>
        <w:t xml:space="preserve"> </w:t>
      </w:r>
      <w:r w:rsidRPr="008549DC">
        <w:rPr>
          <w:i/>
          <w:sz w:val="18"/>
          <w:szCs w:val="18"/>
        </w:rPr>
        <w:t>Air pollution and child respiratory health: a case-crossover study in Australia and New Zealand</w:t>
      </w:r>
      <w:r w:rsidRPr="008549DC">
        <w:rPr>
          <w:sz w:val="18"/>
          <w:szCs w:val="18"/>
        </w:rPr>
        <w:t>, Journal American Journal of Respiratory and Critical Care Medicine, 171:1272–1278.</w:t>
      </w:r>
    </w:p>
  </w:footnote>
  <w:footnote w:id="78">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spellStart"/>
      <w:proofErr w:type="gramStart"/>
      <w:r w:rsidRPr="008549DC">
        <w:rPr>
          <w:sz w:val="18"/>
          <w:szCs w:val="18"/>
        </w:rPr>
        <w:t>Erbas</w:t>
      </w:r>
      <w:proofErr w:type="spellEnd"/>
      <w:r w:rsidRPr="008549DC">
        <w:rPr>
          <w:sz w:val="18"/>
          <w:szCs w:val="18"/>
        </w:rPr>
        <w:t xml:space="preserve"> B; Kelly AM; </w:t>
      </w:r>
      <w:proofErr w:type="spellStart"/>
      <w:r w:rsidRPr="008549DC">
        <w:rPr>
          <w:sz w:val="18"/>
          <w:szCs w:val="18"/>
        </w:rPr>
        <w:t>Physick</w:t>
      </w:r>
      <w:proofErr w:type="spellEnd"/>
      <w:r w:rsidRPr="008549DC">
        <w:rPr>
          <w:sz w:val="18"/>
          <w:szCs w:val="18"/>
        </w:rPr>
        <w:t xml:space="preserve"> B; Code C; Edwards M (2005).</w:t>
      </w:r>
      <w:proofErr w:type="gramEnd"/>
      <w:r w:rsidRPr="008549DC">
        <w:rPr>
          <w:sz w:val="18"/>
          <w:szCs w:val="18"/>
        </w:rPr>
        <w:t xml:space="preserve"> </w:t>
      </w:r>
      <w:r w:rsidRPr="008549DC">
        <w:rPr>
          <w:i/>
          <w:sz w:val="18"/>
          <w:szCs w:val="18"/>
        </w:rPr>
        <w:t>Air pollution and childhood asthma emergency hospital admissions: estimating intra-city regional variations</w:t>
      </w:r>
      <w:r w:rsidRPr="008549DC">
        <w:rPr>
          <w:sz w:val="18"/>
          <w:szCs w:val="18"/>
        </w:rPr>
        <w:t>. International Journal of Environmental Health Research, 15:11-20.</w:t>
      </w:r>
    </w:p>
  </w:footnote>
  <w:footnote w:id="79">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gramStart"/>
      <w:r w:rsidRPr="008549DC">
        <w:rPr>
          <w:sz w:val="18"/>
          <w:szCs w:val="18"/>
        </w:rPr>
        <w:t xml:space="preserve">Simpson R; Williams G; </w:t>
      </w:r>
      <w:proofErr w:type="spellStart"/>
      <w:r w:rsidRPr="008549DC">
        <w:rPr>
          <w:sz w:val="18"/>
          <w:szCs w:val="18"/>
        </w:rPr>
        <w:t>Petroeschevsky</w:t>
      </w:r>
      <w:proofErr w:type="spellEnd"/>
      <w:r w:rsidRPr="008549DC">
        <w:rPr>
          <w:sz w:val="18"/>
          <w:szCs w:val="18"/>
        </w:rPr>
        <w:t xml:space="preserve"> A; Best T; Morgan G; Denison L; </w:t>
      </w:r>
      <w:proofErr w:type="spellStart"/>
      <w:r w:rsidRPr="008549DC">
        <w:rPr>
          <w:sz w:val="18"/>
          <w:szCs w:val="18"/>
        </w:rPr>
        <w:t>Hinwood</w:t>
      </w:r>
      <w:proofErr w:type="spellEnd"/>
      <w:r w:rsidRPr="008549DC">
        <w:rPr>
          <w:sz w:val="18"/>
          <w:szCs w:val="18"/>
        </w:rPr>
        <w:t xml:space="preserve"> A; Neville G (2005).</w:t>
      </w:r>
      <w:proofErr w:type="gramEnd"/>
      <w:r w:rsidRPr="008549DC">
        <w:rPr>
          <w:sz w:val="18"/>
          <w:szCs w:val="18"/>
        </w:rPr>
        <w:t xml:space="preserve"> </w:t>
      </w:r>
      <w:r w:rsidRPr="008549DC">
        <w:rPr>
          <w:i/>
          <w:sz w:val="18"/>
          <w:szCs w:val="18"/>
        </w:rPr>
        <w:t>The short-term effects of air pollution on hospital admissions in four Australian cities</w:t>
      </w:r>
      <w:r w:rsidRPr="008549DC">
        <w:rPr>
          <w:sz w:val="18"/>
          <w:szCs w:val="18"/>
        </w:rPr>
        <w:t xml:space="preserve">, Journal Australian and New Zealand Journal of Public Health, 29:213-221 </w:t>
      </w:r>
    </w:p>
  </w:footnote>
  <w:footnote w:id="80">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gramStart"/>
      <w:r w:rsidRPr="008549DC">
        <w:rPr>
          <w:sz w:val="18"/>
          <w:szCs w:val="18"/>
        </w:rPr>
        <w:t xml:space="preserve">Barnett AG; Williams GM; Schwartz J; Best TL; </w:t>
      </w:r>
      <w:proofErr w:type="spellStart"/>
      <w:r w:rsidRPr="008549DC">
        <w:rPr>
          <w:sz w:val="18"/>
          <w:szCs w:val="18"/>
        </w:rPr>
        <w:t>Neller</w:t>
      </w:r>
      <w:proofErr w:type="spellEnd"/>
      <w:r w:rsidRPr="008549DC">
        <w:rPr>
          <w:sz w:val="18"/>
          <w:szCs w:val="18"/>
        </w:rPr>
        <w:t xml:space="preserve"> AH; </w:t>
      </w:r>
      <w:proofErr w:type="spellStart"/>
      <w:r w:rsidRPr="008549DC">
        <w:rPr>
          <w:sz w:val="18"/>
          <w:szCs w:val="18"/>
        </w:rPr>
        <w:t>Petroeschevsky</w:t>
      </w:r>
      <w:proofErr w:type="spellEnd"/>
      <w:r w:rsidRPr="008549DC">
        <w:rPr>
          <w:sz w:val="18"/>
          <w:szCs w:val="18"/>
        </w:rPr>
        <w:t xml:space="preserve"> AL; Simpson RW (2006).</w:t>
      </w:r>
      <w:proofErr w:type="gramEnd"/>
      <w:r w:rsidRPr="008549DC">
        <w:rPr>
          <w:sz w:val="18"/>
          <w:szCs w:val="18"/>
        </w:rPr>
        <w:t xml:space="preserve"> </w:t>
      </w:r>
      <w:r w:rsidRPr="008549DC">
        <w:rPr>
          <w:i/>
          <w:sz w:val="18"/>
          <w:szCs w:val="18"/>
        </w:rPr>
        <w:t>The effects of air pollution on hospitalizations for cardiovascular disease in elderly people in Australian and New Zealand cities</w:t>
      </w:r>
      <w:r w:rsidRPr="008549DC">
        <w:rPr>
          <w:sz w:val="18"/>
          <w:szCs w:val="18"/>
        </w:rPr>
        <w:t>, Journal Environmental Health Perspectives, 114:1018-1023.</w:t>
      </w:r>
    </w:p>
  </w:footnote>
  <w:footnote w:id="81">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r>
      <w:proofErr w:type="spellStart"/>
      <w:r w:rsidRPr="008549DC">
        <w:rPr>
          <w:sz w:val="18"/>
          <w:szCs w:val="18"/>
        </w:rPr>
        <w:t>Hinwood</w:t>
      </w:r>
      <w:proofErr w:type="spellEnd"/>
      <w:r w:rsidRPr="008549DC">
        <w:rPr>
          <w:sz w:val="18"/>
          <w:szCs w:val="18"/>
        </w:rPr>
        <w:t xml:space="preserve"> AL; De Klerk N; Rodriguez C; </w:t>
      </w:r>
      <w:proofErr w:type="spellStart"/>
      <w:r w:rsidRPr="008549DC">
        <w:rPr>
          <w:sz w:val="18"/>
          <w:szCs w:val="18"/>
        </w:rPr>
        <w:t>Runnion</w:t>
      </w:r>
      <w:proofErr w:type="spellEnd"/>
      <w:r w:rsidRPr="008549DC">
        <w:rPr>
          <w:sz w:val="18"/>
          <w:szCs w:val="18"/>
        </w:rPr>
        <w:t xml:space="preserve"> T; Jacoby P; Landau L; Murray F; </w:t>
      </w:r>
      <w:proofErr w:type="spellStart"/>
      <w:r w:rsidRPr="008549DC">
        <w:rPr>
          <w:sz w:val="18"/>
          <w:szCs w:val="18"/>
        </w:rPr>
        <w:t>Feldwick</w:t>
      </w:r>
      <w:proofErr w:type="spellEnd"/>
      <w:r w:rsidRPr="008549DC">
        <w:rPr>
          <w:sz w:val="18"/>
          <w:szCs w:val="18"/>
        </w:rPr>
        <w:t xml:space="preserve"> M; </w:t>
      </w:r>
      <w:proofErr w:type="spellStart"/>
      <w:r w:rsidRPr="008549DC">
        <w:rPr>
          <w:sz w:val="18"/>
          <w:szCs w:val="18"/>
        </w:rPr>
        <w:t>Spickett</w:t>
      </w:r>
      <w:proofErr w:type="spellEnd"/>
      <w:r w:rsidRPr="008549DC">
        <w:rPr>
          <w:sz w:val="18"/>
          <w:szCs w:val="18"/>
        </w:rPr>
        <w:t xml:space="preserve"> J (2004). </w:t>
      </w:r>
      <w:r w:rsidRPr="008549DC">
        <w:rPr>
          <w:i/>
          <w:sz w:val="18"/>
          <w:szCs w:val="18"/>
        </w:rPr>
        <w:t>Changes in daily air pollution and mortality in Perth: A case crossover study</w:t>
      </w:r>
      <w:r w:rsidRPr="008549DC">
        <w:rPr>
          <w:sz w:val="18"/>
          <w:szCs w:val="18"/>
        </w:rPr>
        <w:t>. Environmental Health Perspectives, 4:13-23.</w:t>
      </w:r>
    </w:p>
  </w:footnote>
  <w:footnote w:id="82">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t xml:space="preserve">NSW DECC (2007) </w:t>
      </w:r>
      <w:r w:rsidRPr="008549DC">
        <w:rPr>
          <w:i/>
          <w:sz w:val="18"/>
          <w:szCs w:val="18"/>
        </w:rPr>
        <w:t>Current and projected air quality in NSW</w:t>
      </w:r>
      <w:r w:rsidRPr="008549DC">
        <w:rPr>
          <w:sz w:val="18"/>
          <w:szCs w:val="18"/>
        </w:rPr>
        <w:t xml:space="preserve"> at: </w:t>
      </w:r>
      <w:hyperlink r:id="rId28" w:history="1">
        <w:r w:rsidRPr="008549DC">
          <w:rPr>
            <w:rStyle w:val="Hyperlink"/>
            <w:rFonts w:ascii="Arial Narrow" w:hAnsi="Arial Narrow"/>
            <w:sz w:val="18"/>
            <w:szCs w:val="18"/>
          </w:rPr>
          <w:t>http://www.environment.nsw.gov.au/resources/air/07529cpairqual.pdf</w:t>
        </w:r>
      </w:hyperlink>
    </w:p>
  </w:footnote>
  <w:footnote w:id="83">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t xml:space="preserve">Aalto P; </w:t>
      </w:r>
      <w:proofErr w:type="spellStart"/>
      <w:r w:rsidRPr="008549DC">
        <w:rPr>
          <w:sz w:val="18"/>
          <w:szCs w:val="18"/>
        </w:rPr>
        <w:t>Hameri</w:t>
      </w:r>
      <w:proofErr w:type="spellEnd"/>
      <w:r w:rsidRPr="008549DC">
        <w:rPr>
          <w:sz w:val="18"/>
          <w:szCs w:val="18"/>
        </w:rPr>
        <w:t xml:space="preserve"> K; </w:t>
      </w:r>
      <w:proofErr w:type="spellStart"/>
      <w:r w:rsidRPr="008549DC">
        <w:rPr>
          <w:sz w:val="18"/>
          <w:szCs w:val="18"/>
        </w:rPr>
        <w:t>Paatero</w:t>
      </w:r>
      <w:proofErr w:type="spellEnd"/>
      <w:r w:rsidRPr="008549DC">
        <w:rPr>
          <w:sz w:val="18"/>
          <w:szCs w:val="18"/>
        </w:rPr>
        <w:t xml:space="preserve"> P; et al. (2005) Aerosol particle number concentration measurements in five European cities using TSI-3022 condensation particle counter over a three-year period during health effects of air pollution on susceptible subpopulations. Journal of the Air &amp; Waste Management Association, 55, 1064-76.</w:t>
      </w:r>
    </w:p>
  </w:footnote>
  <w:footnote w:id="84">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t xml:space="preserve">NSW DECC (2007) </w:t>
      </w:r>
      <w:r w:rsidRPr="008549DC">
        <w:rPr>
          <w:i/>
          <w:sz w:val="18"/>
          <w:szCs w:val="18"/>
        </w:rPr>
        <w:t>Current and projected air quality in NSW</w:t>
      </w:r>
      <w:r w:rsidRPr="008549DC">
        <w:rPr>
          <w:sz w:val="18"/>
          <w:szCs w:val="18"/>
        </w:rPr>
        <w:t xml:space="preserve"> at: </w:t>
      </w:r>
      <w:hyperlink r:id="rId29" w:history="1">
        <w:r w:rsidRPr="008549DC">
          <w:rPr>
            <w:rStyle w:val="Hyperlink"/>
            <w:rFonts w:ascii="Arial Narrow" w:hAnsi="Arial Narrow"/>
            <w:sz w:val="18"/>
            <w:szCs w:val="18"/>
          </w:rPr>
          <w:t>http://www.environment.nsw.gov.au/resources/air/07529cpairqual.pdf</w:t>
        </w:r>
      </w:hyperlink>
      <w:r w:rsidRPr="008549DC">
        <w:rPr>
          <w:sz w:val="18"/>
          <w:szCs w:val="18"/>
        </w:rPr>
        <w:t xml:space="preserve"> </w:t>
      </w:r>
    </w:p>
  </w:footnote>
  <w:footnote w:id="85">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t xml:space="preserve">EPA Victoria (2006). </w:t>
      </w:r>
      <w:r w:rsidRPr="008549DC">
        <w:rPr>
          <w:i/>
          <w:sz w:val="18"/>
          <w:szCs w:val="18"/>
        </w:rPr>
        <w:t>Review of air quality near major roads</w:t>
      </w:r>
      <w:r w:rsidRPr="008549DC">
        <w:rPr>
          <w:sz w:val="18"/>
          <w:szCs w:val="18"/>
        </w:rPr>
        <w:t xml:space="preserve">. </w:t>
      </w:r>
      <w:proofErr w:type="gramStart"/>
      <w:r w:rsidRPr="008549DC">
        <w:rPr>
          <w:sz w:val="18"/>
          <w:szCs w:val="18"/>
        </w:rPr>
        <w:t>Publication 1025.</w:t>
      </w:r>
      <w:proofErr w:type="gramEnd"/>
      <w:r w:rsidRPr="008549DC">
        <w:rPr>
          <w:sz w:val="18"/>
          <w:szCs w:val="18"/>
        </w:rPr>
        <w:t xml:space="preserve"> February 2006.  </w:t>
      </w:r>
      <w:proofErr w:type="gramStart"/>
      <w:r w:rsidRPr="008549DC">
        <w:rPr>
          <w:sz w:val="18"/>
          <w:szCs w:val="18"/>
        </w:rPr>
        <w:t>Environment Protection Authority Victoria.</w:t>
      </w:r>
      <w:proofErr w:type="gramEnd"/>
    </w:p>
  </w:footnote>
  <w:footnote w:id="86">
    <w:p w:rsidR="00636785" w:rsidRDefault="00636785" w:rsidP="008549DC">
      <w:r w:rsidRPr="008549DC">
        <w:rPr>
          <w:rStyle w:val="FootnoteReference"/>
          <w:rFonts w:ascii="Arial Narrow" w:hAnsi="Arial Narrow"/>
          <w:sz w:val="18"/>
          <w:szCs w:val="18"/>
        </w:rPr>
        <w:footnoteRef/>
      </w:r>
      <w:r w:rsidRPr="008549DC">
        <w:rPr>
          <w:sz w:val="18"/>
          <w:szCs w:val="18"/>
        </w:rPr>
        <w:t xml:space="preserve"> </w:t>
      </w:r>
      <w:r w:rsidRPr="008549DC">
        <w:rPr>
          <w:sz w:val="18"/>
          <w:szCs w:val="18"/>
        </w:rPr>
        <w:tab/>
        <w:t xml:space="preserve">NSW DECC (2007) </w:t>
      </w:r>
      <w:r w:rsidRPr="008549DC">
        <w:rPr>
          <w:i/>
          <w:sz w:val="18"/>
          <w:szCs w:val="18"/>
        </w:rPr>
        <w:t>Current and projected air quality in NSW</w:t>
      </w:r>
      <w:r w:rsidRPr="008549DC">
        <w:rPr>
          <w:sz w:val="18"/>
          <w:szCs w:val="18"/>
        </w:rPr>
        <w:t xml:space="preserve"> at: </w:t>
      </w:r>
      <w:hyperlink r:id="rId30" w:history="1">
        <w:r w:rsidRPr="008549DC">
          <w:rPr>
            <w:rStyle w:val="Hyperlink"/>
            <w:rFonts w:ascii="Arial Narrow" w:hAnsi="Arial Narrow"/>
            <w:sz w:val="18"/>
            <w:szCs w:val="18"/>
          </w:rPr>
          <w:t>http://www.environment.nsw.gov.au/resources/air/07529cpairqual.pdf</w:t>
        </w:r>
      </w:hyperlink>
      <w:r w:rsidRPr="008549DC">
        <w:rPr>
          <w:sz w:val="18"/>
          <w:szCs w:val="18"/>
        </w:rPr>
        <w:t xml:space="preserve"> </w:t>
      </w:r>
    </w:p>
  </w:footnote>
  <w:footnote w:id="87">
    <w:p w:rsidR="00636785" w:rsidRDefault="00636785" w:rsidP="008549DC">
      <w:r w:rsidRPr="008549DC">
        <w:rPr>
          <w:rStyle w:val="FootnoteReference"/>
          <w:sz w:val="18"/>
          <w:szCs w:val="18"/>
        </w:rPr>
        <w:footnoteRef/>
      </w:r>
      <w:r w:rsidRPr="008549DC">
        <w:rPr>
          <w:sz w:val="18"/>
          <w:szCs w:val="18"/>
        </w:rPr>
        <w:t xml:space="preserve"> </w:t>
      </w:r>
      <w:r w:rsidRPr="008549DC">
        <w:rPr>
          <w:sz w:val="18"/>
          <w:szCs w:val="18"/>
        </w:rPr>
        <w:tab/>
        <w:t xml:space="preserve">Victorian Government (2008) </w:t>
      </w:r>
      <w:r w:rsidRPr="008549DC">
        <w:rPr>
          <w:i/>
          <w:sz w:val="18"/>
          <w:szCs w:val="18"/>
        </w:rPr>
        <w:t>Melbourne @ 5 Million</w:t>
      </w:r>
      <w:r w:rsidRPr="008549DC">
        <w:rPr>
          <w:sz w:val="18"/>
          <w:szCs w:val="18"/>
        </w:rPr>
        <w:t xml:space="preserve"> at: </w:t>
      </w:r>
      <w:hyperlink r:id="rId31" w:history="1">
        <w:r w:rsidRPr="008549DC">
          <w:rPr>
            <w:rStyle w:val="Hyperlink"/>
            <w:rFonts w:ascii="Arial Narrow" w:hAnsi="Arial Narrow"/>
            <w:sz w:val="18"/>
            <w:szCs w:val="18"/>
          </w:rPr>
          <w:t>http://www.dse.vic.gov.au/DSE/nrenpl.nsf/fid/93E1884BDDA65F63CA25762500047CE5</w:t>
        </w:r>
      </w:hyperlink>
      <w:r>
        <w:t xml:space="preserve"> </w:t>
      </w:r>
    </w:p>
  </w:footnote>
  <w:footnote w:id="88">
    <w:p w:rsidR="00636785" w:rsidRDefault="00636785" w:rsidP="008549DC">
      <w:r w:rsidRPr="008549DC">
        <w:rPr>
          <w:rStyle w:val="FootnoteReference"/>
          <w:sz w:val="18"/>
          <w:szCs w:val="18"/>
        </w:rPr>
        <w:footnoteRef/>
      </w:r>
      <w:r w:rsidRPr="008549DC">
        <w:rPr>
          <w:sz w:val="18"/>
          <w:szCs w:val="18"/>
        </w:rPr>
        <w:t xml:space="preserve"> </w:t>
      </w:r>
      <w:r w:rsidRPr="008549DC">
        <w:rPr>
          <w:sz w:val="18"/>
          <w:szCs w:val="18"/>
        </w:rPr>
        <w:tab/>
        <w:t xml:space="preserve">ABS (2009) Cat. 3218.0, 2007-08, Summary at: </w:t>
      </w:r>
      <w:hyperlink r:id="rId32" w:history="1">
        <w:r w:rsidRPr="008549DC">
          <w:rPr>
            <w:rStyle w:val="Hyperlink"/>
            <w:rFonts w:ascii="Arial Narrow" w:hAnsi="Arial Narrow"/>
            <w:sz w:val="18"/>
            <w:szCs w:val="18"/>
          </w:rPr>
          <w:t>http://www.abs.gov.au/AUSSTATS/abs@.nsf/DetailsPage/3218.02007-08?OpenDocument</w:t>
        </w:r>
      </w:hyperlink>
      <w:r w:rsidRPr="008549DC">
        <w:rPr>
          <w:sz w:val="18"/>
          <w:szCs w:val="18"/>
        </w:rPr>
        <w:t xml:space="preserve"> </w:t>
      </w:r>
    </w:p>
  </w:footnote>
  <w:footnote w:id="89">
    <w:p w:rsidR="00636785" w:rsidRDefault="00636785" w:rsidP="008549DC">
      <w:r w:rsidRPr="008549DC">
        <w:rPr>
          <w:rStyle w:val="FootnoteReference"/>
          <w:sz w:val="18"/>
          <w:szCs w:val="18"/>
        </w:rPr>
        <w:footnoteRef/>
      </w:r>
      <w:r w:rsidRPr="008549DC">
        <w:rPr>
          <w:sz w:val="18"/>
          <w:szCs w:val="18"/>
        </w:rPr>
        <w:t xml:space="preserve"> </w:t>
      </w:r>
      <w:r w:rsidRPr="008549DC">
        <w:rPr>
          <w:sz w:val="18"/>
          <w:szCs w:val="18"/>
        </w:rPr>
        <w:tab/>
        <w:t xml:space="preserve">ABS (2009) Cat. 9309.0, 31 March 2008 SMVU Summary at: </w:t>
      </w:r>
      <w:hyperlink r:id="rId33" w:history="1">
        <w:r w:rsidRPr="008549DC">
          <w:rPr>
            <w:rStyle w:val="Hyperlink"/>
            <w:rFonts w:ascii="Arial Narrow" w:hAnsi="Arial Narrow"/>
            <w:sz w:val="18"/>
            <w:szCs w:val="18"/>
          </w:rPr>
          <w:t>http://www.abs.gov.au/ausstats/abs@.nsf/mediareleasesbytitle/28861A19CCDB9441CA25753D001B59DA?OpenDocument</w:t>
        </w:r>
      </w:hyperlink>
      <w:r w:rsidRPr="00791D79">
        <w:t xml:space="preserve"> </w:t>
      </w:r>
    </w:p>
  </w:footnote>
  <w:footnote w:id="90">
    <w:p w:rsidR="00636785" w:rsidRDefault="00636785" w:rsidP="007D2ECF">
      <w:r w:rsidRPr="007D2ECF">
        <w:rPr>
          <w:rStyle w:val="FootnoteReference"/>
          <w:sz w:val="18"/>
          <w:szCs w:val="18"/>
        </w:rPr>
        <w:footnoteRef/>
      </w:r>
      <w:r w:rsidRPr="007D2ECF">
        <w:rPr>
          <w:sz w:val="18"/>
          <w:szCs w:val="18"/>
        </w:rPr>
        <w:t xml:space="preserve"> </w:t>
      </w:r>
      <w:r w:rsidRPr="007D2ECF">
        <w:rPr>
          <w:sz w:val="18"/>
          <w:szCs w:val="18"/>
        </w:rPr>
        <w:tab/>
        <w:t xml:space="preserve">There are other costs associated with air pollution, such as reduced visibility and increased </w:t>
      </w:r>
      <w:proofErr w:type="gramStart"/>
      <w:r w:rsidRPr="007D2ECF">
        <w:rPr>
          <w:sz w:val="18"/>
          <w:szCs w:val="18"/>
        </w:rPr>
        <w:t>corrosion, that</w:t>
      </w:r>
      <w:proofErr w:type="gramEnd"/>
      <w:r w:rsidRPr="007D2ECF">
        <w:rPr>
          <w:sz w:val="18"/>
          <w:szCs w:val="18"/>
        </w:rPr>
        <w:t xml:space="preserve"> are difficult to quantify and are likely to be small. </w:t>
      </w:r>
    </w:p>
  </w:footnote>
  <w:footnote w:id="91">
    <w:p w:rsidR="00636785" w:rsidRDefault="00636785" w:rsidP="007D2ECF">
      <w:r w:rsidRPr="007D2ECF">
        <w:rPr>
          <w:rStyle w:val="FootnoteReference"/>
          <w:sz w:val="18"/>
          <w:szCs w:val="18"/>
        </w:rPr>
        <w:footnoteRef/>
      </w:r>
      <w:r w:rsidRPr="007D2ECF">
        <w:rPr>
          <w:sz w:val="18"/>
          <w:szCs w:val="18"/>
        </w:rPr>
        <w:t xml:space="preserve"> </w:t>
      </w:r>
      <w:r w:rsidRPr="007D2ECF">
        <w:rPr>
          <w:sz w:val="18"/>
          <w:szCs w:val="18"/>
        </w:rPr>
        <w:tab/>
      </w:r>
      <w:proofErr w:type="gramStart"/>
      <w:r w:rsidRPr="007D2ECF">
        <w:rPr>
          <w:sz w:val="18"/>
          <w:szCs w:val="18"/>
        </w:rPr>
        <w:t>An estimate of the magnitude of the association between exposure and disease that indicates the likelihood of developing the disease among persons who are exposed relative to those who are not.</w:t>
      </w:r>
      <w:proofErr w:type="gramEnd"/>
      <w:r w:rsidRPr="007D2ECF">
        <w:rPr>
          <w:sz w:val="18"/>
          <w:szCs w:val="18"/>
        </w:rPr>
        <w:t xml:space="preserve"> </w:t>
      </w:r>
    </w:p>
  </w:footnote>
  <w:footnote w:id="92">
    <w:p w:rsidR="00636785" w:rsidRDefault="00636785" w:rsidP="0061631E">
      <w:pPr>
        <w:pStyle w:val="FootnoteText"/>
        <w:ind w:left="720" w:hanging="720"/>
      </w:pPr>
      <w:r w:rsidRPr="007D2ECF">
        <w:rPr>
          <w:rStyle w:val="FootnoteReference"/>
          <w:sz w:val="18"/>
          <w:szCs w:val="18"/>
        </w:rPr>
        <w:footnoteRef/>
      </w:r>
      <w:r w:rsidRPr="007D2ECF">
        <w:rPr>
          <w:sz w:val="18"/>
          <w:szCs w:val="18"/>
        </w:rPr>
        <w:t xml:space="preserve"> </w:t>
      </w:r>
      <w:r w:rsidRPr="007D2ECF">
        <w:rPr>
          <w:sz w:val="18"/>
          <w:szCs w:val="18"/>
        </w:rPr>
        <w:tab/>
        <w:t xml:space="preserve">The </w:t>
      </w:r>
      <w:proofErr w:type="spellStart"/>
      <w:r w:rsidRPr="007D2ECF">
        <w:rPr>
          <w:sz w:val="18"/>
          <w:szCs w:val="18"/>
        </w:rPr>
        <w:t>ExternE</w:t>
      </w:r>
      <w:proofErr w:type="spellEnd"/>
      <w:r w:rsidRPr="007D2ECF">
        <w:rPr>
          <w:sz w:val="18"/>
          <w:szCs w:val="18"/>
        </w:rPr>
        <w:t xml:space="preserve"> project was jointly funded by the Research Directorate of the European Commission and the United States Department of Energy. The costs from air pollution were estimated for a large number of sites across Europe, (covering 12 countries and almost 50 individual locations).The </w:t>
      </w:r>
      <w:proofErr w:type="spellStart"/>
      <w:r w:rsidRPr="007D2ECF">
        <w:rPr>
          <w:sz w:val="18"/>
          <w:szCs w:val="18"/>
        </w:rPr>
        <w:t>ExternE</w:t>
      </w:r>
      <w:proofErr w:type="spellEnd"/>
      <w:r w:rsidRPr="007D2ECF">
        <w:rPr>
          <w:sz w:val="18"/>
          <w:szCs w:val="18"/>
        </w:rPr>
        <w:t xml:space="preserve"> study used the ‘Impact Pathway” methodology, in which dispersion models and exposure-response functions are employed to estimate health impact. Mortality cost of air pollution was based on Value of Statistical Life (A$6m) but adjusted to reflect years of life lost (VLYL).</w:t>
      </w:r>
    </w:p>
  </w:footnote>
  <w:footnote w:id="93">
    <w:p w:rsidR="00636785" w:rsidRDefault="00636785" w:rsidP="007D2ECF">
      <w:r w:rsidRPr="007D2ECF">
        <w:rPr>
          <w:rStyle w:val="FootnoteReference"/>
          <w:sz w:val="18"/>
          <w:szCs w:val="18"/>
        </w:rPr>
        <w:footnoteRef/>
      </w:r>
      <w:r w:rsidRPr="007D2ECF">
        <w:rPr>
          <w:sz w:val="18"/>
          <w:szCs w:val="18"/>
        </w:rPr>
        <w:t xml:space="preserve"> </w:t>
      </w:r>
      <w:r w:rsidRPr="007D2ECF">
        <w:rPr>
          <w:sz w:val="18"/>
          <w:szCs w:val="18"/>
        </w:rPr>
        <w:tab/>
        <w:t>These were CO, NO</w:t>
      </w:r>
      <w:r w:rsidRPr="007D2ECF">
        <w:rPr>
          <w:sz w:val="18"/>
          <w:szCs w:val="18"/>
          <w:vertAlign w:val="subscript"/>
        </w:rPr>
        <w:t>x</w:t>
      </w:r>
      <w:r w:rsidRPr="007D2ECF">
        <w:rPr>
          <w:sz w:val="18"/>
          <w:szCs w:val="18"/>
        </w:rPr>
        <w:t>, NMHC and PM</w:t>
      </w:r>
      <w:r w:rsidRPr="007D2ECF">
        <w:rPr>
          <w:sz w:val="18"/>
          <w:szCs w:val="18"/>
          <w:vertAlign w:val="subscript"/>
        </w:rPr>
        <w:t>10</w:t>
      </w:r>
      <w:r w:rsidRPr="007D2ECF">
        <w:rPr>
          <w:sz w:val="18"/>
          <w:szCs w:val="18"/>
        </w:rPr>
        <w:t>.</w:t>
      </w:r>
    </w:p>
  </w:footnote>
  <w:footnote w:id="94">
    <w:p w:rsidR="00636785" w:rsidRDefault="00636785" w:rsidP="007D2ECF">
      <w:r w:rsidRPr="007D2ECF">
        <w:rPr>
          <w:rStyle w:val="FootnoteReference"/>
          <w:sz w:val="18"/>
          <w:szCs w:val="18"/>
        </w:rPr>
        <w:footnoteRef/>
      </w:r>
      <w:r w:rsidRPr="007D2ECF">
        <w:rPr>
          <w:sz w:val="18"/>
          <w:szCs w:val="18"/>
        </w:rPr>
        <w:t xml:space="preserve"> </w:t>
      </w:r>
      <w:r w:rsidRPr="007D2ECF">
        <w:rPr>
          <w:sz w:val="18"/>
          <w:szCs w:val="18"/>
        </w:rPr>
        <w:tab/>
        <w:t xml:space="preserve">See footnote 73. </w:t>
      </w:r>
    </w:p>
  </w:footnote>
  <w:footnote w:id="95">
    <w:p w:rsidR="00636785" w:rsidRDefault="00636785" w:rsidP="007D2ECF">
      <w:r w:rsidRPr="007D2ECF">
        <w:rPr>
          <w:rStyle w:val="FootnoteReference"/>
          <w:sz w:val="18"/>
          <w:szCs w:val="18"/>
        </w:rPr>
        <w:footnoteRef/>
      </w:r>
      <w:r w:rsidRPr="007D2ECF">
        <w:rPr>
          <w:sz w:val="18"/>
          <w:szCs w:val="18"/>
        </w:rPr>
        <w:t xml:space="preserve"> </w:t>
      </w:r>
      <w:r w:rsidRPr="007D2ECF">
        <w:rPr>
          <w:sz w:val="18"/>
          <w:szCs w:val="18"/>
        </w:rPr>
        <w:tab/>
        <w:t>There are large uncertainties in measuring PM</w:t>
      </w:r>
      <w:r w:rsidRPr="007D2ECF">
        <w:rPr>
          <w:sz w:val="18"/>
          <w:szCs w:val="18"/>
          <w:vertAlign w:val="subscript"/>
        </w:rPr>
        <w:t>10</w:t>
      </w:r>
      <w:r w:rsidRPr="007D2ECF">
        <w:rPr>
          <w:sz w:val="18"/>
          <w:szCs w:val="18"/>
        </w:rPr>
        <w:t xml:space="preserve"> emissions from motor vehicles due to data limitations. This would affect the reliability of the estimated unit health cost values.</w:t>
      </w:r>
      <w:r w:rsidRPr="0061631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85" w:rsidRPr="00A06C9A" w:rsidRDefault="00636785" w:rsidP="00A26AB7">
    <w:pPr>
      <w:pStyle w:val="Heading4"/>
    </w:pPr>
    <w:r>
      <w:t>Final</w:t>
    </w:r>
    <w:r w:rsidRPr="00A06C9A">
      <w:t xml:space="preserve"> RIS - Euro 5/6 Emission Standards for Light Vehicles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85" w:rsidRDefault="00636785">
    <w:pPr>
      <w:pStyle w:val="Header"/>
      <w:jc w:val="right"/>
      <w:rPr>
        <w:rFonts w:ascii="Times" w:hAnsi="Times"/>
        <w:b/>
        <w:bCs/>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ACD"/>
    <w:multiLevelType w:val="hybridMultilevel"/>
    <w:tmpl w:val="D534C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7633C9"/>
    <w:multiLevelType w:val="hybridMultilevel"/>
    <w:tmpl w:val="A6DCD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27616A"/>
    <w:multiLevelType w:val="hybridMultilevel"/>
    <w:tmpl w:val="357658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B6B35FC"/>
    <w:multiLevelType w:val="hybridMultilevel"/>
    <w:tmpl w:val="92C2C2D0"/>
    <w:lvl w:ilvl="0" w:tplc="46F0CF2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BA74A74"/>
    <w:multiLevelType w:val="hybridMultilevel"/>
    <w:tmpl w:val="2F449C90"/>
    <w:lvl w:ilvl="0" w:tplc="4008BE4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0D342BF6"/>
    <w:multiLevelType w:val="hybridMultilevel"/>
    <w:tmpl w:val="CF928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E11FCB"/>
    <w:multiLevelType w:val="hybridMultilevel"/>
    <w:tmpl w:val="4910824E"/>
    <w:lvl w:ilvl="0" w:tplc="4894CB52">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3B123E1"/>
    <w:multiLevelType w:val="hybridMultilevel"/>
    <w:tmpl w:val="5814492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41B11DA"/>
    <w:multiLevelType w:val="hybridMultilevel"/>
    <w:tmpl w:val="2ABE2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AF1F77"/>
    <w:multiLevelType w:val="hybridMultilevel"/>
    <w:tmpl w:val="31C4AA14"/>
    <w:lvl w:ilvl="0" w:tplc="0C090003">
      <w:start w:val="1"/>
      <w:numFmt w:val="bullet"/>
      <w:lvlText w:val="o"/>
      <w:lvlJc w:val="left"/>
      <w:pPr>
        <w:ind w:left="1080" w:hanging="360"/>
      </w:pPr>
      <w:rPr>
        <w:rFonts w:ascii="Courier New" w:hAnsi="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5075D40"/>
    <w:multiLevelType w:val="hybridMultilevel"/>
    <w:tmpl w:val="CD609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413B62"/>
    <w:multiLevelType w:val="multilevel"/>
    <w:tmpl w:val="AC1C25EC"/>
    <w:lvl w:ilvl="0">
      <w:start w:val="1"/>
      <w:numFmt w:val="decimal"/>
      <w:pStyle w:val="NumberedParagraphs"/>
      <w:lvlText w:val="%1."/>
      <w:lvlJc w:val="left"/>
      <w:pPr>
        <w:tabs>
          <w:tab w:val="num" w:pos="363"/>
        </w:tabs>
        <w:ind w:left="363" w:hanging="363"/>
      </w:pPr>
      <w:rPr>
        <w:rFonts w:cs="Times New Roman"/>
      </w:rPr>
    </w:lvl>
    <w:lvl w:ilvl="1">
      <w:start w:val="1"/>
      <w:numFmt w:val="lowerLetter"/>
      <w:lvlText w:val="(%2)"/>
      <w:lvlJc w:val="left"/>
      <w:pPr>
        <w:tabs>
          <w:tab w:val="num" w:pos="726"/>
        </w:tabs>
        <w:ind w:left="726" w:hanging="363"/>
      </w:pPr>
      <w:rPr>
        <w:rFonts w:cs="Times New Roman"/>
      </w:rPr>
    </w:lvl>
    <w:lvl w:ilvl="2">
      <w:start w:val="1"/>
      <w:numFmt w:val="lowerRoman"/>
      <w:lvlText w:val="(%3)"/>
      <w:lvlJc w:val="left"/>
      <w:pPr>
        <w:tabs>
          <w:tab w:val="num" w:pos="1446"/>
        </w:tabs>
        <w:ind w:left="1089" w:hanging="363"/>
      </w:pPr>
      <w:rPr>
        <w:rFonts w:cs="Times New Roman"/>
      </w:rPr>
    </w:lvl>
    <w:lvl w:ilvl="3">
      <w:start w:val="1"/>
      <w:numFmt w:val="upperLetter"/>
      <w:lvlText w:val="(%4)"/>
      <w:lvlJc w:val="left"/>
      <w:pPr>
        <w:tabs>
          <w:tab w:val="num" w:pos="1452"/>
        </w:tabs>
        <w:ind w:left="1452" w:hanging="363"/>
      </w:pPr>
      <w:rPr>
        <w:rFonts w:cs="Times New Roman"/>
      </w:rPr>
    </w:lvl>
    <w:lvl w:ilvl="4">
      <w:start w:val="1"/>
      <w:numFmt w:val="decimal"/>
      <w:lvlText w:val="(%5)"/>
      <w:lvlJc w:val="left"/>
      <w:pPr>
        <w:tabs>
          <w:tab w:val="num" w:pos="1814"/>
        </w:tabs>
        <w:ind w:left="1814" w:hanging="362"/>
      </w:pPr>
      <w:rPr>
        <w:rFonts w:cs="Times New Roman"/>
      </w:rPr>
    </w:lvl>
    <w:lvl w:ilvl="5">
      <w:start w:val="1"/>
      <w:numFmt w:val="lowerRoman"/>
      <w:lvlText w:val="(%6)"/>
      <w:lvlJc w:val="left"/>
      <w:pPr>
        <w:tabs>
          <w:tab w:val="num" w:pos="2534"/>
        </w:tabs>
        <w:ind w:left="2160" w:hanging="346"/>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2">
    <w:nsid w:val="1B984783"/>
    <w:multiLevelType w:val="hybridMultilevel"/>
    <w:tmpl w:val="EC1EB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CF47169"/>
    <w:multiLevelType w:val="hybridMultilevel"/>
    <w:tmpl w:val="08F27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2E2904"/>
    <w:multiLevelType w:val="multilevel"/>
    <w:tmpl w:val="F34071E4"/>
    <w:lvl w:ilvl="0">
      <w:start w:val="3"/>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5">
    <w:nsid w:val="1FD15E81"/>
    <w:multiLevelType w:val="hybridMultilevel"/>
    <w:tmpl w:val="C5AA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957153"/>
    <w:multiLevelType w:val="hybridMultilevel"/>
    <w:tmpl w:val="62223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C02376"/>
    <w:multiLevelType w:val="hybridMultilevel"/>
    <w:tmpl w:val="246CB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43556E"/>
    <w:multiLevelType w:val="multilevel"/>
    <w:tmpl w:val="4B72A7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1"/>
      <w:numFmt w:val="decimal"/>
      <w:lvlText w:val="%1.%2.%3."/>
      <w:lvlJc w:val="left"/>
      <w:pPr>
        <w:tabs>
          <w:tab w:val="num" w:pos="1366"/>
        </w:tabs>
        <w:ind w:left="1366" w:hanging="1224"/>
      </w:pPr>
      <w:rPr>
        <w:rFonts w:cs="Times New Roman" w:hint="default"/>
      </w:rPr>
    </w:lvl>
    <w:lvl w:ilvl="3">
      <w:start w:val="1"/>
      <w:numFmt w:val="decimal"/>
      <w:lvlText w:val="%1.%2.%3.%4."/>
      <w:lvlJc w:val="left"/>
      <w:pPr>
        <w:tabs>
          <w:tab w:val="num" w:pos="1728"/>
        </w:tabs>
        <w:ind w:left="1728" w:hanging="172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F824A78"/>
    <w:multiLevelType w:val="hybridMultilevel"/>
    <w:tmpl w:val="5F48C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BF22DC"/>
    <w:multiLevelType w:val="hybridMultilevel"/>
    <w:tmpl w:val="86CE126C"/>
    <w:lvl w:ilvl="0" w:tplc="5CB8531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786EB8"/>
    <w:multiLevelType w:val="hybridMultilevel"/>
    <w:tmpl w:val="65B65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7642E64"/>
    <w:multiLevelType w:val="hybridMultilevel"/>
    <w:tmpl w:val="69204E86"/>
    <w:lvl w:ilvl="0" w:tplc="0C090003">
      <w:start w:val="1"/>
      <w:numFmt w:val="bullet"/>
      <w:lvlText w:val="o"/>
      <w:lvlJc w:val="left"/>
      <w:pPr>
        <w:ind w:left="1080" w:hanging="360"/>
      </w:pPr>
      <w:rPr>
        <w:rFonts w:ascii="Courier New" w:hAnsi="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37CB1402"/>
    <w:multiLevelType w:val="hybridMultilevel"/>
    <w:tmpl w:val="75DC1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B987470"/>
    <w:multiLevelType w:val="multilevel"/>
    <w:tmpl w:val="27A426D0"/>
    <w:lvl w:ilvl="0">
      <w:start w:val="1"/>
      <w:numFmt w:val="decimal"/>
      <w:lvlText w:val="%1"/>
      <w:lvlJc w:val="left"/>
      <w:pPr>
        <w:tabs>
          <w:tab w:val="num" w:pos="720"/>
        </w:tabs>
        <w:ind w:left="720" w:hanging="720"/>
      </w:pPr>
      <w:rPr>
        <w:rFonts w:cs="Times New Roman" w:hint="default"/>
      </w:rPr>
    </w:lvl>
    <w:lvl w:ilvl="1">
      <w:start w:val="1"/>
      <w:numFmt w:val="decimal"/>
      <w:pStyle w:val="BodyText2"/>
      <w:lvlText w:val="%1.%2"/>
      <w:lvlJc w:val="left"/>
      <w:pPr>
        <w:tabs>
          <w:tab w:val="num" w:pos="720"/>
        </w:tabs>
        <w:ind w:left="720" w:hanging="720"/>
      </w:pPr>
      <w:rPr>
        <w:rFonts w:cs="Times New Roman" w:hint="default"/>
      </w:rPr>
    </w:lvl>
    <w:lvl w:ilvl="2">
      <w:start w:val="1"/>
      <w:numFmt w:val="decimal"/>
      <w:pStyle w:val="BodyText3"/>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4CDD0CE2"/>
    <w:multiLevelType w:val="hybridMultilevel"/>
    <w:tmpl w:val="14E6025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DB13601"/>
    <w:multiLevelType w:val="hybridMultilevel"/>
    <w:tmpl w:val="53F42B9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13F342D"/>
    <w:multiLevelType w:val="singleLevel"/>
    <w:tmpl w:val="E280F658"/>
    <w:lvl w:ilvl="0">
      <w:start w:val="1"/>
      <w:numFmt w:val="lowerLetter"/>
      <w:lvlText w:val="%1)"/>
      <w:lvlJc w:val="left"/>
      <w:pPr>
        <w:tabs>
          <w:tab w:val="num" w:pos="360"/>
        </w:tabs>
        <w:ind w:left="360" w:hanging="360"/>
      </w:pPr>
      <w:rPr>
        <w:rFonts w:cs="Times New Roman" w:hint="default"/>
      </w:rPr>
    </w:lvl>
  </w:abstractNum>
  <w:abstractNum w:abstractNumId="28">
    <w:nsid w:val="58697795"/>
    <w:multiLevelType w:val="hybridMultilevel"/>
    <w:tmpl w:val="81D2B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81698C"/>
    <w:multiLevelType w:val="hybridMultilevel"/>
    <w:tmpl w:val="37E6D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6E404D"/>
    <w:multiLevelType w:val="hybridMultilevel"/>
    <w:tmpl w:val="9994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CFA39F4"/>
    <w:multiLevelType w:val="singleLevel"/>
    <w:tmpl w:val="5CB8531A"/>
    <w:lvl w:ilvl="0">
      <w:start w:val="1"/>
      <w:numFmt w:val="bullet"/>
      <w:lvlText w:val=""/>
      <w:lvlJc w:val="left"/>
      <w:pPr>
        <w:tabs>
          <w:tab w:val="num" w:pos="360"/>
        </w:tabs>
        <w:ind w:left="360" w:hanging="360"/>
      </w:pPr>
      <w:rPr>
        <w:rFonts w:ascii="Symbol" w:hAnsi="Symbol" w:hint="default"/>
        <w:sz w:val="24"/>
      </w:rPr>
    </w:lvl>
  </w:abstractNum>
  <w:abstractNum w:abstractNumId="32">
    <w:nsid w:val="5FE75D64"/>
    <w:multiLevelType w:val="hybridMultilevel"/>
    <w:tmpl w:val="6746478C"/>
    <w:lvl w:ilvl="0" w:tplc="5CB8531A">
      <w:start w:val="1"/>
      <w:numFmt w:val="bullet"/>
      <w:lvlText w:val=""/>
      <w:lvlJc w:val="left"/>
      <w:pPr>
        <w:tabs>
          <w:tab w:val="num" w:pos="360"/>
        </w:tabs>
        <w:ind w:left="36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2E6955"/>
    <w:multiLevelType w:val="hybridMultilevel"/>
    <w:tmpl w:val="839697E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3737290"/>
    <w:multiLevelType w:val="hybridMultilevel"/>
    <w:tmpl w:val="E0D87B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C2524BD"/>
    <w:multiLevelType w:val="hybridMultilevel"/>
    <w:tmpl w:val="03B0C114"/>
    <w:lvl w:ilvl="0" w:tplc="0C090003">
      <w:start w:val="1"/>
      <w:numFmt w:val="bullet"/>
      <w:lvlText w:val="o"/>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171E16"/>
    <w:multiLevelType w:val="hybridMultilevel"/>
    <w:tmpl w:val="8934F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B823F0"/>
    <w:multiLevelType w:val="hybridMultilevel"/>
    <w:tmpl w:val="33548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7"/>
  </w:num>
  <w:num w:numId="4">
    <w:abstractNumId w:val="18"/>
  </w:num>
  <w:num w:numId="5">
    <w:abstractNumId w:val="11"/>
  </w:num>
  <w:num w:numId="6">
    <w:abstractNumId w:val="34"/>
  </w:num>
  <w:num w:numId="7">
    <w:abstractNumId w:val="4"/>
  </w:num>
  <w:num w:numId="8">
    <w:abstractNumId w:val="17"/>
  </w:num>
  <w:num w:numId="9">
    <w:abstractNumId w:val="14"/>
  </w:num>
  <w:num w:numId="10">
    <w:abstractNumId w:val="21"/>
  </w:num>
  <w:num w:numId="11">
    <w:abstractNumId w:val="8"/>
  </w:num>
  <w:num w:numId="12">
    <w:abstractNumId w:val="0"/>
  </w:num>
  <w:num w:numId="13">
    <w:abstractNumId w:val="19"/>
  </w:num>
  <w:num w:numId="14">
    <w:abstractNumId w:val="6"/>
    <w:lvlOverride w:ilvl="0">
      <w:startOverride w:val="1"/>
    </w:lvlOverride>
  </w:num>
  <w:num w:numId="15">
    <w:abstractNumId w:val="32"/>
  </w:num>
  <w:num w:numId="16">
    <w:abstractNumId w:val="23"/>
  </w:num>
  <w:num w:numId="17">
    <w:abstractNumId w:val="13"/>
  </w:num>
  <w:num w:numId="18">
    <w:abstractNumId w:val="7"/>
  </w:num>
  <w:num w:numId="19">
    <w:abstractNumId w:val="22"/>
  </w:num>
  <w:num w:numId="20">
    <w:abstractNumId w:val="33"/>
  </w:num>
  <w:num w:numId="21">
    <w:abstractNumId w:val="9"/>
  </w:num>
  <w:num w:numId="22">
    <w:abstractNumId w:val="25"/>
  </w:num>
  <w:num w:numId="23">
    <w:abstractNumId w:val="35"/>
  </w:num>
  <w:num w:numId="24">
    <w:abstractNumId w:val="14"/>
    <w:lvlOverride w:ilvl="0">
      <w:startOverride w:val="4"/>
    </w:lvlOverride>
  </w:num>
  <w:num w:numId="25">
    <w:abstractNumId w:val="14"/>
    <w:lvlOverride w:ilvl="0">
      <w:startOverride w:val="3"/>
    </w:lvlOverride>
    <w:lvlOverride w:ilvl="1">
      <w:startOverride w:val="4"/>
    </w:lvlOverride>
  </w:num>
  <w:num w:numId="26">
    <w:abstractNumId w:val="29"/>
  </w:num>
  <w:num w:numId="27">
    <w:abstractNumId w:val="14"/>
    <w:lvlOverride w:ilvl="0">
      <w:startOverride w:val="4"/>
    </w:lvlOverride>
    <w:lvlOverride w:ilvl="1">
      <w:startOverride w:val="4"/>
    </w:lvlOverride>
  </w:num>
  <w:num w:numId="28">
    <w:abstractNumId w:val="5"/>
  </w:num>
  <w:num w:numId="29">
    <w:abstractNumId w:val="14"/>
    <w:lvlOverride w:ilvl="0">
      <w:startOverride w:val="4"/>
    </w:lvlOverride>
    <w:lvlOverride w:ilvl="1">
      <w:startOverride w:val="4"/>
    </w:lvlOverride>
  </w:num>
  <w:num w:numId="30">
    <w:abstractNumId w:val="15"/>
  </w:num>
  <w:num w:numId="31">
    <w:abstractNumId w:val="26"/>
  </w:num>
  <w:num w:numId="32">
    <w:abstractNumId w:val="28"/>
  </w:num>
  <w:num w:numId="33">
    <w:abstractNumId w:val="1"/>
  </w:num>
  <w:num w:numId="34">
    <w:abstractNumId w:val="12"/>
  </w:num>
  <w:num w:numId="35">
    <w:abstractNumId w:val="20"/>
  </w:num>
  <w:num w:numId="36">
    <w:abstractNumId w:val="37"/>
  </w:num>
  <w:num w:numId="37">
    <w:abstractNumId w:val="16"/>
  </w:num>
  <w:num w:numId="38">
    <w:abstractNumId w:val="10"/>
  </w:num>
  <w:num w:numId="39">
    <w:abstractNumId w:val="36"/>
  </w:num>
  <w:num w:numId="40">
    <w:abstractNumId w:val="30"/>
  </w:num>
  <w:num w:numId="41">
    <w:abstractNumId w:val="2"/>
  </w:num>
  <w:num w:numId="42">
    <w:abstractNumId w:val="3"/>
  </w:num>
  <w:num w:numId="43">
    <w:abstractNumId w:val="3"/>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14"/>
    <w:rsid w:val="00001376"/>
    <w:rsid w:val="00005ADA"/>
    <w:rsid w:val="00006960"/>
    <w:rsid w:val="00011A7A"/>
    <w:rsid w:val="00013641"/>
    <w:rsid w:val="00017CE9"/>
    <w:rsid w:val="0002072E"/>
    <w:rsid w:val="00021DA5"/>
    <w:rsid w:val="00023CD0"/>
    <w:rsid w:val="00024C7C"/>
    <w:rsid w:val="00025DBB"/>
    <w:rsid w:val="00027872"/>
    <w:rsid w:val="00027F9B"/>
    <w:rsid w:val="0003081E"/>
    <w:rsid w:val="00037A79"/>
    <w:rsid w:val="0004260F"/>
    <w:rsid w:val="00042B3B"/>
    <w:rsid w:val="00053DD9"/>
    <w:rsid w:val="00053E66"/>
    <w:rsid w:val="00056155"/>
    <w:rsid w:val="000574CB"/>
    <w:rsid w:val="0005781A"/>
    <w:rsid w:val="00062D7D"/>
    <w:rsid w:val="00071CDE"/>
    <w:rsid w:val="0007449F"/>
    <w:rsid w:val="00081242"/>
    <w:rsid w:val="00081F15"/>
    <w:rsid w:val="000828AA"/>
    <w:rsid w:val="00082A01"/>
    <w:rsid w:val="00084920"/>
    <w:rsid w:val="0008519F"/>
    <w:rsid w:val="000860B6"/>
    <w:rsid w:val="00087B09"/>
    <w:rsid w:val="00087F70"/>
    <w:rsid w:val="00091D6E"/>
    <w:rsid w:val="00092BC6"/>
    <w:rsid w:val="00096397"/>
    <w:rsid w:val="00096B82"/>
    <w:rsid w:val="000A0E87"/>
    <w:rsid w:val="000A40D9"/>
    <w:rsid w:val="000A5F1F"/>
    <w:rsid w:val="000A75BE"/>
    <w:rsid w:val="000B02DA"/>
    <w:rsid w:val="000B4C02"/>
    <w:rsid w:val="000B6641"/>
    <w:rsid w:val="000B6786"/>
    <w:rsid w:val="000B75CD"/>
    <w:rsid w:val="000C238A"/>
    <w:rsid w:val="000C280B"/>
    <w:rsid w:val="000C3146"/>
    <w:rsid w:val="000C69CC"/>
    <w:rsid w:val="000C705B"/>
    <w:rsid w:val="000D0666"/>
    <w:rsid w:val="000D1839"/>
    <w:rsid w:val="000D2BA3"/>
    <w:rsid w:val="000D2EC8"/>
    <w:rsid w:val="000D328D"/>
    <w:rsid w:val="000D34D0"/>
    <w:rsid w:val="000D66D2"/>
    <w:rsid w:val="000D752C"/>
    <w:rsid w:val="000D7C02"/>
    <w:rsid w:val="000E27A2"/>
    <w:rsid w:val="000E6446"/>
    <w:rsid w:val="000E7B70"/>
    <w:rsid w:val="000F3848"/>
    <w:rsid w:val="001009EB"/>
    <w:rsid w:val="00101556"/>
    <w:rsid w:val="00104D50"/>
    <w:rsid w:val="00106017"/>
    <w:rsid w:val="001068D8"/>
    <w:rsid w:val="0010777A"/>
    <w:rsid w:val="00111519"/>
    <w:rsid w:val="00113456"/>
    <w:rsid w:val="00115B6A"/>
    <w:rsid w:val="00115E54"/>
    <w:rsid w:val="0012023E"/>
    <w:rsid w:val="00120FBB"/>
    <w:rsid w:val="00121D6C"/>
    <w:rsid w:val="00122B80"/>
    <w:rsid w:val="00125DBA"/>
    <w:rsid w:val="001353A7"/>
    <w:rsid w:val="001364D2"/>
    <w:rsid w:val="0013727A"/>
    <w:rsid w:val="001406FB"/>
    <w:rsid w:val="00142CA0"/>
    <w:rsid w:val="00143CBA"/>
    <w:rsid w:val="00143FBF"/>
    <w:rsid w:val="0014570D"/>
    <w:rsid w:val="00145C17"/>
    <w:rsid w:val="00146CBE"/>
    <w:rsid w:val="00147040"/>
    <w:rsid w:val="00150E89"/>
    <w:rsid w:val="00153F3E"/>
    <w:rsid w:val="001552AB"/>
    <w:rsid w:val="0015758C"/>
    <w:rsid w:val="00161B60"/>
    <w:rsid w:val="00164C6C"/>
    <w:rsid w:val="00167EC5"/>
    <w:rsid w:val="00167F7A"/>
    <w:rsid w:val="001700AA"/>
    <w:rsid w:val="00170E95"/>
    <w:rsid w:val="00171D70"/>
    <w:rsid w:val="001743A3"/>
    <w:rsid w:val="001745B9"/>
    <w:rsid w:val="00177868"/>
    <w:rsid w:val="00177AEF"/>
    <w:rsid w:val="00185B3C"/>
    <w:rsid w:val="001877EC"/>
    <w:rsid w:val="00187B05"/>
    <w:rsid w:val="00187FC8"/>
    <w:rsid w:val="001A06CB"/>
    <w:rsid w:val="001A0700"/>
    <w:rsid w:val="001A0BD2"/>
    <w:rsid w:val="001A199E"/>
    <w:rsid w:val="001A48D3"/>
    <w:rsid w:val="001A55FE"/>
    <w:rsid w:val="001A7D92"/>
    <w:rsid w:val="001B1623"/>
    <w:rsid w:val="001B4BEB"/>
    <w:rsid w:val="001B5E72"/>
    <w:rsid w:val="001C2757"/>
    <w:rsid w:val="001C2B2A"/>
    <w:rsid w:val="001C4980"/>
    <w:rsid w:val="001C4AC6"/>
    <w:rsid w:val="001D00FD"/>
    <w:rsid w:val="001D0E81"/>
    <w:rsid w:val="001D14AD"/>
    <w:rsid w:val="001D44F3"/>
    <w:rsid w:val="001D644D"/>
    <w:rsid w:val="001D7488"/>
    <w:rsid w:val="001E1827"/>
    <w:rsid w:val="001E24EC"/>
    <w:rsid w:val="001E3983"/>
    <w:rsid w:val="001E3E16"/>
    <w:rsid w:val="001E5B08"/>
    <w:rsid w:val="001E654D"/>
    <w:rsid w:val="001E6D5B"/>
    <w:rsid w:val="001E6F4F"/>
    <w:rsid w:val="001E7812"/>
    <w:rsid w:val="001F12D2"/>
    <w:rsid w:val="001F215E"/>
    <w:rsid w:val="001F3795"/>
    <w:rsid w:val="001F4AE0"/>
    <w:rsid w:val="001F6CA4"/>
    <w:rsid w:val="001F6D78"/>
    <w:rsid w:val="001F6EE0"/>
    <w:rsid w:val="00213654"/>
    <w:rsid w:val="00214D2A"/>
    <w:rsid w:val="002179FC"/>
    <w:rsid w:val="002209F2"/>
    <w:rsid w:val="002220DB"/>
    <w:rsid w:val="002237BE"/>
    <w:rsid w:val="0022506F"/>
    <w:rsid w:val="00226824"/>
    <w:rsid w:val="00232EB7"/>
    <w:rsid w:val="00234AFD"/>
    <w:rsid w:val="00234DAA"/>
    <w:rsid w:val="00236943"/>
    <w:rsid w:val="00241D7E"/>
    <w:rsid w:val="00244954"/>
    <w:rsid w:val="00244DA4"/>
    <w:rsid w:val="00244E1E"/>
    <w:rsid w:val="00245288"/>
    <w:rsid w:val="00246CEB"/>
    <w:rsid w:val="002514B3"/>
    <w:rsid w:val="00251B46"/>
    <w:rsid w:val="00251CE3"/>
    <w:rsid w:val="002551B5"/>
    <w:rsid w:val="00255C03"/>
    <w:rsid w:val="0025784F"/>
    <w:rsid w:val="002616D1"/>
    <w:rsid w:val="00264B03"/>
    <w:rsid w:val="00265CAA"/>
    <w:rsid w:val="00266203"/>
    <w:rsid w:val="002673DC"/>
    <w:rsid w:val="00270C65"/>
    <w:rsid w:val="00272B33"/>
    <w:rsid w:val="00273DE2"/>
    <w:rsid w:val="002756E1"/>
    <w:rsid w:val="00280692"/>
    <w:rsid w:val="002813BE"/>
    <w:rsid w:val="0028333C"/>
    <w:rsid w:val="00285302"/>
    <w:rsid w:val="00286809"/>
    <w:rsid w:val="00290197"/>
    <w:rsid w:val="00292098"/>
    <w:rsid w:val="00292A35"/>
    <w:rsid w:val="00294406"/>
    <w:rsid w:val="00294614"/>
    <w:rsid w:val="0029549B"/>
    <w:rsid w:val="002A002C"/>
    <w:rsid w:val="002A03AD"/>
    <w:rsid w:val="002A2E0E"/>
    <w:rsid w:val="002A4B7E"/>
    <w:rsid w:val="002A71EE"/>
    <w:rsid w:val="002A790D"/>
    <w:rsid w:val="002B040E"/>
    <w:rsid w:val="002B37E0"/>
    <w:rsid w:val="002B5B30"/>
    <w:rsid w:val="002B6AE1"/>
    <w:rsid w:val="002C187F"/>
    <w:rsid w:val="002C52F8"/>
    <w:rsid w:val="002C5A11"/>
    <w:rsid w:val="002C6279"/>
    <w:rsid w:val="002C7C03"/>
    <w:rsid w:val="002C7C7D"/>
    <w:rsid w:val="002D1EB1"/>
    <w:rsid w:val="002D3A92"/>
    <w:rsid w:val="002E5D02"/>
    <w:rsid w:val="002E73F0"/>
    <w:rsid w:val="002F031D"/>
    <w:rsid w:val="002F1602"/>
    <w:rsid w:val="002F53DD"/>
    <w:rsid w:val="003007DB"/>
    <w:rsid w:val="00300CD8"/>
    <w:rsid w:val="00306B4E"/>
    <w:rsid w:val="00306CCF"/>
    <w:rsid w:val="00307C39"/>
    <w:rsid w:val="0031049F"/>
    <w:rsid w:val="00312BBC"/>
    <w:rsid w:val="00312D29"/>
    <w:rsid w:val="00313295"/>
    <w:rsid w:val="003152FA"/>
    <w:rsid w:val="0031574A"/>
    <w:rsid w:val="003200BF"/>
    <w:rsid w:val="00320142"/>
    <w:rsid w:val="003209B4"/>
    <w:rsid w:val="00323D71"/>
    <w:rsid w:val="00326852"/>
    <w:rsid w:val="0033147D"/>
    <w:rsid w:val="003364F8"/>
    <w:rsid w:val="0033694B"/>
    <w:rsid w:val="003370D7"/>
    <w:rsid w:val="00341AD2"/>
    <w:rsid w:val="00343650"/>
    <w:rsid w:val="00343FAA"/>
    <w:rsid w:val="003441DD"/>
    <w:rsid w:val="00344E65"/>
    <w:rsid w:val="003466D6"/>
    <w:rsid w:val="00350407"/>
    <w:rsid w:val="00350B1D"/>
    <w:rsid w:val="00352421"/>
    <w:rsid w:val="003560DF"/>
    <w:rsid w:val="00357DB4"/>
    <w:rsid w:val="0036020F"/>
    <w:rsid w:val="00361D22"/>
    <w:rsid w:val="003626F9"/>
    <w:rsid w:val="003628A5"/>
    <w:rsid w:val="00366C7E"/>
    <w:rsid w:val="00366EBE"/>
    <w:rsid w:val="00370DBC"/>
    <w:rsid w:val="003710C8"/>
    <w:rsid w:val="00371346"/>
    <w:rsid w:val="00373047"/>
    <w:rsid w:val="0037583E"/>
    <w:rsid w:val="00376876"/>
    <w:rsid w:val="00376A1D"/>
    <w:rsid w:val="00376B94"/>
    <w:rsid w:val="0038029F"/>
    <w:rsid w:val="00381EA5"/>
    <w:rsid w:val="00384E8E"/>
    <w:rsid w:val="00385401"/>
    <w:rsid w:val="00386303"/>
    <w:rsid w:val="003871B0"/>
    <w:rsid w:val="00387CAB"/>
    <w:rsid w:val="0039030E"/>
    <w:rsid w:val="00390D86"/>
    <w:rsid w:val="00393D4D"/>
    <w:rsid w:val="00395005"/>
    <w:rsid w:val="00396199"/>
    <w:rsid w:val="003A2312"/>
    <w:rsid w:val="003A6B8E"/>
    <w:rsid w:val="003A6B9C"/>
    <w:rsid w:val="003A75D1"/>
    <w:rsid w:val="003A7F93"/>
    <w:rsid w:val="003B103E"/>
    <w:rsid w:val="003B6365"/>
    <w:rsid w:val="003B660B"/>
    <w:rsid w:val="003B67F9"/>
    <w:rsid w:val="003B754D"/>
    <w:rsid w:val="003C018F"/>
    <w:rsid w:val="003C09A2"/>
    <w:rsid w:val="003C197D"/>
    <w:rsid w:val="003C2435"/>
    <w:rsid w:val="003C2D5B"/>
    <w:rsid w:val="003C3329"/>
    <w:rsid w:val="003C442E"/>
    <w:rsid w:val="003C6124"/>
    <w:rsid w:val="003D0FB1"/>
    <w:rsid w:val="003D24A6"/>
    <w:rsid w:val="003D38EC"/>
    <w:rsid w:val="003D7601"/>
    <w:rsid w:val="003D7B5E"/>
    <w:rsid w:val="003E390A"/>
    <w:rsid w:val="003F0A2E"/>
    <w:rsid w:val="004017B7"/>
    <w:rsid w:val="004024E5"/>
    <w:rsid w:val="004026D8"/>
    <w:rsid w:val="00404445"/>
    <w:rsid w:val="004137C3"/>
    <w:rsid w:val="004158B5"/>
    <w:rsid w:val="00417926"/>
    <w:rsid w:val="00424255"/>
    <w:rsid w:val="00427437"/>
    <w:rsid w:val="00435106"/>
    <w:rsid w:val="0043545D"/>
    <w:rsid w:val="00437517"/>
    <w:rsid w:val="0043752F"/>
    <w:rsid w:val="00440F83"/>
    <w:rsid w:val="00442137"/>
    <w:rsid w:val="00442D82"/>
    <w:rsid w:val="00443C4B"/>
    <w:rsid w:val="00446421"/>
    <w:rsid w:val="0044673A"/>
    <w:rsid w:val="00447172"/>
    <w:rsid w:val="004505E2"/>
    <w:rsid w:val="00452E62"/>
    <w:rsid w:val="004566B9"/>
    <w:rsid w:val="00456E77"/>
    <w:rsid w:val="004605B9"/>
    <w:rsid w:val="00460BA4"/>
    <w:rsid w:val="004628F0"/>
    <w:rsid w:val="00462CB4"/>
    <w:rsid w:val="004652B7"/>
    <w:rsid w:val="0046542F"/>
    <w:rsid w:val="0046661F"/>
    <w:rsid w:val="0046683F"/>
    <w:rsid w:val="004716F6"/>
    <w:rsid w:val="00473307"/>
    <w:rsid w:val="0047629C"/>
    <w:rsid w:val="00477EB3"/>
    <w:rsid w:val="00483A89"/>
    <w:rsid w:val="00490107"/>
    <w:rsid w:val="00493075"/>
    <w:rsid w:val="004954C6"/>
    <w:rsid w:val="00496E6C"/>
    <w:rsid w:val="00497D43"/>
    <w:rsid w:val="004A0D85"/>
    <w:rsid w:val="004A1451"/>
    <w:rsid w:val="004A16C1"/>
    <w:rsid w:val="004A19AF"/>
    <w:rsid w:val="004A2800"/>
    <w:rsid w:val="004B3139"/>
    <w:rsid w:val="004B4424"/>
    <w:rsid w:val="004B4A58"/>
    <w:rsid w:val="004B6BAA"/>
    <w:rsid w:val="004B7EAD"/>
    <w:rsid w:val="004B7F1D"/>
    <w:rsid w:val="004C0AC9"/>
    <w:rsid w:val="004C0E23"/>
    <w:rsid w:val="004C28A3"/>
    <w:rsid w:val="004C2FC2"/>
    <w:rsid w:val="004C3E1A"/>
    <w:rsid w:val="004C49B0"/>
    <w:rsid w:val="004C5C73"/>
    <w:rsid w:val="004D06DC"/>
    <w:rsid w:val="004D0DE9"/>
    <w:rsid w:val="004D6C8B"/>
    <w:rsid w:val="004D6E90"/>
    <w:rsid w:val="004E234E"/>
    <w:rsid w:val="004E3E68"/>
    <w:rsid w:val="004E66E5"/>
    <w:rsid w:val="004E7889"/>
    <w:rsid w:val="004F134D"/>
    <w:rsid w:val="004F27EF"/>
    <w:rsid w:val="004F6940"/>
    <w:rsid w:val="00504E3D"/>
    <w:rsid w:val="00512795"/>
    <w:rsid w:val="00513140"/>
    <w:rsid w:val="00514143"/>
    <w:rsid w:val="005147C5"/>
    <w:rsid w:val="00517007"/>
    <w:rsid w:val="0051746D"/>
    <w:rsid w:val="00521EA3"/>
    <w:rsid w:val="00522F08"/>
    <w:rsid w:val="00525C22"/>
    <w:rsid w:val="005272E6"/>
    <w:rsid w:val="005275DF"/>
    <w:rsid w:val="00530AFF"/>
    <w:rsid w:val="00531DD1"/>
    <w:rsid w:val="00540198"/>
    <w:rsid w:val="005413FF"/>
    <w:rsid w:val="00542246"/>
    <w:rsid w:val="0054288E"/>
    <w:rsid w:val="00544FC0"/>
    <w:rsid w:val="005476FB"/>
    <w:rsid w:val="00552E7C"/>
    <w:rsid w:val="005540E1"/>
    <w:rsid w:val="00555FDA"/>
    <w:rsid w:val="00563BAB"/>
    <w:rsid w:val="00564DC1"/>
    <w:rsid w:val="00571B49"/>
    <w:rsid w:val="00573D65"/>
    <w:rsid w:val="00574026"/>
    <w:rsid w:val="0057458A"/>
    <w:rsid w:val="0057605A"/>
    <w:rsid w:val="005760F2"/>
    <w:rsid w:val="0057734C"/>
    <w:rsid w:val="00580892"/>
    <w:rsid w:val="00582B19"/>
    <w:rsid w:val="00582F3B"/>
    <w:rsid w:val="00583D54"/>
    <w:rsid w:val="00587680"/>
    <w:rsid w:val="00591752"/>
    <w:rsid w:val="00592E41"/>
    <w:rsid w:val="005969E9"/>
    <w:rsid w:val="005A2DB1"/>
    <w:rsid w:val="005A4A42"/>
    <w:rsid w:val="005A4A92"/>
    <w:rsid w:val="005A52A7"/>
    <w:rsid w:val="005B0DD7"/>
    <w:rsid w:val="005B6370"/>
    <w:rsid w:val="005C0BCB"/>
    <w:rsid w:val="005C21FE"/>
    <w:rsid w:val="005C4930"/>
    <w:rsid w:val="005C5AD1"/>
    <w:rsid w:val="005C757E"/>
    <w:rsid w:val="005C76B2"/>
    <w:rsid w:val="005D3F16"/>
    <w:rsid w:val="005D433F"/>
    <w:rsid w:val="005D49D1"/>
    <w:rsid w:val="005D5049"/>
    <w:rsid w:val="005D5C92"/>
    <w:rsid w:val="005D5ED7"/>
    <w:rsid w:val="005D6502"/>
    <w:rsid w:val="005D67F4"/>
    <w:rsid w:val="005E00B3"/>
    <w:rsid w:val="005E35B7"/>
    <w:rsid w:val="005E479D"/>
    <w:rsid w:val="005E4F65"/>
    <w:rsid w:val="005E72B9"/>
    <w:rsid w:val="005E76D9"/>
    <w:rsid w:val="005F4F7A"/>
    <w:rsid w:val="005F7DAB"/>
    <w:rsid w:val="00600B56"/>
    <w:rsid w:val="006056BA"/>
    <w:rsid w:val="0060708C"/>
    <w:rsid w:val="00610F9B"/>
    <w:rsid w:val="006120B6"/>
    <w:rsid w:val="00612666"/>
    <w:rsid w:val="00612C45"/>
    <w:rsid w:val="006132C7"/>
    <w:rsid w:val="00613CEA"/>
    <w:rsid w:val="0061435C"/>
    <w:rsid w:val="00616027"/>
    <w:rsid w:val="0061631E"/>
    <w:rsid w:val="0062125C"/>
    <w:rsid w:val="00621905"/>
    <w:rsid w:val="00621AB6"/>
    <w:rsid w:val="00623C0C"/>
    <w:rsid w:val="006347F5"/>
    <w:rsid w:val="00636785"/>
    <w:rsid w:val="0063695D"/>
    <w:rsid w:val="006410A1"/>
    <w:rsid w:val="00641836"/>
    <w:rsid w:val="00641A52"/>
    <w:rsid w:val="006421E9"/>
    <w:rsid w:val="00642508"/>
    <w:rsid w:val="00644284"/>
    <w:rsid w:val="00644A6C"/>
    <w:rsid w:val="00644A7D"/>
    <w:rsid w:val="006551CC"/>
    <w:rsid w:val="00662E2F"/>
    <w:rsid w:val="00663CEA"/>
    <w:rsid w:val="00666280"/>
    <w:rsid w:val="00667E1F"/>
    <w:rsid w:val="00673617"/>
    <w:rsid w:val="00673D2D"/>
    <w:rsid w:val="00675363"/>
    <w:rsid w:val="0067682F"/>
    <w:rsid w:val="0067686D"/>
    <w:rsid w:val="00681772"/>
    <w:rsid w:val="006835FC"/>
    <w:rsid w:val="00684AFC"/>
    <w:rsid w:val="006865FA"/>
    <w:rsid w:val="006926D6"/>
    <w:rsid w:val="006927E1"/>
    <w:rsid w:val="00694F6F"/>
    <w:rsid w:val="0069535D"/>
    <w:rsid w:val="006968FB"/>
    <w:rsid w:val="00697940"/>
    <w:rsid w:val="00697D8D"/>
    <w:rsid w:val="006A15DA"/>
    <w:rsid w:val="006A1EFC"/>
    <w:rsid w:val="006A31B9"/>
    <w:rsid w:val="006A5487"/>
    <w:rsid w:val="006A5687"/>
    <w:rsid w:val="006B1827"/>
    <w:rsid w:val="006B3936"/>
    <w:rsid w:val="006B6CE6"/>
    <w:rsid w:val="006C0A0C"/>
    <w:rsid w:val="006D056E"/>
    <w:rsid w:val="006D23CE"/>
    <w:rsid w:val="006D5054"/>
    <w:rsid w:val="006E1F57"/>
    <w:rsid w:val="006E2429"/>
    <w:rsid w:val="006E31B3"/>
    <w:rsid w:val="006E350B"/>
    <w:rsid w:val="006E53ED"/>
    <w:rsid w:val="006E5C94"/>
    <w:rsid w:val="006E6012"/>
    <w:rsid w:val="006E6036"/>
    <w:rsid w:val="006E6629"/>
    <w:rsid w:val="006E6B43"/>
    <w:rsid w:val="006E6D78"/>
    <w:rsid w:val="006F1B2D"/>
    <w:rsid w:val="006F2CFD"/>
    <w:rsid w:val="006F3233"/>
    <w:rsid w:val="006F4E2D"/>
    <w:rsid w:val="006F7116"/>
    <w:rsid w:val="00701C5F"/>
    <w:rsid w:val="00703A44"/>
    <w:rsid w:val="007067BC"/>
    <w:rsid w:val="00706B9E"/>
    <w:rsid w:val="00706EDE"/>
    <w:rsid w:val="00710D6E"/>
    <w:rsid w:val="00715FF1"/>
    <w:rsid w:val="00716F52"/>
    <w:rsid w:val="0072015C"/>
    <w:rsid w:val="0072458D"/>
    <w:rsid w:val="007274E3"/>
    <w:rsid w:val="00731656"/>
    <w:rsid w:val="00746958"/>
    <w:rsid w:val="00747B60"/>
    <w:rsid w:val="0075020C"/>
    <w:rsid w:val="007515D5"/>
    <w:rsid w:val="0075308B"/>
    <w:rsid w:val="00753562"/>
    <w:rsid w:val="00757C79"/>
    <w:rsid w:val="00760573"/>
    <w:rsid w:val="00770541"/>
    <w:rsid w:val="00771484"/>
    <w:rsid w:val="00772B93"/>
    <w:rsid w:val="00775A12"/>
    <w:rsid w:val="007811F9"/>
    <w:rsid w:val="0078281F"/>
    <w:rsid w:val="00787A94"/>
    <w:rsid w:val="00791D79"/>
    <w:rsid w:val="00794FAA"/>
    <w:rsid w:val="00797C89"/>
    <w:rsid w:val="007A2B3C"/>
    <w:rsid w:val="007A42DC"/>
    <w:rsid w:val="007B1EDC"/>
    <w:rsid w:val="007B24CA"/>
    <w:rsid w:val="007B46E3"/>
    <w:rsid w:val="007B7ED7"/>
    <w:rsid w:val="007C00F1"/>
    <w:rsid w:val="007C344F"/>
    <w:rsid w:val="007D0CDA"/>
    <w:rsid w:val="007D2ECF"/>
    <w:rsid w:val="007D4568"/>
    <w:rsid w:val="007D57D2"/>
    <w:rsid w:val="007D5B9B"/>
    <w:rsid w:val="007E00C9"/>
    <w:rsid w:val="007E02E1"/>
    <w:rsid w:val="007E52DD"/>
    <w:rsid w:val="007E65CD"/>
    <w:rsid w:val="007E784B"/>
    <w:rsid w:val="007E7CCB"/>
    <w:rsid w:val="007F09AF"/>
    <w:rsid w:val="007F1757"/>
    <w:rsid w:val="007F1C5C"/>
    <w:rsid w:val="007F2C81"/>
    <w:rsid w:val="008024C9"/>
    <w:rsid w:val="008024D4"/>
    <w:rsid w:val="008034F6"/>
    <w:rsid w:val="00804B5B"/>
    <w:rsid w:val="0080653E"/>
    <w:rsid w:val="00817061"/>
    <w:rsid w:val="00817CEA"/>
    <w:rsid w:val="00820203"/>
    <w:rsid w:val="008218CE"/>
    <w:rsid w:val="00834195"/>
    <w:rsid w:val="0083497F"/>
    <w:rsid w:val="00834F44"/>
    <w:rsid w:val="00835DCA"/>
    <w:rsid w:val="008362D0"/>
    <w:rsid w:val="00836FFF"/>
    <w:rsid w:val="008434FC"/>
    <w:rsid w:val="008441DC"/>
    <w:rsid w:val="00851476"/>
    <w:rsid w:val="00852CA6"/>
    <w:rsid w:val="008549DC"/>
    <w:rsid w:val="00855007"/>
    <w:rsid w:val="0085738D"/>
    <w:rsid w:val="00860585"/>
    <w:rsid w:val="008612EA"/>
    <w:rsid w:val="008648F4"/>
    <w:rsid w:val="008659D6"/>
    <w:rsid w:val="00866471"/>
    <w:rsid w:val="00867D79"/>
    <w:rsid w:val="008720DC"/>
    <w:rsid w:val="00873C5B"/>
    <w:rsid w:val="00874CC5"/>
    <w:rsid w:val="00882933"/>
    <w:rsid w:val="008853A4"/>
    <w:rsid w:val="00887911"/>
    <w:rsid w:val="00887CCB"/>
    <w:rsid w:val="0089586A"/>
    <w:rsid w:val="008968B4"/>
    <w:rsid w:val="00896A37"/>
    <w:rsid w:val="008A4235"/>
    <w:rsid w:val="008A4304"/>
    <w:rsid w:val="008B1786"/>
    <w:rsid w:val="008B33FD"/>
    <w:rsid w:val="008B39CB"/>
    <w:rsid w:val="008B6D1E"/>
    <w:rsid w:val="008B7560"/>
    <w:rsid w:val="008C0984"/>
    <w:rsid w:val="008C148E"/>
    <w:rsid w:val="008C2BB8"/>
    <w:rsid w:val="008C4DB7"/>
    <w:rsid w:val="008C5DB8"/>
    <w:rsid w:val="008C7C40"/>
    <w:rsid w:val="008D0748"/>
    <w:rsid w:val="008D0F2F"/>
    <w:rsid w:val="008D508D"/>
    <w:rsid w:val="008E08EB"/>
    <w:rsid w:val="008E0C3A"/>
    <w:rsid w:val="008E1DDE"/>
    <w:rsid w:val="008E5F6A"/>
    <w:rsid w:val="008F1911"/>
    <w:rsid w:val="008F5356"/>
    <w:rsid w:val="0090324D"/>
    <w:rsid w:val="00907FB2"/>
    <w:rsid w:val="00910171"/>
    <w:rsid w:val="0091131B"/>
    <w:rsid w:val="00920F5B"/>
    <w:rsid w:val="00921D65"/>
    <w:rsid w:val="00921F31"/>
    <w:rsid w:val="009254EC"/>
    <w:rsid w:val="00925BAF"/>
    <w:rsid w:val="00931504"/>
    <w:rsid w:val="00933988"/>
    <w:rsid w:val="00935984"/>
    <w:rsid w:val="00937B08"/>
    <w:rsid w:val="009410D2"/>
    <w:rsid w:val="00942E4E"/>
    <w:rsid w:val="0094361A"/>
    <w:rsid w:val="00944ED9"/>
    <w:rsid w:val="00945CBA"/>
    <w:rsid w:val="0094790C"/>
    <w:rsid w:val="00950C58"/>
    <w:rsid w:val="009532D9"/>
    <w:rsid w:val="009539C9"/>
    <w:rsid w:val="0095502B"/>
    <w:rsid w:val="00955A6C"/>
    <w:rsid w:val="009563D2"/>
    <w:rsid w:val="00957103"/>
    <w:rsid w:val="00957652"/>
    <w:rsid w:val="009576B4"/>
    <w:rsid w:val="00961209"/>
    <w:rsid w:val="00961908"/>
    <w:rsid w:val="00964521"/>
    <w:rsid w:val="009650DD"/>
    <w:rsid w:val="0096690A"/>
    <w:rsid w:val="00970222"/>
    <w:rsid w:val="009717CC"/>
    <w:rsid w:val="00972535"/>
    <w:rsid w:val="00973176"/>
    <w:rsid w:val="009732A7"/>
    <w:rsid w:val="00974949"/>
    <w:rsid w:val="009760D6"/>
    <w:rsid w:val="00977006"/>
    <w:rsid w:val="0098207F"/>
    <w:rsid w:val="00984247"/>
    <w:rsid w:val="00984FC5"/>
    <w:rsid w:val="009931F6"/>
    <w:rsid w:val="00994752"/>
    <w:rsid w:val="009947EF"/>
    <w:rsid w:val="009975FC"/>
    <w:rsid w:val="009A185E"/>
    <w:rsid w:val="009A1A01"/>
    <w:rsid w:val="009A42C7"/>
    <w:rsid w:val="009A4687"/>
    <w:rsid w:val="009B2FA3"/>
    <w:rsid w:val="009B642C"/>
    <w:rsid w:val="009C0A05"/>
    <w:rsid w:val="009C1673"/>
    <w:rsid w:val="009C18D7"/>
    <w:rsid w:val="009C35FE"/>
    <w:rsid w:val="009C5082"/>
    <w:rsid w:val="009C50EC"/>
    <w:rsid w:val="009C730D"/>
    <w:rsid w:val="009D2E1F"/>
    <w:rsid w:val="009D6C5D"/>
    <w:rsid w:val="009E2FE9"/>
    <w:rsid w:val="009E52F7"/>
    <w:rsid w:val="009E596E"/>
    <w:rsid w:val="009E66EC"/>
    <w:rsid w:val="009F2ED2"/>
    <w:rsid w:val="009F37B5"/>
    <w:rsid w:val="009F55BC"/>
    <w:rsid w:val="00A01020"/>
    <w:rsid w:val="00A0173B"/>
    <w:rsid w:val="00A01ECA"/>
    <w:rsid w:val="00A046A9"/>
    <w:rsid w:val="00A06566"/>
    <w:rsid w:val="00A06C9A"/>
    <w:rsid w:val="00A1425C"/>
    <w:rsid w:val="00A1667B"/>
    <w:rsid w:val="00A171AA"/>
    <w:rsid w:val="00A20D70"/>
    <w:rsid w:val="00A23FCD"/>
    <w:rsid w:val="00A26AB7"/>
    <w:rsid w:val="00A335DE"/>
    <w:rsid w:val="00A35059"/>
    <w:rsid w:val="00A359D1"/>
    <w:rsid w:val="00A41EA2"/>
    <w:rsid w:val="00A46D67"/>
    <w:rsid w:val="00A544B6"/>
    <w:rsid w:val="00A603B8"/>
    <w:rsid w:val="00A65195"/>
    <w:rsid w:val="00A67FA1"/>
    <w:rsid w:val="00A7361E"/>
    <w:rsid w:val="00A76039"/>
    <w:rsid w:val="00A76CFD"/>
    <w:rsid w:val="00A842CD"/>
    <w:rsid w:val="00A8433F"/>
    <w:rsid w:val="00A8587E"/>
    <w:rsid w:val="00A87FDC"/>
    <w:rsid w:val="00A90B51"/>
    <w:rsid w:val="00A92CD6"/>
    <w:rsid w:val="00A941D6"/>
    <w:rsid w:val="00A961AE"/>
    <w:rsid w:val="00AA0751"/>
    <w:rsid w:val="00AA287A"/>
    <w:rsid w:val="00AA3095"/>
    <w:rsid w:val="00AA344F"/>
    <w:rsid w:val="00AA70E8"/>
    <w:rsid w:val="00AA7414"/>
    <w:rsid w:val="00AB220C"/>
    <w:rsid w:val="00AB2D1C"/>
    <w:rsid w:val="00AB7587"/>
    <w:rsid w:val="00AC1D6B"/>
    <w:rsid w:val="00AC219E"/>
    <w:rsid w:val="00AC48C1"/>
    <w:rsid w:val="00AC5A3C"/>
    <w:rsid w:val="00AD2AEB"/>
    <w:rsid w:val="00AD30E2"/>
    <w:rsid w:val="00AD4C08"/>
    <w:rsid w:val="00AD6FCF"/>
    <w:rsid w:val="00AD73B9"/>
    <w:rsid w:val="00AE4656"/>
    <w:rsid w:val="00AE68B5"/>
    <w:rsid w:val="00AE7465"/>
    <w:rsid w:val="00AF01A3"/>
    <w:rsid w:val="00AF5781"/>
    <w:rsid w:val="00AF6BD8"/>
    <w:rsid w:val="00B034C7"/>
    <w:rsid w:val="00B035B4"/>
    <w:rsid w:val="00B07A00"/>
    <w:rsid w:val="00B07C0B"/>
    <w:rsid w:val="00B10A07"/>
    <w:rsid w:val="00B12916"/>
    <w:rsid w:val="00B13B99"/>
    <w:rsid w:val="00B163A2"/>
    <w:rsid w:val="00B1730B"/>
    <w:rsid w:val="00B20F5C"/>
    <w:rsid w:val="00B21916"/>
    <w:rsid w:val="00B22425"/>
    <w:rsid w:val="00B256F9"/>
    <w:rsid w:val="00B304E1"/>
    <w:rsid w:val="00B31039"/>
    <w:rsid w:val="00B311FA"/>
    <w:rsid w:val="00B32406"/>
    <w:rsid w:val="00B34A8A"/>
    <w:rsid w:val="00B3668F"/>
    <w:rsid w:val="00B418F7"/>
    <w:rsid w:val="00B43128"/>
    <w:rsid w:val="00B44348"/>
    <w:rsid w:val="00B449C9"/>
    <w:rsid w:val="00B50481"/>
    <w:rsid w:val="00B52672"/>
    <w:rsid w:val="00B52F7D"/>
    <w:rsid w:val="00B54203"/>
    <w:rsid w:val="00B54C9F"/>
    <w:rsid w:val="00B55DA5"/>
    <w:rsid w:val="00B563A0"/>
    <w:rsid w:val="00B57EC9"/>
    <w:rsid w:val="00B60EFF"/>
    <w:rsid w:val="00B61073"/>
    <w:rsid w:val="00B63560"/>
    <w:rsid w:val="00B6383A"/>
    <w:rsid w:val="00B64CCF"/>
    <w:rsid w:val="00B6509B"/>
    <w:rsid w:val="00B656A4"/>
    <w:rsid w:val="00B65B32"/>
    <w:rsid w:val="00B6723D"/>
    <w:rsid w:val="00B71530"/>
    <w:rsid w:val="00B72014"/>
    <w:rsid w:val="00B73303"/>
    <w:rsid w:val="00B74CF6"/>
    <w:rsid w:val="00B75DB7"/>
    <w:rsid w:val="00B77635"/>
    <w:rsid w:val="00B816DA"/>
    <w:rsid w:val="00B832E0"/>
    <w:rsid w:val="00B855A6"/>
    <w:rsid w:val="00B86ACD"/>
    <w:rsid w:val="00B93FC4"/>
    <w:rsid w:val="00B94F7A"/>
    <w:rsid w:val="00B95346"/>
    <w:rsid w:val="00B95FA6"/>
    <w:rsid w:val="00BA1B94"/>
    <w:rsid w:val="00BA2213"/>
    <w:rsid w:val="00BA2D3F"/>
    <w:rsid w:val="00BA732A"/>
    <w:rsid w:val="00BB454C"/>
    <w:rsid w:val="00BB4CD4"/>
    <w:rsid w:val="00BB55FA"/>
    <w:rsid w:val="00BB5EEA"/>
    <w:rsid w:val="00BB7398"/>
    <w:rsid w:val="00BB7B41"/>
    <w:rsid w:val="00BC02B8"/>
    <w:rsid w:val="00BC20A6"/>
    <w:rsid w:val="00BC3EEC"/>
    <w:rsid w:val="00BC4B3A"/>
    <w:rsid w:val="00BD04F0"/>
    <w:rsid w:val="00BD0E95"/>
    <w:rsid w:val="00BD2A60"/>
    <w:rsid w:val="00BD2DA1"/>
    <w:rsid w:val="00BD7A6C"/>
    <w:rsid w:val="00BE23E2"/>
    <w:rsid w:val="00BF02CD"/>
    <w:rsid w:val="00BF333C"/>
    <w:rsid w:val="00BF58C6"/>
    <w:rsid w:val="00C0643B"/>
    <w:rsid w:val="00C06FE7"/>
    <w:rsid w:val="00C11C4B"/>
    <w:rsid w:val="00C16D99"/>
    <w:rsid w:val="00C177DD"/>
    <w:rsid w:val="00C20262"/>
    <w:rsid w:val="00C2198B"/>
    <w:rsid w:val="00C21C6C"/>
    <w:rsid w:val="00C22032"/>
    <w:rsid w:val="00C22A10"/>
    <w:rsid w:val="00C22AD2"/>
    <w:rsid w:val="00C25524"/>
    <w:rsid w:val="00C26A08"/>
    <w:rsid w:val="00C3058B"/>
    <w:rsid w:val="00C313F9"/>
    <w:rsid w:val="00C32A37"/>
    <w:rsid w:val="00C33CBE"/>
    <w:rsid w:val="00C3445C"/>
    <w:rsid w:val="00C34E8D"/>
    <w:rsid w:val="00C426DA"/>
    <w:rsid w:val="00C427E2"/>
    <w:rsid w:val="00C43AD8"/>
    <w:rsid w:val="00C43CF5"/>
    <w:rsid w:val="00C44496"/>
    <w:rsid w:val="00C4594A"/>
    <w:rsid w:val="00C4701A"/>
    <w:rsid w:val="00C52168"/>
    <w:rsid w:val="00C52233"/>
    <w:rsid w:val="00C5238C"/>
    <w:rsid w:val="00C52BFA"/>
    <w:rsid w:val="00C54A75"/>
    <w:rsid w:val="00C60502"/>
    <w:rsid w:val="00C62627"/>
    <w:rsid w:val="00C62B7A"/>
    <w:rsid w:val="00C6333B"/>
    <w:rsid w:val="00C65107"/>
    <w:rsid w:val="00C73ED5"/>
    <w:rsid w:val="00C80D35"/>
    <w:rsid w:val="00C840AE"/>
    <w:rsid w:val="00C84911"/>
    <w:rsid w:val="00C90620"/>
    <w:rsid w:val="00C90647"/>
    <w:rsid w:val="00C90AB5"/>
    <w:rsid w:val="00C91BE5"/>
    <w:rsid w:val="00C937EA"/>
    <w:rsid w:val="00C93D64"/>
    <w:rsid w:val="00C94F39"/>
    <w:rsid w:val="00CA118D"/>
    <w:rsid w:val="00CA1B08"/>
    <w:rsid w:val="00CA1D06"/>
    <w:rsid w:val="00CA1DB5"/>
    <w:rsid w:val="00CA36BD"/>
    <w:rsid w:val="00CA4467"/>
    <w:rsid w:val="00CA5622"/>
    <w:rsid w:val="00CA59C0"/>
    <w:rsid w:val="00CA69C9"/>
    <w:rsid w:val="00CB0AA3"/>
    <w:rsid w:val="00CB1B95"/>
    <w:rsid w:val="00CB319F"/>
    <w:rsid w:val="00CB5B82"/>
    <w:rsid w:val="00CC0999"/>
    <w:rsid w:val="00CC0CEE"/>
    <w:rsid w:val="00CC197B"/>
    <w:rsid w:val="00CC2B95"/>
    <w:rsid w:val="00CC72F0"/>
    <w:rsid w:val="00CC7D74"/>
    <w:rsid w:val="00CD0217"/>
    <w:rsid w:val="00CD0874"/>
    <w:rsid w:val="00CD153F"/>
    <w:rsid w:val="00CD39BA"/>
    <w:rsid w:val="00CD4B8D"/>
    <w:rsid w:val="00CD56E1"/>
    <w:rsid w:val="00CD65B8"/>
    <w:rsid w:val="00CD7F5E"/>
    <w:rsid w:val="00CD7FB6"/>
    <w:rsid w:val="00CE0A88"/>
    <w:rsid w:val="00CE1B4C"/>
    <w:rsid w:val="00CE2AE2"/>
    <w:rsid w:val="00CE2EE7"/>
    <w:rsid w:val="00CE332D"/>
    <w:rsid w:val="00CE4E85"/>
    <w:rsid w:val="00CF1B60"/>
    <w:rsid w:val="00CF3448"/>
    <w:rsid w:val="00CF4F72"/>
    <w:rsid w:val="00CF7412"/>
    <w:rsid w:val="00D0092A"/>
    <w:rsid w:val="00D00A9B"/>
    <w:rsid w:val="00D018E6"/>
    <w:rsid w:val="00D022D2"/>
    <w:rsid w:val="00D03B46"/>
    <w:rsid w:val="00D03E71"/>
    <w:rsid w:val="00D0409A"/>
    <w:rsid w:val="00D040F3"/>
    <w:rsid w:val="00D049CD"/>
    <w:rsid w:val="00D05224"/>
    <w:rsid w:val="00D116FF"/>
    <w:rsid w:val="00D1278D"/>
    <w:rsid w:val="00D13BED"/>
    <w:rsid w:val="00D15708"/>
    <w:rsid w:val="00D17589"/>
    <w:rsid w:val="00D24325"/>
    <w:rsid w:val="00D26486"/>
    <w:rsid w:val="00D35D46"/>
    <w:rsid w:val="00D4077D"/>
    <w:rsid w:val="00D41425"/>
    <w:rsid w:val="00D42989"/>
    <w:rsid w:val="00D42D4B"/>
    <w:rsid w:val="00D4490D"/>
    <w:rsid w:val="00D45865"/>
    <w:rsid w:val="00D4597D"/>
    <w:rsid w:val="00D45A95"/>
    <w:rsid w:val="00D464D4"/>
    <w:rsid w:val="00D46DA8"/>
    <w:rsid w:val="00D50A49"/>
    <w:rsid w:val="00D53795"/>
    <w:rsid w:val="00D56AAC"/>
    <w:rsid w:val="00D56B08"/>
    <w:rsid w:val="00D579BF"/>
    <w:rsid w:val="00D57A84"/>
    <w:rsid w:val="00D57BD4"/>
    <w:rsid w:val="00D600F7"/>
    <w:rsid w:val="00D63AEC"/>
    <w:rsid w:val="00D6515E"/>
    <w:rsid w:val="00D663AE"/>
    <w:rsid w:val="00D74A12"/>
    <w:rsid w:val="00D7697E"/>
    <w:rsid w:val="00D810FC"/>
    <w:rsid w:val="00D81252"/>
    <w:rsid w:val="00D82830"/>
    <w:rsid w:val="00D841D3"/>
    <w:rsid w:val="00D925E8"/>
    <w:rsid w:val="00DA29DE"/>
    <w:rsid w:val="00DA2A9F"/>
    <w:rsid w:val="00DB0228"/>
    <w:rsid w:val="00DB2012"/>
    <w:rsid w:val="00DB2B26"/>
    <w:rsid w:val="00DB57AB"/>
    <w:rsid w:val="00DB5E1A"/>
    <w:rsid w:val="00DC0439"/>
    <w:rsid w:val="00DC0B37"/>
    <w:rsid w:val="00DC16A4"/>
    <w:rsid w:val="00DC19C9"/>
    <w:rsid w:val="00DC650C"/>
    <w:rsid w:val="00DC6662"/>
    <w:rsid w:val="00DD0F00"/>
    <w:rsid w:val="00DD2271"/>
    <w:rsid w:val="00DD5B5B"/>
    <w:rsid w:val="00DD6A4A"/>
    <w:rsid w:val="00DD6BED"/>
    <w:rsid w:val="00DD73BA"/>
    <w:rsid w:val="00DD7D28"/>
    <w:rsid w:val="00DE0841"/>
    <w:rsid w:val="00DE2ADE"/>
    <w:rsid w:val="00DE6A01"/>
    <w:rsid w:val="00DF0651"/>
    <w:rsid w:val="00DF2049"/>
    <w:rsid w:val="00DF4665"/>
    <w:rsid w:val="00DF5498"/>
    <w:rsid w:val="00DF5636"/>
    <w:rsid w:val="00DF5DBC"/>
    <w:rsid w:val="00DF7E56"/>
    <w:rsid w:val="00E0340C"/>
    <w:rsid w:val="00E03C4C"/>
    <w:rsid w:val="00E05EF4"/>
    <w:rsid w:val="00E07B3D"/>
    <w:rsid w:val="00E07E9E"/>
    <w:rsid w:val="00E1205A"/>
    <w:rsid w:val="00E12B9C"/>
    <w:rsid w:val="00E13105"/>
    <w:rsid w:val="00E176A0"/>
    <w:rsid w:val="00E30E96"/>
    <w:rsid w:val="00E32E44"/>
    <w:rsid w:val="00E33F76"/>
    <w:rsid w:val="00E3414F"/>
    <w:rsid w:val="00E34A09"/>
    <w:rsid w:val="00E36BB0"/>
    <w:rsid w:val="00E37AD6"/>
    <w:rsid w:val="00E60316"/>
    <w:rsid w:val="00E61A06"/>
    <w:rsid w:val="00E639AD"/>
    <w:rsid w:val="00E641AA"/>
    <w:rsid w:val="00E66F80"/>
    <w:rsid w:val="00E71627"/>
    <w:rsid w:val="00E74CBD"/>
    <w:rsid w:val="00E8376A"/>
    <w:rsid w:val="00E85067"/>
    <w:rsid w:val="00E8664C"/>
    <w:rsid w:val="00E86AE0"/>
    <w:rsid w:val="00E86EB4"/>
    <w:rsid w:val="00E90069"/>
    <w:rsid w:val="00E90596"/>
    <w:rsid w:val="00E91D4C"/>
    <w:rsid w:val="00E939D4"/>
    <w:rsid w:val="00E94969"/>
    <w:rsid w:val="00E9526A"/>
    <w:rsid w:val="00E9650D"/>
    <w:rsid w:val="00E97E8D"/>
    <w:rsid w:val="00E97F66"/>
    <w:rsid w:val="00EA0943"/>
    <w:rsid w:val="00EA14D3"/>
    <w:rsid w:val="00EA25D7"/>
    <w:rsid w:val="00EA76CE"/>
    <w:rsid w:val="00EA7F48"/>
    <w:rsid w:val="00EB0120"/>
    <w:rsid w:val="00EB01F1"/>
    <w:rsid w:val="00EB1632"/>
    <w:rsid w:val="00EB2D62"/>
    <w:rsid w:val="00EB2D90"/>
    <w:rsid w:val="00EB3FB2"/>
    <w:rsid w:val="00EB4ACF"/>
    <w:rsid w:val="00EB6525"/>
    <w:rsid w:val="00EB7C24"/>
    <w:rsid w:val="00EC1D67"/>
    <w:rsid w:val="00EC2C64"/>
    <w:rsid w:val="00EC2FA9"/>
    <w:rsid w:val="00EC3C56"/>
    <w:rsid w:val="00EC459A"/>
    <w:rsid w:val="00EC56D5"/>
    <w:rsid w:val="00EC6266"/>
    <w:rsid w:val="00ED04C5"/>
    <w:rsid w:val="00ED10CC"/>
    <w:rsid w:val="00ED65BD"/>
    <w:rsid w:val="00EE2EF6"/>
    <w:rsid w:val="00EE62DA"/>
    <w:rsid w:val="00EF47A4"/>
    <w:rsid w:val="00F07F6F"/>
    <w:rsid w:val="00F11818"/>
    <w:rsid w:val="00F13A0A"/>
    <w:rsid w:val="00F14147"/>
    <w:rsid w:val="00F141AD"/>
    <w:rsid w:val="00F15B09"/>
    <w:rsid w:val="00F174BE"/>
    <w:rsid w:val="00F17FCF"/>
    <w:rsid w:val="00F220A5"/>
    <w:rsid w:val="00F24F30"/>
    <w:rsid w:val="00F250E0"/>
    <w:rsid w:val="00F257FE"/>
    <w:rsid w:val="00F26D2C"/>
    <w:rsid w:val="00F33208"/>
    <w:rsid w:val="00F3446C"/>
    <w:rsid w:val="00F35707"/>
    <w:rsid w:val="00F35732"/>
    <w:rsid w:val="00F411E5"/>
    <w:rsid w:val="00F4659E"/>
    <w:rsid w:val="00F47A96"/>
    <w:rsid w:val="00F51D25"/>
    <w:rsid w:val="00F52248"/>
    <w:rsid w:val="00F543A8"/>
    <w:rsid w:val="00F54BF4"/>
    <w:rsid w:val="00F56324"/>
    <w:rsid w:val="00F56CE8"/>
    <w:rsid w:val="00F571B9"/>
    <w:rsid w:val="00F60BE2"/>
    <w:rsid w:val="00F616FF"/>
    <w:rsid w:val="00F61EC0"/>
    <w:rsid w:val="00F6270E"/>
    <w:rsid w:val="00F62CD3"/>
    <w:rsid w:val="00F645C0"/>
    <w:rsid w:val="00F652C4"/>
    <w:rsid w:val="00F67E21"/>
    <w:rsid w:val="00F70798"/>
    <w:rsid w:val="00F73AAF"/>
    <w:rsid w:val="00F80712"/>
    <w:rsid w:val="00F80FF1"/>
    <w:rsid w:val="00F81DF5"/>
    <w:rsid w:val="00F8249F"/>
    <w:rsid w:val="00F90A86"/>
    <w:rsid w:val="00F956E3"/>
    <w:rsid w:val="00FA08EA"/>
    <w:rsid w:val="00FA0ED4"/>
    <w:rsid w:val="00FA21F8"/>
    <w:rsid w:val="00FA3190"/>
    <w:rsid w:val="00FB10DD"/>
    <w:rsid w:val="00FC00B2"/>
    <w:rsid w:val="00FC12CB"/>
    <w:rsid w:val="00FC1F61"/>
    <w:rsid w:val="00FC56CA"/>
    <w:rsid w:val="00FD2C40"/>
    <w:rsid w:val="00FD7428"/>
    <w:rsid w:val="00FD7492"/>
    <w:rsid w:val="00FE0020"/>
    <w:rsid w:val="00FE0EF5"/>
    <w:rsid w:val="00FE2244"/>
    <w:rsid w:val="00FE59DE"/>
    <w:rsid w:val="00FE6701"/>
    <w:rsid w:val="00FE69A2"/>
    <w:rsid w:val="00FE723A"/>
    <w:rsid w:val="00FF273A"/>
    <w:rsid w:val="00FF2782"/>
    <w:rsid w:val="00FF2BA8"/>
    <w:rsid w:val="00FF6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2F"/>
    <w:rPr>
      <w:rFonts w:ascii="Calibri" w:hAnsi="Calibri"/>
      <w:sz w:val="24"/>
    </w:rPr>
  </w:style>
  <w:style w:type="paragraph" w:styleId="Heading1">
    <w:name w:val="heading 1"/>
    <w:aliases w:val="H-1"/>
    <w:basedOn w:val="Normal"/>
    <w:next w:val="Normal"/>
    <w:link w:val="Heading1Char"/>
    <w:autoRedefine/>
    <w:qFormat/>
    <w:rsid w:val="0067682F"/>
    <w:pPr>
      <w:keepNext/>
      <w:pBdr>
        <w:bottom w:val="single" w:sz="4" w:space="1" w:color="auto"/>
      </w:pBdr>
      <w:spacing w:after="120"/>
      <w:outlineLvl w:val="0"/>
    </w:pPr>
    <w:rPr>
      <w:b/>
      <w:smallCaps/>
      <w:sz w:val="52"/>
      <w:szCs w:val="52"/>
    </w:rPr>
  </w:style>
  <w:style w:type="paragraph" w:styleId="Heading2">
    <w:name w:val="heading 2"/>
    <w:aliases w:val="H-2"/>
    <w:basedOn w:val="Normal"/>
    <w:next w:val="Normal"/>
    <w:link w:val="Heading2Char"/>
    <w:autoRedefine/>
    <w:qFormat/>
    <w:rsid w:val="00153F3E"/>
    <w:pPr>
      <w:keepNext/>
      <w:spacing w:before="240" w:after="120"/>
      <w:outlineLvl w:val="1"/>
    </w:pPr>
    <w:rPr>
      <w:b/>
      <w:sz w:val="28"/>
    </w:rPr>
  </w:style>
  <w:style w:type="paragraph" w:styleId="Heading3">
    <w:name w:val="heading 3"/>
    <w:aliases w:val="H-3"/>
    <w:basedOn w:val="Normal"/>
    <w:next w:val="Normal"/>
    <w:link w:val="Heading3Char"/>
    <w:qFormat/>
    <w:rsid w:val="0067682F"/>
    <w:pPr>
      <w:keepNext/>
      <w:spacing w:after="80"/>
      <w:outlineLvl w:val="2"/>
    </w:pPr>
    <w:rPr>
      <w:b/>
    </w:rPr>
  </w:style>
  <w:style w:type="paragraph" w:styleId="Heading4">
    <w:name w:val="heading 4"/>
    <w:aliases w:val="H-4"/>
    <w:basedOn w:val="Normal"/>
    <w:next w:val="Normal"/>
    <w:link w:val="Heading4Char"/>
    <w:qFormat/>
    <w:rsid w:val="0067682F"/>
    <w:pPr>
      <w:keepNext/>
      <w:spacing w:after="80"/>
      <w:outlineLvl w:val="3"/>
    </w:pPr>
    <w:rPr>
      <w:u w:val="single"/>
    </w:rPr>
  </w:style>
  <w:style w:type="paragraph" w:styleId="Heading5">
    <w:name w:val="heading 5"/>
    <w:basedOn w:val="Normal"/>
    <w:next w:val="Normal"/>
    <w:link w:val="Heading5Char"/>
    <w:autoRedefine/>
    <w:qFormat/>
    <w:rsid w:val="0067682F"/>
    <w:pPr>
      <w:keepNext/>
      <w:outlineLvl w:val="4"/>
    </w:pPr>
    <w:rPr>
      <w:sz w:val="36"/>
    </w:rPr>
  </w:style>
  <w:style w:type="paragraph" w:styleId="Heading6">
    <w:name w:val="heading 6"/>
    <w:basedOn w:val="Normal"/>
    <w:next w:val="Normal"/>
    <w:link w:val="Heading6Char"/>
    <w:qFormat/>
    <w:rsid w:val="0067682F"/>
    <w:pPr>
      <w:keepNext/>
      <w:ind w:left="2880" w:firstLine="720"/>
      <w:outlineLvl w:val="5"/>
    </w:pPr>
    <w:rPr>
      <w:rFonts w:ascii="Arial" w:hAnsi="Arial"/>
      <w:b/>
      <w:sz w:val="20"/>
    </w:rPr>
  </w:style>
  <w:style w:type="paragraph" w:styleId="Heading7">
    <w:name w:val="heading 7"/>
    <w:basedOn w:val="Normal"/>
    <w:next w:val="Normal"/>
    <w:link w:val="Heading7Char"/>
    <w:qFormat/>
    <w:rsid w:val="0067682F"/>
    <w:pPr>
      <w:keepNext/>
      <w:ind w:left="2880"/>
      <w:outlineLvl w:val="6"/>
    </w:pPr>
    <w:rPr>
      <w:rFonts w:ascii="Arial" w:hAnsi="Arial"/>
      <w:b/>
      <w:sz w:val="20"/>
    </w:rPr>
  </w:style>
  <w:style w:type="paragraph" w:styleId="Heading8">
    <w:name w:val="heading 8"/>
    <w:basedOn w:val="Normal"/>
    <w:next w:val="Normal"/>
    <w:link w:val="Heading8Char"/>
    <w:qFormat/>
    <w:rsid w:val="0067682F"/>
    <w:pPr>
      <w:keepNext/>
      <w:ind w:left="993"/>
      <w:outlineLvl w:val="7"/>
    </w:pPr>
    <w:rPr>
      <w:rFonts w:ascii="Arial" w:hAnsi="Arial"/>
      <w:i/>
      <w:color w:val="0000FF"/>
      <w:sz w:val="20"/>
    </w:rPr>
  </w:style>
  <w:style w:type="paragraph" w:styleId="Heading9">
    <w:name w:val="heading 9"/>
    <w:basedOn w:val="Normal"/>
    <w:next w:val="Normal"/>
    <w:link w:val="Heading9Char"/>
    <w:qFormat/>
    <w:rsid w:val="0067682F"/>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locked/>
    <w:rsid w:val="0067682F"/>
    <w:rPr>
      <w:rFonts w:ascii="Calibri" w:hAnsi="Calibri"/>
      <w:b/>
      <w:smallCaps/>
      <w:sz w:val="52"/>
      <w:szCs w:val="52"/>
    </w:rPr>
  </w:style>
  <w:style w:type="character" w:customStyle="1" w:styleId="Heading2Char">
    <w:name w:val="Heading 2 Char"/>
    <w:aliases w:val="H-2 Char"/>
    <w:basedOn w:val="DefaultParagraphFont"/>
    <w:link w:val="Heading2"/>
    <w:locked/>
    <w:rsid w:val="00153F3E"/>
    <w:rPr>
      <w:rFonts w:ascii="Calibri" w:hAnsi="Calibri"/>
      <w:b/>
      <w:sz w:val="28"/>
    </w:rPr>
  </w:style>
  <w:style w:type="character" w:customStyle="1" w:styleId="Heading3Char">
    <w:name w:val="Heading 3 Char"/>
    <w:aliases w:val="H-3 Char"/>
    <w:basedOn w:val="DefaultParagraphFont"/>
    <w:link w:val="Heading3"/>
    <w:locked/>
    <w:rsid w:val="0067682F"/>
    <w:rPr>
      <w:rFonts w:ascii="Calibri" w:hAnsi="Calibri"/>
      <w:b/>
      <w:sz w:val="24"/>
    </w:rPr>
  </w:style>
  <w:style w:type="character" w:customStyle="1" w:styleId="Heading4Char">
    <w:name w:val="Heading 4 Char"/>
    <w:aliases w:val="H-4 Char"/>
    <w:basedOn w:val="DefaultParagraphFont"/>
    <w:link w:val="Heading4"/>
    <w:locked/>
    <w:rsid w:val="0067682F"/>
    <w:rPr>
      <w:rFonts w:ascii="Calibri" w:hAnsi="Calibri"/>
      <w:sz w:val="24"/>
      <w:u w:val="single"/>
    </w:rPr>
  </w:style>
  <w:style w:type="character" w:customStyle="1" w:styleId="Heading5Char">
    <w:name w:val="Heading 5 Char"/>
    <w:basedOn w:val="DefaultParagraphFont"/>
    <w:link w:val="Heading5"/>
    <w:locked/>
    <w:rsid w:val="0067682F"/>
    <w:rPr>
      <w:rFonts w:ascii="Calibri" w:hAnsi="Calibri"/>
      <w:sz w:val="36"/>
    </w:rPr>
  </w:style>
  <w:style w:type="character" w:customStyle="1" w:styleId="Heading6Char">
    <w:name w:val="Heading 6 Char"/>
    <w:basedOn w:val="DefaultParagraphFont"/>
    <w:link w:val="Heading6"/>
    <w:locked/>
    <w:rsid w:val="0067682F"/>
    <w:rPr>
      <w:rFonts w:ascii="Arial" w:hAnsi="Arial"/>
      <w:b/>
    </w:rPr>
  </w:style>
  <w:style w:type="character" w:customStyle="1" w:styleId="Heading7Char">
    <w:name w:val="Heading 7 Char"/>
    <w:basedOn w:val="DefaultParagraphFont"/>
    <w:link w:val="Heading7"/>
    <w:locked/>
    <w:rsid w:val="0067682F"/>
    <w:rPr>
      <w:rFonts w:ascii="Arial" w:hAnsi="Arial"/>
      <w:b/>
    </w:rPr>
  </w:style>
  <w:style w:type="character" w:customStyle="1" w:styleId="Heading8Char">
    <w:name w:val="Heading 8 Char"/>
    <w:basedOn w:val="DefaultParagraphFont"/>
    <w:link w:val="Heading8"/>
    <w:locked/>
    <w:rsid w:val="0067682F"/>
    <w:rPr>
      <w:rFonts w:ascii="Arial" w:hAnsi="Arial"/>
      <w:i/>
      <w:color w:val="0000FF"/>
    </w:rPr>
  </w:style>
  <w:style w:type="character" w:customStyle="1" w:styleId="Heading9Char">
    <w:name w:val="Heading 9 Char"/>
    <w:basedOn w:val="DefaultParagraphFont"/>
    <w:link w:val="Heading9"/>
    <w:locked/>
    <w:rsid w:val="0067682F"/>
    <w:rPr>
      <w:rFonts w:ascii="Calibri" w:hAnsi="Calibri"/>
      <w:b/>
      <w:snapToGrid w:val="0"/>
      <w:color w:val="000000"/>
      <w:sz w:val="28"/>
      <w:lang w:val="en-US"/>
    </w:rPr>
  </w:style>
  <w:style w:type="paragraph" w:styleId="BodyText2">
    <w:name w:val="Body Text 2"/>
    <w:basedOn w:val="Normal"/>
    <w:link w:val="BodyText2Char"/>
    <w:uiPriority w:val="99"/>
    <w:pPr>
      <w:numPr>
        <w:ilvl w:val="1"/>
        <w:numId w:val="2"/>
      </w:numPr>
      <w:spacing w:after="120"/>
    </w:pPr>
    <w:rPr>
      <w:color w:val="000000"/>
      <w:sz w:val="20"/>
    </w:rPr>
  </w:style>
  <w:style w:type="character" w:customStyle="1" w:styleId="BodyText2Char">
    <w:name w:val="Body Text 2 Char"/>
    <w:basedOn w:val="DefaultParagraphFont"/>
    <w:link w:val="BodyText2"/>
    <w:uiPriority w:val="99"/>
    <w:locked/>
    <w:rPr>
      <w:rFonts w:ascii="Calibri" w:hAnsi="Calibri" w:cs="Times New Roman"/>
      <w:color w:val="00000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sid w:val="00A01ECA"/>
    <w:rPr>
      <w:rFonts w:cs="Times New Roman"/>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A06C9A"/>
    <w:rPr>
      <w:rFonts w:cs="Times New Roman"/>
      <w:sz w:val="24"/>
      <w:lang w:val="x-none" w:eastAsia="en-US"/>
    </w:rPr>
  </w:style>
  <w:style w:type="character" w:styleId="PageNumber">
    <w:name w:val="page number"/>
    <w:basedOn w:val="DefaultParagraphFont"/>
    <w:uiPriority w:val="99"/>
    <w:rPr>
      <w:rFonts w:cs="Times New Roman"/>
    </w:rPr>
  </w:style>
  <w:style w:type="character" w:styleId="FootnoteReference">
    <w:name w:val="footnote reference"/>
    <w:basedOn w:val="DefaultParagraphFont"/>
    <w:uiPriority w:val="99"/>
    <w:semiHidden/>
    <w:rPr>
      <w:rFonts w:cs="Times New Roman"/>
      <w:vertAlign w:val="superscript"/>
    </w:rPr>
  </w:style>
  <w:style w:type="character" w:styleId="Hyperlink">
    <w:name w:val="Hyperlink"/>
    <w:basedOn w:val="DefaultParagraphFont"/>
    <w:uiPriority w:val="99"/>
    <w:rPr>
      <w:rFonts w:cs="Times New Roman"/>
      <w:color w:val="0000FF"/>
      <w:u w:val="single"/>
    </w:rPr>
  </w:style>
  <w:style w:type="paragraph" w:customStyle="1" w:styleId="textnos">
    <w:name w:val="text no's"/>
    <w:basedOn w:val="Normal"/>
    <w:pPr>
      <w:tabs>
        <w:tab w:val="left" w:pos="411"/>
        <w:tab w:val="left" w:pos="695"/>
        <w:tab w:val="left" w:pos="851"/>
        <w:tab w:val="left" w:pos="1134"/>
        <w:tab w:val="left" w:pos="1276"/>
        <w:tab w:val="left" w:pos="1418"/>
      </w:tabs>
      <w:spacing w:before="113" w:line="280" w:lineRule="exact"/>
      <w:ind w:left="397" w:hanging="397"/>
    </w:pPr>
    <w:rPr>
      <w:rFonts w:ascii="Garamond" w:hAnsi="Garamond"/>
      <w:lang w:val="en-US"/>
    </w:rPr>
  </w:style>
  <w:style w:type="paragraph" w:styleId="FootnoteText">
    <w:name w:val="footnote text"/>
    <w:aliases w:val="F-t"/>
    <w:basedOn w:val="Normal"/>
    <w:link w:val="FootnoteTextChar"/>
    <w:uiPriority w:val="99"/>
    <w:semiHidden/>
    <w:rPr>
      <w:sz w:val="20"/>
    </w:rPr>
  </w:style>
  <w:style w:type="character" w:customStyle="1" w:styleId="FootnoteTextChar">
    <w:name w:val="Footnote Text Char"/>
    <w:aliases w:val="F-t Char"/>
    <w:basedOn w:val="DefaultParagraphFont"/>
    <w:link w:val="FootnoteText"/>
    <w:uiPriority w:val="99"/>
    <w:semiHidden/>
    <w:locked/>
    <w:rsid w:val="00775A12"/>
    <w:rPr>
      <w:rFonts w:cs="Times New Roman"/>
      <w:lang w:val="x-none" w:eastAsia="en-US"/>
    </w:rPr>
  </w:style>
  <w:style w:type="paragraph" w:styleId="TOC1">
    <w:name w:val="toc 1"/>
    <w:basedOn w:val="Normal"/>
    <w:next w:val="Normal"/>
    <w:autoRedefine/>
    <w:uiPriority w:val="39"/>
    <w:pPr>
      <w:spacing w:before="120" w:after="120"/>
    </w:pPr>
    <w:rPr>
      <w:b/>
      <w:bCs/>
      <w:caps/>
      <w:sz w:val="20"/>
    </w:rPr>
  </w:style>
  <w:style w:type="paragraph" w:styleId="TOC2">
    <w:name w:val="toc 2"/>
    <w:basedOn w:val="Normal"/>
    <w:next w:val="Normal"/>
    <w:autoRedefine/>
    <w:uiPriority w:val="39"/>
    <w:pPr>
      <w:ind w:left="240"/>
    </w:pPr>
    <w:rPr>
      <w:smallCaps/>
      <w:sz w:val="20"/>
    </w:rPr>
  </w:style>
  <w:style w:type="paragraph" w:styleId="TOC3">
    <w:name w:val="toc 3"/>
    <w:basedOn w:val="Normal"/>
    <w:next w:val="Normal"/>
    <w:autoRedefine/>
    <w:uiPriority w:val="39"/>
    <w:pPr>
      <w:ind w:left="480"/>
    </w:pPr>
    <w:rPr>
      <w:i/>
      <w:iCs/>
      <w:sz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styleId="BodyText">
    <w:name w:val="Body Text"/>
    <w:basedOn w:val="Normal"/>
    <w:link w:val="BodyTextChar"/>
    <w:uiPriority w:val="99"/>
    <w:pPr>
      <w:jc w:val="center"/>
    </w:pPr>
    <w:rPr>
      <w:b/>
      <w:sz w:val="32"/>
    </w:rPr>
  </w:style>
  <w:style w:type="character" w:customStyle="1" w:styleId="BodyTextChar">
    <w:name w:val="Body Text Char"/>
    <w:basedOn w:val="DefaultParagraphFont"/>
    <w:link w:val="BodyText"/>
    <w:uiPriority w:val="99"/>
    <w:locked/>
    <w:rsid w:val="00DF0651"/>
    <w:rPr>
      <w:rFonts w:cs="Times New Roman"/>
      <w:b/>
      <w:sz w:val="32"/>
      <w:lang w:val="x-none" w:eastAsia="en-US"/>
    </w:rPr>
  </w:style>
  <w:style w:type="paragraph" w:styleId="BodyText3">
    <w:name w:val="Body Text 3"/>
    <w:basedOn w:val="Normal"/>
    <w:link w:val="BodyText3Char"/>
    <w:uiPriority w:val="99"/>
    <w:pPr>
      <w:numPr>
        <w:ilvl w:val="2"/>
        <w:numId w:val="2"/>
      </w:numPr>
      <w:spacing w:after="120"/>
    </w:pPr>
    <w:rPr>
      <w:sz w:val="16"/>
    </w:rPr>
  </w:style>
  <w:style w:type="character" w:customStyle="1" w:styleId="BodyText3Char">
    <w:name w:val="Body Text 3 Char"/>
    <w:basedOn w:val="DefaultParagraphFont"/>
    <w:link w:val="BodyText3"/>
    <w:uiPriority w:val="99"/>
    <w:locked/>
    <w:rPr>
      <w:rFonts w:ascii="Calibri" w:hAnsi="Calibri" w:cs="Times New Roman"/>
      <w:sz w:val="16"/>
      <w:lang w:val="x-none" w:eastAsia="en-US"/>
    </w:rPr>
  </w:style>
  <w:style w:type="character" w:styleId="FollowedHyperlink">
    <w:name w:val="FollowedHyperlink"/>
    <w:basedOn w:val="DefaultParagraphFont"/>
    <w:uiPriority w:val="99"/>
    <w:rPr>
      <w:rFonts w:cs="Times New Roman"/>
      <w:color w:val="800080"/>
      <w:u w:val="single"/>
    </w:rPr>
  </w:style>
  <w:style w:type="paragraph" w:styleId="Subtitle">
    <w:name w:val="Subtitle"/>
    <w:basedOn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locked/>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pPr>
      <w:spacing w:before="100" w:after="100"/>
    </w:pPr>
    <w:rPr>
      <w:rFonts w:ascii="Arial" w:eastAsia="Arial Unicode MS" w:hAnsi="Arial"/>
      <w:sz w:val="22"/>
      <w:lang w:val="en-US"/>
    </w:rPr>
  </w:style>
  <w:style w:type="paragraph" w:styleId="TableofFigures">
    <w:name w:val="table of figures"/>
    <w:basedOn w:val="Normal"/>
    <w:next w:val="Normal"/>
    <w:uiPriority w:val="99"/>
    <w:semiHidden/>
    <w:pPr>
      <w:ind w:left="480" w:hanging="480"/>
    </w:pPr>
  </w:style>
  <w:style w:type="paragraph" w:customStyle="1" w:styleId="14pointpalatino">
    <w:name w:val="14 point palatino"/>
    <w:basedOn w:val="Normal"/>
    <w:rPr>
      <w:rFonts w:ascii="Palatino" w:hAnsi="Palatino"/>
      <w:b/>
      <w:sz w:val="28"/>
    </w:rPr>
  </w:style>
  <w:style w:type="paragraph" w:customStyle="1" w:styleId="NormalSpace">
    <w:name w:val="Normal + Space"/>
    <w:basedOn w:val="Normal"/>
    <w:pPr>
      <w:spacing w:after="240"/>
    </w:pPr>
    <w:rPr>
      <w:rFonts w:ascii="Arial" w:hAnsi="Arial"/>
      <w:sz w:val="22"/>
    </w:rPr>
  </w:style>
  <w:style w:type="paragraph" w:styleId="BodyTextIndent">
    <w:name w:val="Body Text Indent"/>
    <w:basedOn w:val="Normal"/>
    <w:link w:val="BodyTextIndentChar"/>
    <w:uiPriority w:val="99"/>
    <w:pPr>
      <w:spacing w:after="80"/>
      <w:ind w:left="360"/>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styleId="BodyTextIndent2">
    <w:name w:val="Body Text Indent 2"/>
    <w:basedOn w:val="Normal"/>
    <w:link w:val="BodyTextIndent2Char"/>
    <w:uiPriority w:val="99"/>
    <w:pPr>
      <w:spacing w:after="80"/>
      <w:ind w:left="1440" w:hanging="1440"/>
    </w:pPr>
    <w:rPr>
      <w:b/>
    </w:rPr>
  </w:style>
  <w:style w:type="character" w:customStyle="1" w:styleId="BodyTextIndent2Char">
    <w:name w:val="Body Text Indent 2 Char"/>
    <w:basedOn w:val="DefaultParagraphFont"/>
    <w:link w:val="BodyTextIndent2"/>
    <w:uiPriority w:val="99"/>
    <w:semiHidden/>
    <w:locked/>
    <w:rPr>
      <w:rFonts w:cs="Times New Roman"/>
      <w:sz w:val="24"/>
      <w:lang w:val="x-none" w:eastAsia="en-US"/>
    </w:rPr>
  </w:style>
  <w:style w:type="paragraph" w:styleId="Title">
    <w:name w:val="Title"/>
    <w:basedOn w:val="Normal"/>
    <w:link w:val="TitleChar"/>
    <w:autoRedefine/>
    <w:qFormat/>
    <w:rsid w:val="00096397"/>
    <w:rPr>
      <w:sz w:val="36"/>
    </w:rPr>
  </w:style>
  <w:style w:type="character" w:customStyle="1" w:styleId="TitleChar">
    <w:name w:val="Title Char"/>
    <w:basedOn w:val="DefaultParagraphFont"/>
    <w:link w:val="Title"/>
    <w:locked/>
    <w:rsid w:val="00096397"/>
    <w:rPr>
      <w:rFonts w:ascii="Calibri" w:hAnsi="Calibri"/>
      <w:sz w:val="36"/>
    </w:rPr>
  </w:style>
  <w:style w:type="paragraph" w:styleId="Caption">
    <w:name w:val="caption"/>
    <w:basedOn w:val="Normal"/>
    <w:next w:val="Normal"/>
    <w:qFormat/>
    <w:rsid w:val="0067682F"/>
    <w:pPr>
      <w:ind w:left="709"/>
    </w:pPr>
    <w:rPr>
      <w:rFonts w:ascii="Arial" w:hAnsi="Arial"/>
      <w:b/>
      <w:sz w:val="20"/>
    </w:rPr>
  </w:style>
  <w:style w:type="paragraph" w:styleId="BodyTextIndent3">
    <w:name w:val="Body Text Indent 3"/>
    <w:basedOn w:val="Normal"/>
    <w:link w:val="BodyTextIndent3Char"/>
    <w:uiPriority w:val="99"/>
    <w:pPr>
      <w:spacing w:after="80"/>
      <w:ind w:left="720"/>
    </w:pPr>
    <w:rPr>
      <w:i/>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customStyle="1" w:styleId="NumberedParagraphs">
    <w:name w:val="Numbered Paragraphs"/>
    <w:basedOn w:val="Normal"/>
    <w:pPr>
      <w:numPr>
        <w:numId w:val="5"/>
      </w:numPr>
      <w:tabs>
        <w:tab w:val="left" w:pos="726"/>
        <w:tab w:val="left" w:pos="1089"/>
        <w:tab w:val="left" w:pos="1452"/>
        <w:tab w:val="left" w:pos="1814"/>
      </w:tabs>
      <w:spacing w:line="360" w:lineRule="auto"/>
    </w:p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H1">
    <w:name w:val="H1"/>
    <w:basedOn w:val="Normal"/>
    <w:next w:val="Normal"/>
    <w:pPr>
      <w:keepNext/>
      <w:spacing w:before="100" w:after="100"/>
      <w:outlineLvl w:val="1"/>
    </w:pPr>
    <w:rPr>
      <w:b/>
      <w:kern w:val="36"/>
      <w:sz w:val="48"/>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lang w:val="x-none" w:eastAsia="en-US"/>
    </w:rPr>
  </w:style>
  <w:style w:type="character" w:styleId="EndnoteReference">
    <w:name w:val="endnote reference"/>
    <w:basedOn w:val="DefaultParagraphFont"/>
    <w:uiPriority w:val="99"/>
    <w:semiHidden/>
    <w:rPr>
      <w:rFonts w:cs="Times New Roman"/>
      <w:vertAlign w:val="superscript"/>
    </w:rPr>
  </w:style>
  <w:style w:type="paragraph" w:customStyle="1" w:styleId="TableTitleS-t">
    <w:name w:val="Table Title S-t"/>
    <w:basedOn w:val="Normal"/>
    <w:next w:val="TablEntryS-e"/>
    <w:pPr>
      <w:keepNext/>
      <w:widowControl w:val="0"/>
      <w:tabs>
        <w:tab w:val="left" w:pos="426"/>
      </w:tabs>
      <w:spacing w:before="120" w:after="60" w:line="280" w:lineRule="atLeast"/>
      <w:jc w:val="both"/>
    </w:pPr>
    <w:rPr>
      <w:rFonts w:ascii="Arial Narrow" w:hAnsi="Arial Narrow"/>
      <w:b/>
      <w:caps/>
      <w:kern w:val="16"/>
      <w:sz w:val="22"/>
    </w:rPr>
  </w:style>
  <w:style w:type="paragraph" w:customStyle="1" w:styleId="TablEntryS-e">
    <w:name w:val="Tabl Entry S-e"/>
    <w:basedOn w:val="Normal"/>
    <w:pPr>
      <w:widowControl w:val="0"/>
      <w:tabs>
        <w:tab w:val="left" w:pos="284"/>
      </w:tabs>
      <w:spacing w:before="100" w:after="80" w:line="260" w:lineRule="atLeast"/>
      <w:jc w:val="both"/>
    </w:pPr>
    <w:rPr>
      <w:rFonts w:ascii="Arial Narrow" w:hAnsi="Arial Narrow"/>
      <w:kern w:val="16"/>
      <w:sz w:val="22"/>
    </w:rPr>
  </w:style>
  <w:style w:type="paragraph" w:customStyle="1" w:styleId="tablecapt">
    <w:name w:val="tablecapt"/>
    <w:basedOn w:val="Normal"/>
    <w:autoRedefine/>
    <w:pPr>
      <w:keepNext/>
      <w:spacing w:before="360" w:after="120" w:line="24" w:lineRule="atLeast"/>
      <w:jc w:val="center"/>
    </w:pPr>
    <w:rPr>
      <w:rFonts w:ascii="Helvetica" w:hAnsi="Helvetica"/>
      <w:b/>
      <w:sz w:val="22"/>
    </w:rPr>
  </w:style>
  <w:style w:type="paragraph" w:customStyle="1" w:styleId="TOCHead1">
    <w:name w:val="TOC Head 1"/>
    <w:basedOn w:val="Normal"/>
    <w:pPr>
      <w:widowControl w:val="0"/>
      <w:tabs>
        <w:tab w:val="left" w:pos="426"/>
        <w:tab w:val="right" w:pos="8647"/>
      </w:tabs>
      <w:spacing w:after="120" w:line="280" w:lineRule="atLeast"/>
    </w:pPr>
    <w:rPr>
      <w:rFonts w:ascii="Arial Narrow" w:hAnsi="Arial Narrow"/>
      <w:b/>
      <w:kern w:val="16"/>
      <w:sz w:val="22"/>
    </w:rPr>
  </w:style>
  <w:style w:type="character" w:styleId="HTMLTypewriter">
    <w:name w:val="HTML Typewriter"/>
    <w:basedOn w:val="DefaultParagraphFont"/>
    <w:uiPriority w:val="99"/>
    <w:rPr>
      <w:rFonts w:ascii="Arial Unicode MS" w:eastAsia="Arial Unicode MS" w:hAnsi="Arial Unicode MS" w:cs="Arial Unicode MS"/>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sid w:val="007E52DD"/>
    <w:rPr>
      <w:rFonts w:cs="Times New Roman"/>
      <w:lang w:val="x-none" w:eastAsia="en-US"/>
    </w:rPr>
  </w:style>
  <w:style w:type="paragraph" w:customStyle="1" w:styleId="xl22">
    <w:name w:val="xl22"/>
    <w:basedOn w:val="Normal"/>
    <w:pPr>
      <w:spacing w:before="100" w:beforeAutospacing="1" w:after="100" w:afterAutospacing="1"/>
      <w:jc w:val="center"/>
    </w:pPr>
    <w:rPr>
      <w:rFonts w:ascii="Arial" w:eastAsia="Arial Unicode MS" w:hAnsi="Arial" w:cs="Arial"/>
      <w:sz w:val="18"/>
      <w:szCs w:val="18"/>
      <w:lang w:val="en-US"/>
    </w:rPr>
  </w:style>
  <w:style w:type="paragraph" w:customStyle="1" w:styleId="xl23">
    <w:name w:val="xl23"/>
    <w:basedOn w:val="Normal"/>
    <w:pPr>
      <w:pBdr>
        <w:bottom w:val="single" w:sz="4" w:space="0" w:color="auto"/>
      </w:pBdr>
      <w:spacing w:before="100" w:beforeAutospacing="1" w:after="100" w:afterAutospacing="1"/>
    </w:pPr>
    <w:rPr>
      <w:rFonts w:ascii="Arial" w:eastAsia="Arial Unicode MS" w:hAnsi="Arial" w:cs="Arial"/>
      <w:sz w:val="18"/>
      <w:szCs w:val="18"/>
      <w:lang w:val="en-US"/>
    </w:rPr>
  </w:style>
  <w:style w:type="paragraph" w:customStyle="1" w:styleId="xl24">
    <w:name w:val="xl24"/>
    <w:basedOn w:val="Normal"/>
    <w:pPr>
      <w:spacing w:before="100" w:beforeAutospacing="1" w:after="100" w:afterAutospacing="1"/>
    </w:pPr>
    <w:rPr>
      <w:rFonts w:ascii="Arial" w:eastAsia="Arial Unicode MS" w:hAnsi="Arial" w:cs="Arial"/>
      <w:sz w:val="18"/>
      <w:szCs w:val="18"/>
      <w:lang w:val="en-US"/>
    </w:rPr>
  </w:style>
  <w:style w:type="paragraph" w:customStyle="1" w:styleId="xl25">
    <w:name w:val="xl25"/>
    <w:basedOn w:val="Normal"/>
    <w:pPr>
      <w:pBdr>
        <w:top w:val="single" w:sz="4" w:space="0" w:color="auto"/>
        <w:left w:val="single" w:sz="4" w:space="0" w:color="auto"/>
      </w:pBdr>
      <w:spacing w:before="100" w:beforeAutospacing="1" w:after="100" w:afterAutospacing="1"/>
    </w:pPr>
    <w:rPr>
      <w:rFonts w:ascii="Arial" w:eastAsia="Arial Unicode MS" w:hAnsi="Arial" w:cs="Arial"/>
      <w:b/>
      <w:bCs/>
      <w:i/>
      <w:iCs/>
      <w:sz w:val="18"/>
      <w:szCs w:val="18"/>
      <w:lang w:val="en-US"/>
    </w:rPr>
  </w:style>
  <w:style w:type="paragraph" w:customStyle="1" w:styleId="xl26">
    <w:name w:val="xl26"/>
    <w:basedOn w:val="Normal"/>
    <w:pPr>
      <w:pBdr>
        <w:top w:val="single" w:sz="4" w:space="0" w:color="auto"/>
      </w:pBdr>
      <w:spacing w:before="100" w:beforeAutospacing="1" w:after="100" w:afterAutospacing="1"/>
    </w:pPr>
    <w:rPr>
      <w:rFonts w:ascii="Arial" w:eastAsia="Arial Unicode MS" w:hAnsi="Arial" w:cs="Arial"/>
      <w:b/>
      <w:bCs/>
      <w:i/>
      <w:iCs/>
      <w:sz w:val="18"/>
      <w:szCs w:val="18"/>
      <w:lang w:val="en-US"/>
    </w:rPr>
  </w:style>
  <w:style w:type="paragraph" w:customStyle="1" w:styleId="xl27">
    <w:name w:val="xl27"/>
    <w:basedOn w:val="Normal"/>
    <w:pPr>
      <w:pBdr>
        <w:top w:val="single" w:sz="4" w:space="0" w:color="auto"/>
      </w:pBdr>
      <w:spacing w:before="100" w:beforeAutospacing="1" w:after="100" w:afterAutospacing="1"/>
      <w:jc w:val="center"/>
    </w:pPr>
    <w:rPr>
      <w:rFonts w:ascii="Arial" w:eastAsia="Arial Unicode MS" w:hAnsi="Arial" w:cs="Arial"/>
      <w:sz w:val="18"/>
      <w:szCs w:val="18"/>
      <w:lang w:val="en-US"/>
    </w:rPr>
  </w:style>
  <w:style w:type="paragraph" w:customStyle="1" w:styleId="xl28">
    <w:name w:val="xl28"/>
    <w:basedOn w:val="Normal"/>
    <w:pPr>
      <w:pBdr>
        <w:left w:val="single" w:sz="4" w:space="0" w:color="auto"/>
      </w:pBdr>
      <w:spacing w:before="100" w:beforeAutospacing="1" w:after="100" w:afterAutospacing="1"/>
    </w:pPr>
    <w:rPr>
      <w:rFonts w:ascii="Arial" w:eastAsia="Arial Unicode MS" w:hAnsi="Arial" w:cs="Arial"/>
      <w:sz w:val="18"/>
      <w:szCs w:val="18"/>
      <w:lang w:val="en-US"/>
    </w:rPr>
  </w:style>
  <w:style w:type="paragraph" w:customStyle="1" w:styleId="xl29">
    <w:name w:val="xl29"/>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n-US"/>
    </w:rPr>
  </w:style>
  <w:style w:type="paragraph" w:customStyle="1" w:styleId="xl30">
    <w:name w:val="xl30"/>
    <w:basedOn w:val="Normal"/>
    <w:pPr>
      <w:spacing w:before="100" w:beforeAutospacing="1" w:after="100" w:afterAutospacing="1"/>
    </w:pPr>
    <w:rPr>
      <w:rFonts w:ascii="Arial" w:eastAsia="Arial Unicode MS" w:hAnsi="Arial" w:cs="Arial"/>
      <w:b/>
      <w:bCs/>
      <w:i/>
      <w:iCs/>
      <w:sz w:val="22"/>
      <w:szCs w:val="22"/>
      <w:lang w:val="en-US"/>
    </w:rPr>
  </w:style>
  <w:style w:type="paragraph" w:customStyle="1" w:styleId="xl31">
    <w:name w:val="xl31"/>
    <w:basedOn w:val="Normal"/>
    <w:pPr>
      <w:spacing w:before="100" w:beforeAutospacing="1" w:after="100" w:afterAutospacing="1"/>
      <w:jc w:val="center"/>
    </w:pPr>
    <w:rPr>
      <w:rFonts w:ascii="Arial" w:eastAsia="Arial Unicode MS" w:hAnsi="Arial" w:cs="Arial"/>
      <w:i/>
      <w:iCs/>
      <w:sz w:val="18"/>
      <w:szCs w:val="18"/>
      <w:lang w:val="en-US"/>
    </w:rPr>
  </w:style>
  <w:style w:type="paragraph" w:customStyle="1" w:styleId="xl32">
    <w:name w:val="xl32"/>
    <w:basedOn w:val="Normal"/>
    <w:pPr>
      <w:shd w:val="clear" w:color="auto" w:fill="FFCC99"/>
      <w:spacing w:before="100" w:beforeAutospacing="1" w:after="100" w:afterAutospacing="1"/>
      <w:jc w:val="center"/>
    </w:pPr>
    <w:rPr>
      <w:rFonts w:ascii="Arial" w:eastAsia="Arial Unicode MS" w:hAnsi="Arial" w:cs="Arial"/>
      <w:i/>
      <w:iCs/>
      <w:sz w:val="18"/>
      <w:szCs w:val="18"/>
      <w:lang w:val="en-US"/>
    </w:rPr>
  </w:style>
  <w:style w:type="paragraph" w:customStyle="1" w:styleId="xl33">
    <w:name w:val="xl33"/>
    <w:basedOn w:val="Normal"/>
    <w:pPr>
      <w:pBdr>
        <w:top w:val="single" w:sz="4" w:space="0" w:color="auto"/>
      </w:pBdr>
      <w:spacing w:before="100" w:beforeAutospacing="1" w:after="100" w:afterAutospacing="1"/>
    </w:pPr>
    <w:rPr>
      <w:rFonts w:ascii="Arial" w:eastAsia="Arial Unicode MS" w:hAnsi="Arial" w:cs="Arial"/>
      <w:sz w:val="18"/>
      <w:szCs w:val="18"/>
      <w:lang w:val="en-US"/>
    </w:rPr>
  </w:style>
  <w:style w:type="paragraph" w:customStyle="1" w:styleId="xl34">
    <w:name w:val="xl34"/>
    <w:basedOn w:val="Normal"/>
    <w:pPr>
      <w:pBdr>
        <w:top w:val="single" w:sz="4" w:space="0" w:color="auto"/>
      </w:pBdr>
      <w:shd w:val="clear" w:color="auto" w:fill="FFCC99"/>
      <w:spacing w:before="100" w:beforeAutospacing="1" w:after="100" w:afterAutospacing="1"/>
      <w:jc w:val="center"/>
    </w:pPr>
    <w:rPr>
      <w:rFonts w:ascii="Arial" w:eastAsia="Arial Unicode MS" w:hAnsi="Arial" w:cs="Arial"/>
      <w:i/>
      <w:iCs/>
      <w:sz w:val="18"/>
      <w:szCs w:val="18"/>
      <w:lang w:val="en-US"/>
    </w:rPr>
  </w:style>
  <w:style w:type="paragraph" w:customStyle="1" w:styleId="xl35">
    <w:name w:val="xl35"/>
    <w:basedOn w:val="Normal"/>
    <w:pPr>
      <w:pBdr>
        <w:bottom w:val="single" w:sz="4" w:space="0" w:color="auto"/>
      </w:pBdr>
      <w:shd w:val="clear" w:color="auto" w:fill="FFCC99"/>
      <w:spacing w:before="100" w:beforeAutospacing="1" w:after="100" w:afterAutospacing="1"/>
      <w:jc w:val="center"/>
    </w:pPr>
    <w:rPr>
      <w:rFonts w:ascii="Arial" w:eastAsia="Arial Unicode MS" w:hAnsi="Arial" w:cs="Arial"/>
      <w:i/>
      <w:iCs/>
      <w:sz w:val="18"/>
      <w:szCs w:val="18"/>
      <w:lang w:val="en-US"/>
    </w:rPr>
  </w:style>
  <w:style w:type="paragraph" w:customStyle="1" w:styleId="xl36">
    <w:name w:val="xl36"/>
    <w:basedOn w:val="Normal"/>
    <w:pPr>
      <w:pBdr>
        <w:bottom w:val="single" w:sz="4" w:space="0" w:color="auto"/>
      </w:pBdr>
      <w:spacing w:before="100" w:beforeAutospacing="1" w:after="100" w:afterAutospacing="1"/>
      <w:jc w:val="center"/>
    </w:pPr>
    <w:rPr>
      <w:rFonts w:ascii="Arial" w:eastAsia="Arial Unicode MS" w:hAnsi="Arial" w:cs="Arial"/>
      <w:i/>
      <w:iCs/>
      <w:sz w:val="18"/>
      <w:szCs w:val="18"/>
      <w:lang w:val="en-US"/>
    </w:rPr>
  </w:style>
  <w:style w:type="paragraph" w:customStyle="1" w:styleId="xl37">
    <w:name w:val="xl37"/>
    <w:basedOn w:val="Normal"/>
    <w:pPr>
      <w:pBdr>
        <w:top w:val="single" w:sz="4" w:space="0" w:color="auto"/>
        <w:left w:val="single" w:sz="4" w:space="0" w:color="auto"/>
      </w:pBdr>
      <w:spacing w:before="100" w:beforeAutospacing="1" w:after="100" w:afterAutospacing="1"/>
    </w:pPr>
    <w:rPr>
      <w:rFonts w:ascii="Arial" w:eastAsia="Arial Unicode MS" w:hAnsi="Arial" w:cs="Arial"/>
      <w:sz w:val="18"/>
      <w:szCs w:val="18"/>
      <w:lang w:val="en-US"/>
    </w:rPr>
  </w:style>
  <w:style w:type="paragraph" w:customStyle="1" w:styleId="xl38">
    <w:name w:val="xl38"/>
    <w:basedOn w:val="Normal"/>
    <w:pPr>
      <w:pBdr>
        <w:top w:val="single" w:sz="4" w:space="0" w:color="auto"/>
      </w:pBdr>
      <w:spacing w:before="100" w:beforeAutospacing="1" w:after="100" w:afterAutospacing="1"/>
      <w:jc w:val="center"/>
    </w:pPr>
    <w:rPr>
      <w:rFonts w:ascii="Arial" w:eastAsia="Arial Unicode MS" w:hAnsi="Arial" w:cs="Arial"/>
      <w:i/>
      <w:iCs/>
      <w:sz w:val="18"/>
      <w:szCs w:val="18"/>
      <w:lang w:val="en-US"/>
    </w:rPr>
  </w:style>
  <w:style w:type="paragraph" w:customStyle="1" w:styleId="xl39">
    <w:name w:val="xl39"/>
    <w:basedOn w:val="Normal"/>
    <w:pPr>
      <w:shd w:val="clear" w:color="auto" w:fill="FFCC99"/>
      <w:spacing w:before="100" w:beforeAutospacing="1" w:after="100" w:afterAutospacing="1"/>
      <w:jc w:val="center"/>
    </w:pPr>
    <w:rPr>
      <w:rFonts w:ascii="Arial" w:eastAsia="Arial Unicode MS" w:hAnsi="Arial" w:cs="Arial"/>
      <w:sz w:val="18"/>
      <w:szCs w:val="18"/>
      <w:lang w:val="en-US"/>
    </w:rPr>
  </w:style>
  <w:style w:type="paragraph" w:customStyle="1" w:styleId="xl40">
    <w:name w:val="xl40"/>
    <w:basedOn w:val="Normal"/>
    <w:pPr>
      <w:shd w:val="clear" w:color="auto" w:fill="FFCC99"/>
      <w:spacing w:before="100" w:beforeAutospacing="1" w:after="100" w:afterAutospacing="1"/>
      <w:jc w:val="center"/>
    </w:pPr>
    <w:rPr>
      <w:rFonts w:ascii="Arial" w:eastAsia="Arial Unicode MS" w:hAnsi="Arial" w:cs="Arial"/>
      <w:i/>
      <w:iCs/>
      <w:color w:val="FF0000"/>
      <w:sz w:val="18"/>
      <w:szCs w:val="18"/>
      <w:lang w:val="en-US"/>
    </w:rPr>
  </w:style>
  <w:style w:type="paragraph" w:customStyle="1" w:styleId="xl41">
    <w:name w:val="xl41"/>
    <w:basedOn w:val="Normal"/>
    <w:pPr>
      <w:spacing w:before="100" w:beforeAutospacing="1" w:after="100" w:afterAutospacing="1"/>
      <w:jc w:val="center"/>
    </w:pPr>
    <w:rPr>
      <w:rFonts w:ascii="Arial" w:eastAsia="Arial Unicode MS" w:hAnsi="Arial" w:cs="Arial"/>
      <w:i/>
      <w:iCs/>
      <w:color w:val="FF0000"/>
      <w:sz w:val="18"/>
      <w:szCs w:val="18"/>
      <w:lang w:val="en-US"/>
    </w:rPr>
  </w:style>
  <w:style w:type="paragraph" w:customStyle="1" w:styleId="xl42">
    <w:name w:val="xl42"/>
    <w:basedOn w:val="Normal"/>
    <w:pPr>
      <w:spacing w:before="100" w:beforeAutospacing="1" w:after="100" w:afterAutospacing="1"/>
      <w:jc w:val="center"/>
    </w:pPr>
    <w:rPr>
      <w:rFonts w:ascii="Arial" w:eastAsia="Arial Unicode MS" w:hAnsi="Arial" w:cs="Arial"/>
      <w:color w:val="FF0000"/>
      <w:sz w:val="18"/>
      <w:szCs w:val="18"/>
      <w:lang w:val="en-US"/>
    </w:rPr>
  </w:style>
  <w:style w:type="paragraph" w:customStyle="1" w:styleId="xl43">
    <w:name w:val="xl43"/>
    <w:basedOn w:val="Normal"/>
    <w:pPr>
      <w:shd w:val="clear" w:color="auto" w:fill="FFCC99"/>
      <w:spacing w:before="100" w:beforeAutospacing="1" w:after="100" w:afterAutospacing="1"/>
      <w:jc w:val="center"/>
    </w:pPr>
    <w:rPr>
      <w:rFonts w:ascii="Arial" w:eastAsia="Arial Unicode MS" w:hAnsi="Arial" w:cs="Arial"/>
      <w:color w:val="FF0000"/>
      <w:sz w:val="18"/>
      <w:szCs w:val="18"/>
      <w:lang w:val="en-US"/>
    </w:rPr>
  </w:style>
  <w:style w:type="paragraph" w:customStyle="1" w:styleId="xl44">
    <w:name w:val="xl44"/>
    <w:basedOn w:val="Normal"/>
    <w:pPr>
      <w:pBdr>
        <w:top w:val="single" w:sz="4" w:space="0" w:color="auto"/>
      </w:pBdr>
      <w:shd w:val="clear" w:color="auto" w:fill="FFCC99"/>
      <w:spacing w:before="100" w:beforeAutospacing="1" w:after="100" w:afterAutospacing="1"/>
      <w:jc w:val="center"/>
    </w:pPr>
    <w:rPr>
      <w:rFonts w:ascii="Arial" w:eastAsia="Arial Unicode MS" w:hAnsi="Arial" w:cs="Arial"/>
      <w:sz w:val="18"/>
      <w:szCs w:val="18"/>
      <w:lang w:val="en-US"/>
    </w:rPr>
  </w:style>
  <w:style w:type="paragraph" w:customStyle="1" w:styleId="xl45">
    <w:name w:val="xl45"/>
    <w:basedOn w:val="Normal"/>
    <w:pPr>
      <w:pBdr>
        <w:left w:val="single" w:sz="4" w:space="0" w:color="auto"/>
      </w:pBdr>
      <w:shd w:val="clear" w:color="auto" w:fill="FFCC99"/>
      <w:spacing w:before="100" w:beforeAutospacing="1" w:after="100" w:afterAutospacing="1"/>
      <w:jc w:val="center"/>
    </w:pPr>
    <w:rPr>
      <w:rFonts w:ascii="Arial" w:eastAsia="Arial Unicode MS" w:hAnsi="Arial" w:cs="Arial"/>
      <w:b/>
      <w:bCs/>
      <w:sz w:val="18"/>
      <w:szCs w:val="18"/>
      <w:lang w:val="en-US"/>
    </w:rPr>
  </w:style>
  <w:style w:type="paragraph" w:customStyle="1" w:styleId="xl46">
    <w:name w:val="xl46"/>
    <w:basedOn w:val="Normal"/>
    <w:pPr>
      <w:spacing w:before="100" w:beforeAutospacing="1" w:after="100" w:afterAutospacing="1"/>
      <w:jc w:val="center"/>
    </w:pPr>
    <w:rPr>
      <w:rFonts w:ascii="Arial" w:eastAsia="Arial Unicode MS" w:hAnsi="Arial" w:cs="Arial"/>
      <w:color w:val="FF0000"/>
      <w:sz w:val="44"/>
      <w:szCs w:val="44"/>
      <w:lang w:val="en-US"/>
    </w:rPr>
  </w:style>
  <w:style w:type="paragraph" w:customStyle="1" w:styleId="xl47">
    <w:name w:val="xl47"/>
    <w:basedOn w:val="Normal"/>
    <w:pPr>
      <w:spacing w:before="100" w:beforeAutospacing="1" w:after="100" w:afterAutospacing="1"/>
      <w:jc w:val="center"/>
    </w:pPr>
    <w:rPr>
      <w:rFonts w:ascii="Arial" w:eastAsia="Arial Unicode MS" w:hAnsi="Arial" w:cs="Arial"/>
      <w:b/>
      <w:bCs/>
      <w:sz w:val="18"/>
      <w:szCs w:val="18"/>
      <w:lang w:val="en-US"/>
    </w:rPr>
  </w:style>
  <w:style w:type="paragraph" w:customStyle="1" w:styleId="xl48">
    <w:name w:val="xl48"/>
    <w:basedOn w:val="Normal"/>
    <w:pPr>
      <w:spacing w:before="100" w:beforeAutospacing="1" w:after="100" w:afterAutospacing="1"/>
      <w:jc w:val="center"/>
    </w:pPr>
    <w:rPr>
      <w:rFonts w:ascii="Arial" w:eastAsia="Arial Unicode MS" w:hAnsi="Arial" w:cs="Arial"/>
      <w:b/>
      <w:bCs/>
      <w:sz w:val="16"/>
      <w:szCs w:val="16"/>
      <w:lang w:val="en-US"/>
    </w:rPr>
  </w:style>
  <w:style w:type="paragraph" w:customStyle="1" w:styleId="xl49">
    <w:name w:val="xl49"/>
    <w:basedOn w:val="Normal"/>
    <w:pPr>
      <w:pBdr>
        <w:top w:val="single" w:sz="4" w:space="0" w:color="auto"/>
        <w:left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50">
    <w:name w:val="xl50"/>
    <w:basedOn w:val="Normal"/>
    <w:pPr>
      <w:pBdr>
        <w:left w:val="single" w:sz="4" w:space="0" w:color="auto"/>
      </w:pBdr>
      <w:shd w:val="clear" w:color="auto" w:fill="FFCC99"/>
      <w:spacing w:before="100" w:beforeAutospacing="1" w:after="100" w:afterAutospacing="1"/>
      <w:jc w:val="center"/>
    </w:pPr>
    <w:rPr>
      <w:rFonts w:ascii="Arial" w:eastAsia="Arial Unicode MS" w:hAnsi="Arial" w:cs="Arial"/>
      <w:b/>
      <w:bCs/>
      <w:i/>
      <w:iCs/>
      <w:sz w:val="18"/>
      <w:szCs w:val="18"/>
      <w:lang w:val="en-US"/>
    </w:rPr>
  </w:style>
  <w:style w:type="paragraph" w:customStyle="1" w:styleId="xl51">
    <w:name w:val="xl51"/>
    <w:basedOn w:val="Normal"/>
    <w:pPr>
      <w:pBdr>
        <w:left w:val="single" w:sz="4" w:space="0" w:color="auto"/>
        <w:bottom w:val="single" w:sz="4" w:space="0" w:color="auto"/>
      </w:pBdr>
      <w:shd w:val="clear" w:color="auto" w:fill="FFCC99"/>
      <w:spacing w:before="100" w:beforeAutospacing="1" w:after="100" w:afterAutospacing="1"/>
      <w:jc w:val="center"/>
    </w:pPr>
    <w:rPr>
      <w:rFonts w:ascii="Arial" w:eastAsia="Arial Unicode MS" w:hAnsi="Arial" w:cs="Arial"/>
      <w:b/>
      <w:bCs/>
      <w:i/>
      <w:iCs/>
      <w:sz w:val="18"/>
      <w:szCs w:val="18"/>
      <w:lang w:val="en-US"/>
    </w:rPr>
  </w:style>
  <w:style w:type="paragraph" w:customStyle="1" w:styleId="xl52">
    <w:name w:val="xl52"/>
    <w:basedOn w:val="Normal"/>
    <w:pPr>
      <w:pBdr>
        <w:top w:val="single" w:sz="4" w:space="0" w:color="auto"/>
        <w:left w:val="single" w:sz="4" w:space="0" w:color="auto"/>
      </w:pBdr>
      <w:shd w:val="clear" w:color="auto" w:fill="FFCC99"/>
      <w:spacing w:before="100" w:beforeAutospacing="1" w:after="100" w:afterAutospacing="1"/>
      <w:jc w:val="center"/>
    </w:pPr>
    <w:rPr>
      <w:rFonts w:ascii="Arial" w:eastAsia="Arial Unicode MS" w:hAnsi="Arial" w:cs="Arial"/>
      <w:b/>
      <w:bCs/>
      <w:i/>
      <w:iCs/>
      <w:sz w:val="18"/>
      <w:szCs w:val="18"/>
      <w:lang w:val="en-US"/>
    </w:rPr>
  </w:style>
  <w:style w:type="paragraph" w:customStyle="1" w:styleId="xl53">
    <w:name w:val="xl53"/>
    <w:basedOn w:val="Normal"/>
    <w:pPr>
      <w:pBdr>
        <w:left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54">
    <w:name w:val="xl54"/>
    <w:basedOn w:val="Normal"/>
    <w:pPr>
      <w:pBdr>
        <w:top w:val="single" w:sz="4" w:space="0" w:color="auto"/>
        <w:left w:val="single" w:sz="4" w:space="0" w:color="auto"/>
      </w:pBdr>
      <w:shd w:val="clear" w:color="auto" w:fill="FFCC99"/>
      <w:spacing w:before="100" w:beforeAutospacing="1" w:after="100" w:afterAutospacing="1"/>
      <w:jc w:val="center"/>
    </w:pPr>
    <w:rPr>
      <w:rFonts w:ascii="Arial" w:eastAsia="Arial Unicode MS" w:hAnsi="Arial" w:cs="Arial"/>
      <w:b/>
      <w:bCs/>
      <w:sz w:val="18"/>
      <w:szCs w:val="18"/>
      <w:lang w:val="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ECA"/>
    <w:rPr>
      <w:rFonts w:ascii="Tahoma" w:hAnsi="Tahoma" w:cs="Tahoma"/>
      <w:sz w:val="16"/>
      <w:szCs w:val="16"/>
      <w:lang w:val="x-none" w:eastAsia="en-US"/>
    </w:rPr>
  </w:style>
  <w:style w:type="paragraph" w:customStyle="1" w:styleId="Style1">
    <w:name w:val="Style1"/>
    <w:basedOn w:val="TOC3"/>
    <w:rPr>
      <w:rFonts w:ascii="Arial" w:hAnsi="Arial"/>
      <w:b/>
      <w:caps/>
      <w:sz w:val="22"/>
    </w:rPr>
  </w:style>
  <w:style w:type="paragraph" w:customStyle="1" w:styleId="Style2">
    <w:name w:val="Style2"/>
    <w:basedOn w:val="TOC3"/>
    <w:rPr>
      <w:rFonts w:ascii="Helvetica" w:hAnsi="Helvetica"/>
      <w:b/>
      <w:caps/>
      <w:sz w:val="22"/>
      <w:szCs w:val="22"/>
    </w:rPr>
  </w:style>
  <w:style w:type="paragraph" w:customStyle="1" w:styleId="Style3">
    <w:name w:val="Style3"/>
    <w:basedOn w:val="TOC3"/>
    <w:autoRedefine/>
    <w:rPr>
      <w:rFonts w:ascii="Arial" w:hAnsi="Arial"/>
    </w:rPr>
  </w:style>
  <w:style w:type="paragraph" w:customStyle="1" w:styleId="execsumm">
    <w:name w:val="exec summ"/>
    <w:basedOn w:val="Heading1"/>
    <w:autoRedefine/>
    <w:rPr>
      <w:rFonts w:ascii="Arial" w:hAnsi="Arial" w:cs="Arial"/>
      <w:szCs w:val="32"/>
    </w:rPr>
  </w:style>
  <w:style w:type="paragraph" w:customStyle="1" w:styleId="Default">
    <w:name w:val="Default"/>
    <w:rsid w:val="00CF3448"/>
    <w:pPr>
      <w:autoSpaceDE w:val="0"/>
      <w:autoSpaceDN w:val="0"/>
      <w:adjustRightInd w:val="0"/>
    </w:pPr>
    <w:rPr>
      <w:color w:val="000000"/>
      <w:sz w:val="24"/>
      <w:szCs w:val="24"/>
    </w:rPr>
  </w:style>
  <w:style w:type="paragraph" w:styleId="ListParagraph">
    <w:name w:val="List Paragraph"/>
    <w:basedOn w:val="Normal"/>
    <w:uiPriority w:val="34"/>
    <w:qFormat/>
    <w:rsid w:val="007E52DD"/>
    <w:pPr>
      <w:ind w:left="720"/>
      <w:contextualSpacing/>
    </w:pPr>
  </w:style>
  <w:style w:type="paragraph" w:styleId="CommentSubject">
    <w:name w:val="annotation subject"/>
    <w:basedOn w:val="CommentText"/>
    <w:next w:val="CommentText"/>
    <w:link w:val="CommentSubjectChar"/>
    <w:uiPriority w:val="99"/>
    <w:semiHidden/>
    <w:unhideWhenUsed/>
    <w:rsid w:val="007E52DD"/>
    <w:rPr>
      <w:b/>
      <w:bCs/>
    </w:rPr>
  </w:style>
  <w:style w:type="character" w:customStyle="1" w:styleId="CommentSubjectChar">
    <w:name w:val="Comment Subject Char"/>
    <w:basedOn w:val="CommentTextChar"/>
    <w:link w:val="CommentSubject"/>
    <w:uiPriority w:val="99"/>
    <w:locked/>
    <w:rsid w:val="007E52DD"/>
    <w:rPr>
      <w:rFonts w:cs="Times New Roman"/>
      <w:lang w:val="x-none" w:eastAsia="en-US"/>
    </w:rPr>
  </w:style>
  <w:style w:type="paragraph" w:customStyle="1" w:styleId="TEXT">
    <w:name w:val="TEXT"/>
    <w:basedOn w:val="Normal"/>
    <w:link w:val="TEXTCharChar"/>
    <w:rsid w:val="00775A12"/>
    <w:pPr>
      <w:spacing w:after="240"/>
      <w:jc w:val="both"/>
    </w:pPr>
    <w:rPr>
      <w:rFonts w:ascii="Optima LT Std Medium" w:eastAsia="MS Mincho" w:hAnsi="Optima LT Std Medium"/>
      <w:color w:val="333333"/>
      <w:spacing w:val="20"/>
      <w:sz w:val="20"/>
      <w:szCs w:val="24"/>
      <w:lang w:eastAsia="ja-JP"/>
    </w:rPr>
  </w:style>
  <w:style w:type="character" w:customStyle="1" w:styleId="TEXTCharChar">
    <w:name w:val="TEXT Char Char"/>
    <w:basedOn w:val="DefaultParagraphFont"/>
    <w:link w:val="TEXT"/>
    <w:locked/>
    <w:rsid w:val="00775A12"/>
    <w:rPr>
      <w:rFonts w:ascii="Optima LT Std Medium" w:eastAsia="MS Mincho" w:hAnsi="Optima LT Std Medium" w:cs="Times New Roman"/>
      <w:color w:val="333333"/>
      <w:spacing w:val="20"/>
      <w:sz w:val="24"/>
      <w:szCs w:val="24"/>
      <w:lang w:val="x-none" w:eastAsia="ja-JP"/>
    </w:rPr>
  </w:style>
  <w:style w:type="paragraph" w:customStyle="1" w:styleId="TABLEHEADER">
    <w:name w:val="TABLE HEADER"/>
    <w:basedOn w:val="Normal"/>
    <w:next w:val="TEXT"/>
    <w:rsid w:val="00775A12"/>
    <w:pPr>
      <w:tabs>
        <w:tab w:val="left" w:pos="1134"/>
      </w:tabs>
      <w:spacing w:after="120"/>
      <w:ind w:left="1134" w:hanging="1134"/>
      <w:outlineLvl w:val="5"/>
    </w:pPr>
    <w:rPr>
      <w:rFonts w:ascii="Optima LT Std DemiBold" w:eastAsia="MS Mincho" w:hAnsi="Optima LT Std DemiBold"/>
      <w:color w:val="00264C"/>
      <w:spacing w:val="20"/>
      <w:sz w:val="20"/>
      <w:szCs w:val="24"/>
      <w:lang w:eastAsia="ja-JP"/>
    </w:rPr>
  </w:style>
  <w:style w:type="character" w:styleId="Strong">
    <w:name w:val="Strong"/>
    <w:basedOn w:val="DefaultParagraphFont"/>
    <w:uiPriority w:val="22"/>
    <w:qFormat/>
    <w:rsid w:val="00A01ECA"/>
    <w:rPr>
      <w:b/>
      <w:bCs/>
    </w:rPr>
  </w:style>
  <w:style w:type="paragraph" w:customStyle="1" w:styleId="bodytextfp">
    <w:name w:val="bodytextfp"/>
    <w:basedOn w:val="Normal"/>
    <w:rsid w:val="00A01ECA"/>
    <w:pPr>
      <w:spacing w:before="100" w:beforeAutospacing="1" w:after="100" w:afterAutospacing="1"/>
    </w:pPr>
    <w:rPr>
      <w:rFonts w:ascii="Verdana" w:hAnsi="Verdana"/>
      <w:sz w:val="18"/>
      <w:szCs w:val="18"/>
    </w:rPr>
  </w:style>
  <w:style w:type="paragraph" w:styleId="NoSpacing">
    <w:name w:val="No Spacing"/>
    <w:uiPriority w:val="1"/>
    <w:qFormat/>
    <w:rsid w:val="00A01ECA"/>
    <w:rPr>
      <w:rFonts w:ascii="Calibri" w:hAnsi="Calibri"/>
      <w:sz w:val="24"/>
    </w:rPr>
  </w:style>
  <w:style w:type="table" w:styleId="TableGrid">
    <w:name w:val="Table Grid"/>
    <w:basedOn w:val="TableNormal"/>
    <w:uiPriority w:val="59"/>
    <w:rsid w:val="003D7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sText">
    <w:name w:val="References Text"/>
    <w:basedOn w:val="BodyText"/>
    <w:rsid w:val="0054288E"/>
    <w:pPr>
      <w:spacing w:after="227" w:line="300" w:lineRule="exact"/>
      <w:jc w:val="left"/>
    </w:pPr>
    <w:rPr>
      <w:rFonts w:ascii="Palatino" w:hAnsi="Palatino"/>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2F"/>
    <w:rPr>
      <w:rFonts w:ascii="Calibri" w:hAnsi="Calibri"/>
      <w:sz w:val="24"/>
    </w:rPr>
  </w:style>
  <w:style w:type="paragraph" w:styleId="Heading1">
    <w:name w:val="heading 1"/>
    <w:aliases w:val="H-1"/>
    <w:basedOn w:val="Normal"/>
    <w:next w:val="Normal"/>
    <w:link w:val="Heading1Char"/>
    <w:autoRedefine/>
    <w:qFormat/>
    <w:rsid w:val="0067682F"/>
    <w:pPr>
      <w:keepNext/>
      <w:pBdr>
        <w:bottom w:val="single" w:sz="4" w:space="1" w:color="auto"/>
      </w:pBdr>
      <w:spacing w:after="120"/>
      <w:outlineLvl w:val="0"/>
    </w:pPr>
    <w:rPr>
      <w:b/>
      <w:smallCaps/>
      <w:sz w:val="52"/>
      <w:szCs w:val="52"/>
    </w:rPr>
  </w:style>
  <w:style w:type="paragraph" w:styleId="Heading2">
    <w:name w:val="heading 2"/>
    <w:aliases w:val="H-2"/>
    <w:basedOn w:val="Normal"/>
    <w:next w:val="Normal"/>
    <w:link w:val="Heading2Char"/>
    <w:autoRedefine/>
    <w:qFormat/>
    <w:rsid w:val="00153F3E"/>
    <w:pPr>
      <w:keepNext/>
      <w:spacing w:before="240" w:after="120"/>
      <w:outlineLvl w:val="1"/>
    </w:pPr>
    <w:rPr>
      <w:b/>
      <w:sz w:val="28"/>
    </w:rPr>
  </w:style>
  <w:style w:type="paragraph" w:styleId="Heading3">
    <w:name w:val="heading 3"/>
    <w:aliases w:val="H-3"/>
    <w:basedOn w:val="Normal"/>
    <w:next w:val="Normal"/>
    <w:link w:val="Heading3Char"/>
    <w:qFormat/>
    <w:rsid w:val="0067682F"/>
    <w:pPr>
      <w:keepNext/>
      <w:spacing w:after="80"/>
      <w:outlineLvl w:val="2"/>
    </w:pPr>
    <w:rPr>
      <w:b/>
    </w:rPr>
  </w:style>
  <w:style w:type="paragraph" w:styleId="Heading4">
    <w:name w:val="heading 4"/>
    <w:aliases w:val="H-4"/>
    <w:basedOn w:val="Normal"/>
    <w:next w:val="Normal"/>
    <w:link w:val="Heading4Char"/>
    <w:qFormat/>
    <w:rsid w:val="0067682F"/>
    <w:pPr>
      <w:keepNext/>
      <w:spacing w:after="80"/>
      <w:outlineLvl w:val="3"/>
    </w:pPr>
    <w:rPr>
      <w:u w:val="single"/>
    </w:rPr>
  </w:style>
  <w:style w:type="paragraph" w:styleId="Heading5">
    <w:name w:val="heading 5"/>
    <w:basedOn w:val="Normal"/>
    <w:next w:val="Normal"/>
    <w:link w:val="Heading5Char"/>
    <w:autoRedefine/>
    <w:qFormat/>
    <w:rsid w:val="0067682F"/>
    <w:pPr>
      <w:keepNext/>
      <w:outlineLvl w:val="4"/>
    </w:pPr>
    <w:rPr>
      <w:sz w:val="36"/>
    </w:rPr>
  </w:style>
  <w:style w:type="paragraph" w:styleId="Heading6">
    <w:name w:val="heading 6"/>
    <w:basedOn w:val="Normal"/>
    <w:next w:val="Normal"/>
    <w:link w:val="Heading6Char"/>
    <w:qFormat/>
    <w:rsid w:val="0067682F"/>
    <w:pPr>
      <w:keepNext/>
      <w:ind w:left="2880" w:firstLine="720"/>
      <w:outlineLvl w:val="5"/>
    </w:pPr>
    <w:rPr>
      <w:rFonts w:ascii="Arial" w:hAnsi="Arial"/>
      <w:b/>
      <w:sz w:val="20"/>
    </w:rPr>
  </w:style>
  <w:style w:type="paragraph" w:styleId="Heading7">
    <w:name w:val="heading 7"/>
    <w:basedOn w:val="Normal"/>
    <w:next w:val="Normal"/>
    <w:link w:val="Heading7Char"/>
    <w:qFormat/>
    <w:rsid w:val="0067682F"/>
    <w:pPr>
      <w:keepNext/>
      <w:ind w:left="2880"/>
      <w:outlineLvl w:val="6"/>
    </w:pPr>
    <w:rPr>
      <w:rFonts w:ascii="Arial" w:hAnsi="Arial"/>
      <w:b/>
      <w:sz w:val="20"/>
    </w:rPr>
  </w:style>
  <w:style w:type="paragraph" w:styleId="Heading8">
    <w:name w:val="heading 8"/>
    <w:basedOn w:val="Normal"/>
    <w:next w:val="Normal"/>
    <w:link w:val="Heading8Char"/>
    <w:qFormat/>
    <w:rsid w:val="0067682F"/>
    <w:pPr>
      <w:keepNext/>
      <w:ind w:left="993"/>
      <w:outlineLvl w:val="7"/>
    </w:pPr>
    <w:rPr>
      <w:rFonts w:ascii="Arial" w:hAnsi="Arial"/>
      <w:i/>
      <w:color w:val="0000FF"/>
      <w:sz w:val="20"/>
    </w:rPr>
  </w:style>
  <w:style w:type="paragraph" w:styleId="Heading9">
    <w:name w:val="heading 9"/>
    <w:basedOn w:val="Normal"/>
    <w:next w:val="Normal"/>
    <w:link w:val="Heading9Char"/>
    <w:qFormat/>
    <w:rsid w:val="0067682F"/>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locked/>
    <w:rsid w:val="0067682F"/>
    <w:rPr>
      <w:rFonts w:ascii="Calibri" w:hAnsi="Calibri"/>
      <w:b/>
      <w:smallCaps/>
      <w:sz w:val="52"/>
      <w:szCs w:val="52"/>
    </w:rPr>
  </w:style>
  <w:style w:type="character" w:customStyle="1" w:styleId="Heading2Char">
    <w:name w:val="Heading 2 Char"/>
    <w:aliases w:val="H-2 Char"/>
    <w:basedOn w:val="DefaultParagraphFont"/>
    <w:link w:val="Heading2"/>
    <w:locked/>
    <w:rsid w:val="00153F3E"/>
    <w:rPr>
      <w:rFonts w:ascii="Calibri" w:hAnsi="Calibri"/>
      <w:b/>
      <w:sz w:val="28"/>
    </w:rPr>
  </w:style>
  <w:style w:type="character" w:customStyle="1" w:styleId="Heading3Char">
    <w:name w:val="Heading 3 Char"/>
    <w:aliases w:val="H-3 Char"/>
    <w:basedOn w:val="DefaultParagraphFont"/>
    <w:link w:val="Heading3"/>
    <w:locked/>
    <w:rsid w:val="0067682F"/>
    <w:rPr>
      <w:rFonts w:ascii="Calibri" w:hAnsi="Calibri"/>
      <w:b/>
      <w:sz w:val="24"/>
    </w:rPr>
  </w:style>
  <w:style w:type="character" w:customStyle="1" w:styleId="Heading4Char">
    <w:name w:val="Heading 4 Char"/>
    <w:aliases w:val="H-4 Char"/>
    <w:basedOn w:val="DefaultParagraphFont"/>
    <w:link w:val="Heading4"/>
    <w:locked/>
    <w:rsid w:val="0067682F"/>
    <w:rPr>
      <w:rFonts w:ascii="Calibri" w:hAnsi="Calibri"/>
      <w:sz w:val="24"/>
      <w:u w:val="single"/>
    </w:rPr>
  </w:style>
  <w:style w:type="character" w:customStyle="1" w:styleId="Heading5Char">
    <w:name w:val="Heading 5 Char"/>
    <w:basedOn w:val="DefaultParagraphFont"/>
    <w:link w:val="Heading5"/>
    <w:locked/>
    <w:rsid w:val="0067682F"/>
    <w:rPr>
      <w:rFonts w:ascii="Calibri" w:hAnsi="Calibri"/>
      <w:sz w:val="36"/>
    </w:rPr>
  </w:style>
  <w:style w:type="character" w:customStyle="1" w:styleId="Heading6Char">
    <w:name w:val="Heading 6 Char"/>
    <w:basedOn w:val="DefaultParagraphFont"/>
    <w:link w:val="Heading6"/>
    <w:locked/>
    <w:rsid w:val="0067682F"/>
    <w:rPr>
      <w:rFonts w:ascii="Arial" w:hAnsi="Arial"/>
      <w:b/>
    </w:rPr>
  </w:style>
  <w:style w:type="character" w:customStyle="1" w:styleId="Heading7Char">
    <w:name w:val="Heading 7 Char"/>
    <w:basedOn w:val="DefaultParagraphFont"/>
    <w:link w:val="Heading7"/>
    <w:locked/>
    <w:rsid w:val="0067682F"/>
    <w:rPr>
      <w:rFonts w:ascii="Arial" w:hAnsi="Arial"/>
      <w:b/>
    </w:rPr>
  </w:style>
  <w:style w:type="character" w:customStyle="1" w:styleId="Heading8Char">
    <w:name w:val="Heading 8 Char"/>
    <w:basedOn w:val="DefaultParagraphFont"/>
    <w:link w:val="Heading8"/>
    <w:locked/>
    <w:rsid w:val="0067682F"/>
    <w:rPr>
      <w:rFonts w:ascii="Arial" w:hAnsi="Arial"/>
      <w:i/>
      <w:color w:val="0000FF"/>
    </w:rPr>
  </w:style>
  <w:style w:type="character" w:customStyle="1" w:styleId="Heading9Char">
    <w:name w:val="Heading 9 Char"/>
    <w:basedOn w:val="DefaultParagraphFont"/>
    <w:link w:val="Heading9"/>
    <w:locked/>
    <w:rsid w:val="0067682F"/>
    <w:rPr>
      <w:rFonts w:ascii="Calibri" w:hAnsi="Calibri"/>
      <w:b/>
      <w:snapToGrid w:val="0"/>
      <w:color w:val="000000"/>
      <w:sz w:val="28"/>
      <w:lang w:val="en-US"/>
    </w:rPr>
  </w:style>
  <w:style w:type="paragraph" w:styleId="BodyText2">
    <w:name w:val="Body Text 2"/>
    <w:basedOn w:val="Normal"/>
    <w:link w:val="BodyText2Char"/>
    <w:uiPriority w:val="99"/>
    <w:pPr>
      <w:numPr>
        <w:ilvl w:val="1"/>
        <w:numId w:val="2"/>
      </w:numPr>
      <w:spacing w:after="120"/>
    </w:pPr>
    <w:rPr>
      <w:color w:val="000000"/>
      <w:sz w:val="20"/>
    </w:rPr>
  </w:style>
  <w:style w:type="character" w:customStyle="1" w:styleId="BodyText2Char">
    <w:name w:val="Body Text 2 Char"/>
    <w:basedOn w:val="DefaultParagraphFont"/>
    <w:link w:val="BodyText2"/>
    <w:uiPriority w:val="99"/>
    <w:locked/>
    <w:rPr>
      <w:rFonts w:ascii="Calibri" w:hAnsi="Calibri" w:cs="Times New Roman"/>
      <w:color w:val="00000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sid w:val="00A01ECA"/>
    <w:rPr>
      <w:rFonts w:cs="Times New Roman"/>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A06C9A"/>
    <w:rPr>
      <w:rFonts w:cs="Times New Roman"/>
      <w:sz w:val="24"/>
      <w:lang w:val="x-none" w:eastAsia="en-US"/>
    </w:rPr>
  </w:style>
  <w:style w:type="character" w:styleId="PageNumber">
    <w:name w:val="page number"/>
    <w:basedOn w:val="DefaultParagraphFont"/>
    <w:uiPriority w:val="99"/>
    <w:rPr>
      <w:rFonts w:cs="Times New Roman"/>
    </w:rPr>
  </w:style>
  <w:style w:type="character" w:styleId="FootnoteReference">
    <w:name w:val="footnote reference"/>
    <w:basedOn w:val="DefaultParagraphFont"/>
    <w:uiPriority w:val="99"/>
    <w:semiHidden/>
    <w:rPr>
      <w:rFonts w:cs="Times New Roman"/>
      <w:vertAlign w:val="superscript"/>
    </w:rPr>
  </w:style>
  <w:style w:type="character" w:styleId="Hyperlink">
    <w:name w:val="Hyperlink"/>
    <w:basedOn w:val="DefaultParagraphFont"/>
    <w:uiPriority w:val="99"/>
    <w:rPr>
      <w:rFonts w:cs="Times New Roman"/>
      <w:color w:val="0000FF"/>
      <w:u w:val="single"/>
    </w:rPr>
  </w:style>
  <w:style w:type="paragraph" w:customStyle="1" w:styleId="textnos">
    <w:name w:val="text no's"/>
    <w:basedOn w:val="Normal"/>
    <w:pPr>
      <w:tabs>
        <w:tab w:val="left" w:pos="411"/>
        <w:tab w:val="left" w:pos="695"/>
        <w:tab w:val="left" w:pos="851"/>
        <w:tab w:val="left" w:pos="1134"/>
        <w:tab w:val="left" w:pos="1276"/>
        <w:tab w:val="left" w:pos="1418"/>
      </w:tabs>
      <w:spacing w:before="113" w:line="280" w:lineRule="exact"/>
      <w:ind w:left="397" w:hanging="397"/>
    </w:pPr>
    <w:rPr>
      <w:rFonts w:ascii="Garamond" w:hAnsi="Garamond"/>
      <w:lang w:val="en-US"/>
    </w:rPr>
  </w:style>
  <w:style w:type="paragraph" w:styleId="FootnoteText">
    <w:name w:val="footnote text"/>
    <w:aliases w:val="F-t"/>
    <w:basedOn w:val="Normal"/>
    <w:link w:val="FootnoteTextChar"/>
    <w:uiPriority w:val="99"/>
    <w:semiHidden/>
    <w:rPr>
      <w:sz w:val="20"/>
    </w:rPr>
  </w:style>
  <w:style w:type="character" w:customStyle="1" w:styleId="FootnoteTextChar">
    <w:name w:val="Footnote Text Char"/>
    <w:aliases w:val="F-t Char"/>
    <w:basedOn w:val="DefaultParagraphFont"/>
    <w:link w:val="FootnoteText"/>
    <w:uiPriority w:val="99"/>
    <w:semiHidden/>
    <w:locked/>
    <w:rsid w:val="00775A12"/>
    <w:rPr>
      <w:rFonts w:cs="Times New Roman"/>
      <w:lang w:val="x-none" w:eastAsia="en-US"/>
    </w:rPr>
  </w:style>
  <w:style w:type="paragraph" w:styleId="TOC1">
    <w:name w:val="toc 1"/>
    <w:basedOn w:val="Normal"/>
    <w:next w:val="Normal"/>
    <w:autoRedefine/>
    <w:uiPriority w:val="39"/>
    <w:pPr>
      <w:spacing w:before="120" w:after="120"/>
    </w:pPr>
    <w:rPr>
      <w:b/>
      <w:bCs/>
      <w:caps/>
      <w:sz w:val="20"/>
    </w:rPr>
  </w:style>
  <w:style w:type="paragraph" w:styleId="TOC2">
    <w:name w:val="toc 2"/>
    <w:basedOn w:val="Normal"/>
    <w:next w:val="Normal"/>
    <w:autoRedefine/>
    <w:uiPriority w:val="39"/>
    <w:pPr>
      <w:ind w:left="240"/>
    </w:pPr>
    <w:rPr>
      <w:smallCaps/>
      <w:sz w:val="20"/>
    </w:rPr>
  </w:style>
  <w:style w:type="paragraph" w:styleId="TOC3">
    <w:name w:val="toc 3"/>
    <w:basedOn w:val="Normal"/>
    <w:next w:val="Normal"/>
    <w:autoRedefine/>
    <w:uiPriority w:val="39"/>
    <w:pPr>
      <w:ind w:left="480"/>
    </w:pPr>
    <w:rPr>
      <w:i/>
      <w:iCs/>
      <w:sz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styleId="BodyText">
    <w:name w:val="Body Text"/>
    <w:basedOn w:val="Normal"/>
    <w:link w:val="BodyTextChar"/>
    <w:uiPriority w:val="99"/>
    <w:pPr>
      <w:jc w:val="center"/>
    </w:pPr>
    <w:rPr>
      <w:b/>
      <w:sz w:val="32"/>
    </w:rPr>
  </w:style>
  <w:style w:type="character" w:customStyle="1" w:styleId="BodyTextChar">
    <w:name w:val="Body Text Char"/>
    <w:basedOn w:val="DefaultParagraphFont"/>
    <w:link w:val="BodyText"/>
    <w:uiPriority w:val="99"/>
    <w:locked/>
    <w:rsid w:val="00DF0651"/>
    <w:rPr>
      <w:rFonts w:cs="Times New Roman"/>
      <w:b/>
      <w:sz w:val="32"/>
      <w:lang w:val="x-none" w:eastAsia="en-US"/>
    </w:rPr>
  </w:style>
  <w:style w:type="paragraph" w:styleId="BodyText3">
    <w:name w:val="Body Text 3"/>
    <w:basedOn w:val="Normal"/>
    <w:link w:val="BodyText3Char"/>
    <w:uiPriority w:val="99"/>
    <w:pPr>
      <w:numPr>
        <w:ilvl w:val="2"/>
        <w:numId w:val="2"/>
      </w:numPr>
      <w:spacing w:after="120"/>
    </w:pPr>
    <w:rPr>
      <w:sz w:val="16"/>
    </w:rPr>
  </w:style>
  <w:style w:type="character" w:customStyle="1" w:styleId="BodyText3Char">
    <w:name w:val="Body Text 3 Char"/>
    <w:basedOn w:val="DefaultParagraphFont"/>
    <w:link w:val="BodyText3"/>
    <w:uiPriority w:val="99"/>
    <w:locked/>
    <w:rPr>
      <w:rFonts w:ascii="Calibri" w:hAnsi="Calibri" w:cs="Times New Roman"/>
      <w:sz w:val="16"/>
      <w:lang w:val="x-none" w:eastAsia="en-US"/>
    </w:rPr>
  </w:style>
  <w:style w:type="character" w:styleId="FollowedHyperlink">
    <w:name w:val="FollowedHyperlink"/>
    <w:basedOn w:val="DefaultParagraphFont"/>
    <w:uiPriority w:val="99"/>
    <w:rPr>
      <w:rFonts w:cs="Times New Roman"/>
      <w:color w:val="800080"/>
      <w:u w:val="single"/>
    </w:rPr>
  </w:style>
  <w:style w:type="paragraph" w:styleId="Subtitle">
    <w:name w:val="Subtitle"/>
    <w:basedOn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locked/>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pPr>
      <w:spacing w:before="100" w:after="100"/>
    </w:pPr>
    <w:rPr>
      <w:rFonts w:ascii="Arial" w:eastAsia="Arial Unicode MS" w:hAnsi="Arial"/>
      <w:sz w:val="22"/>
      <w:lang w:val="en-US"/>
    </w:rPr>
  </w:style>
  <w:style w:type="paragraph" w:styleId="TableofFigures">
    <w:name w:val="table of figures"/>
    <w:basedOn w:val="Normal"/>
    <w:next w:val="Normal"/>
    <w:uiPriority w:val="99"/>
    <w:semiHidden/>
    <w:pPr>
      <w:ind w:left="480" w:hanging="480"/>
    </w:pPr>
  </w:style>
  <w:style w:type="paragraph" w:customStyle="1" w:styleId="14pointpalatino">
    <w:name w:val="14 point palatino"/>
    <w:basedOn w:val="Normal"/>
    <w:rPr>
      <w:rFonts w:ascii="Palatino" w:hAnsi="Palatino"/>
      <w:b/>
      <w:sz w:val="28"/>
    </w:rPr>
  </w:style>
  <w:style w:type="paragraph" w:customStyle="1" w:styleId="NormalSpace">
    <w:name w:val="Normal + Space"/>
    <w:basedOn w:val="Normal"/>
    <w:pPr>
      <w:spacing w:after="240"/>
    </w:pPr>
    <w:rPr>
      <w:rFonts w:ascii="Arial" w:hAnsi="Arial"/>
      <w:sz w:val="22"/>
    </w:rPr>
  </w:style>
  <w:style w:type="paragraph" w:styleId="BodyTextIndent">
    <w:name w:val="Body Text Indent"/>
    <w:basedOn w:val="Normal"/>
    <w:link w:val="BodyTextIndentChar"/>
    <w:uiPriority w:val="99"/>
    <w:pPr>
      <w:spacing w:after="80"/>
      <w:ind w:left="360"/>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styleId="BodyTextIndent2">
    <w:name w:val="Body Text Indent 2"/>
    <w:basedOn w:val="Normal"/>
    <w:link w:val="BodyTextIndent2Char"/>
    <w:uiPriority w:val="99"/>
    <w:pPr>
      <w:spacing w:after="80"/>
      <w:ind w:left="1440" w:hanging="1440"/>
    </w:pPr>
    <w:rPr>
      <w:b/>
    </w:rPr>
  </w:style>
  <w:style w:type="character" w:customStyle="1" w:styleId="BodyTextIndent2Char">
    <w:name w:val="Body Text Indent 2 Char"/>
    <w:basedOn w:val="DefaultParagraphFont"/>
    <w:link w:val="BodyTextIndent2"/>
    <w:uiPriority w:val="99"/>
    <w:semiHidden/>
    <w:locked/>
    <w:rPr>
      <w:rFonts w:cs="Times New Roman"/>
      <w:sz w:val="24"/>
      <w:lang w:val="x-none" w:eastAsia="en-US"/>
    </w:rPr>
  </w:style>
  <w:style w:type="paragraph" w:styleId="Title">
    <w:name w:val="Title"/>
    <w:basedOn w:val="Normal"/>
    <w:link w:val="TitleChar"/>
    <w:autoRedefine/>
    <w:qFormat/>
    <w:rsid w:val="00096397"/>
    <w:rPr>
      <w:sz w:val="36"/>
    </w:rPr>
  </w:style>
  <w:style w:type="character" w:customStyle="1" w:styleId="TitleChar">
    <w:name w:val="Title Char"/>
    <w:basedOn w:val="DefaultParagraphFont"/>
    <w:link w:val="Title"/>
    <w:locked/>
    <w:rsid w:val="00096397"/>
    <w:rPr>
      <w:rFonts w:ascii="Calibri" w:hAnsi="Calibri"/>
      <w:sz w:val="36"/>
    </w:rPr>
  </w:style>
  <w:style w:type="paragraph" w:styleId="Caption">
    <w:name w:val="caption"/>
    <w:basedOn w:val="Normal"/>
    <w:next w:val="Normal"/>
    <w:qFormat/>
    <w:rsid w:val="0067682F"/>
    <w:pPr>
      <w:ind w:left="709"/>
    </w:pPr>
    <w:rPr>
      <w:rFonts w:ascii="Arial" w:hAnsi="Arial"/>
      <w:b/>
      <w:sz w:val="20"/>
    </w:rPr>
  </w:style>
  <w:style w:type="paragraph" w:styleId="BodyTextIndent3">
    <w:name w:val="Body Text Indent 3"/>
    <w:basedOn w:val="Normal"/>
    <w:link w:val="BodyTextIndent3Char"/>
    <w:uiPriority w:val="99"/>
    <w:pPr>
      <w:spacing w:after="80"/>
      <w:ind w:left="720"/>
    </w:pPr>
    <w:rPr>
      <w:i/>
    </w:rPr>
  </w:style>
  <w:style w:type="character" w:customStyle="1" w:styleId="BodyTextIndent3Char">
    <w:name w:val="Body Text Indent 3 Char"/>
    <w:basedOn w:val="DefaultParagraphFont"/>
    <w:link w:val="BodyTextIndent3"/>
    <w:uiPriority w:val="99"/>
    <w:semiHidden/>
    <w:locked/>
    <w:rPr>
      <w:rFonts w:cs="Times New Roman"/>
      <w:sz w:val="16"/>
      <w:szCs w:val="16"/>
      <w:lang w:val="x-none" w:eastAsia="en-US"/>
    </w:rPr>
  </w:style>
  <w:style w:type="paragraph" w:customStyle="1" w:styleId="NumberedParagraphs">
    <w:name w:val="Numbered Paragraphs"/>
    <w:basedOn w:val="Normal"/>
    <w:pPr>
      <w:numPr>
        <w:numId w:val="5"/>
      </w:numPr>
      <w:tabs>
        <w:tab w:val="left" w:pos="726"/>
        <w:tab w:val="left" w:pos="1089"/>
        <w:tab w:val="left" w:pos="1452"/>
        <w:tab w:val="left" w:pos="1814"/>
      </w:tabs>
      <w:spacing w:line="360" w:lineRule="auto"/>
    </w:p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H1">
    <w:name w:val="H1"/>
    <w:basedOn w:val="Normal"/>
    <w:next w:val="Normal"/>
    <w:pPr>
      <w:keepNext/>
      <w:spacing w:before="100" w:after="100"/>
      <w:outlineLvl w:val="1"/>
    </w:pPr>
    <w:rPr>
      <w:b/>
      <w:kern w:val="36"/>
      <w:sz w:val="48"/>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lang w:val="x-none" w:eastAsia="en-US"/>
    </w:rPr>
  </w:style>
  <w:style w:type="character" w:styleId="EndnoteReference">
    <w:name w:val="endnote reference"/>
    <w:basedOn w:val="DefaultParagraphFont"/>
    <w:uiPriority w:val="99"/>
    <w:semiHidden/>
    <w:rPr>
      <w:rFonts w:cs="Times New Roman"/>
      <w:vertAlign w:val="superscript"/>
    </w:rPr>
  </w:style>
  <w:style w:type="paragraph" w:customStyle="1" w:styleId="TableTitleS-t">
    <w:name w:val="Table Title S-t"/>
    <w:basedOn w:val="Normal"/>
    <w:next w:val="TablEntryS-e"/>
    <w:pPr>
      <w:keepNext/>
      <w:widowControl w:val="0"/>
      <w:tabs>
        <w:tab w:val="left" w:pos="426"/>
      </w:tabs>
      <w:spacing w:before="120" w:after="60" w:line="280" w:lineRule="atLeast"/>
      <w:jc w:val="both"/>
    </w:pPr>
    <w:rPr>
      <w:rFonts w:ascii="Arial Narrow" w:hAnsi="Arial Narrow"/>
      <w:b/>
      <w:caps/>
      <w:kern w:val="16"/>
      <w:sz w:val="22"/>
    </w:rPr>
  </w:style>
  <w:style w:type="paragraph" w:customStyle="1" w:styleId="TablEntryS-e">
    <w:name w:val="Tabl Entry S-e"/>
    <w:basedOn w:val="Normal"/>
    <w:pPr>
      <w:widowControl w:val="0"/>
      <w:tabs>
        <w:tab w:val="left" w:pos="284"/>
      </w:tabs>
      <w:spacing w:before="100" w:after="80" w:line="260" w:lineRule="atLeast"/>
      <w:jc w:val="both"/>
    </w:pPr>
    <w:rPr>
      <w:rFonts w:ascii="Arial Narrow" w:hAnsi="Arial Narrow"/>
      <w:kern w:val="16"/>
      <w:sz w:val="22"/>
    </w:rPr>
  </w:style>
  <w:style w:type="paragraph" w:customStyle="1" w:styleId="tablecapt">
    <w:name w:val="tablecapt"/>
    <w:basedOn w:val="Normal"/>
    <w:autoRedefine/>
    <w:pPr>
      <w:keepNext/>
      <w:spacing w:before="360" w:after="120" w:line="24" w:lineRule="atLeast"/>
      <w:jc w:val="center"/>
    </w:pPr>
    <w:rPr>
      <w:rFonts w:ascii="Helvetica" w:hAnsi="Helvetica"/>
      <w:b/>
      <w:sz w:val="22"/>
    </w:rPr>
  </w:style>
  <w:style w:type="paragraph" w:customStyle="1" w:styleId="TOCHead1">
    <w:name w:val="TOC Head 1"/>
    <w:basedOn w:val="Normal"/>
    <w:pPr>
      <w:widowControl w:val="0"/>
      <w:tabs>
        <w:tab w:val="left" w:pos="426"/>
        <w:tab w:val="right" w:pos="8647"/>
      </w:tabs>
      <w:spacing w:after="120" w:line="280" w:lineRule="atLeast"/>
    </w:pPr>
    <w:rPr>
      <w:rFonts w:ascii="Arial Narrow" w:hAnsi="Arial Narrow"/>
      <w:b/>
      <w:kern w:val="16"/>
      <w:sz w:val="22"/>
    </w:rPr>
  </w:style>
  <w:style w:type="character" w:styleId="HTMLTypewriter">
    <w:name w:val="HTML Typewriter"/>
    <w:basedOn w:val="DefaultParagraphFont"/>
    <w:uiPriority w:val="99"/>
    <w:rPr>
      <w:rFonts w:ascii="Arial Unicode MS" w:eastAsia="Arial Unicode MS" w:hAnsi="Arial Unicode MS" w:cs="Arial Unicode MS"/>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sid w:val="007E52DD"/>
    <w:rPr>
      <w:rFonts w:cs="Times New Roman"/>
      <w:lang w:val="x-none" w:eastAsia="en-US"/>
    </w:rPr>
  </w:style>
  <w:style w:type="paragraph" w:customStyle="1" w:styleId="xl22">
    <w:name w:val="xl22"/>
    <w:basedOn w:val="Normal"/>
    <w:pPr>
      <w:spacing w:before="100" w:beforeAutospacing="1" w:after="100" w:afterAutospacing="1"/>
      <w:jc w:val="center"/>
    </w:pPr>
    <w:rPr>
      <w:rFonts w:ascii="Arial" w:eastAsia="Arial Unicode MS" w:hAnsi="Arial" w:cs="Arial"/>
      <w:sz w:val="18"/>
      <w:szCs w:val="18"/>
      <w:lang w:val="en-US"/>
    </w:rPr>
  </w:style>
  <w:style w:type="paragraph" w:customStyle="1" w:styleId="xl23">
    <w:name w:val="xl23"/>
    <w:basedOn w:val="Normal"/>
    <w:pPr>
      <w:pBdr>
        <w:bottom w:val="single" w:sz="4" w:space="0" w:color="auto"/>
      </w:pBdr>
      <w:spacing w:before="100" w:beforeAutospacing="1" w:after="100" w:afterAutospacing="1"/>
    </w:pPr>
    <w:rPr>
      <w:rFonts w:ascii="Arial" w:eastAsia="Arial Unicode MS" w:hAnsi="Arial" w:cs="Arial"/>
      <w:sz w:val="18"/>
      <w:szCs w:val="18"/>
      <w:lang w:val="en-US"/>
    </w:rPr>
  </w:style>
  <w:style w:type="paragraph" w:customStyle="1" w:styleId="xl24">
    <w:name w:val="xl24"/>
    <w:basedOn w:val="Normal"/>
    <w:pPr>
      <w:spacing w:before="100" w:beforeAutospacing="1" w:after="100" w:afterAutospacing="1"/>
    </w:pPr>
    <w:rPr>
      <w:rFonts w:ascii="Arial" w:eastAsia="Arial Unicode MS" w:hAnsi="Arial" w:cs="Arial"/>
      <w:sz w:val="18"/>
      <w:szCs w:val="18"/>
      <w:lang w:val="en-US"/>
    </w:rPr>
  </w:style>
  <w:style w:type="paragraph" w:customStyle="1" w:styleId="xl25">
    <w:name w:val="xl25"/>
    <w:basedOn w:val="Normal"/>
    <w:pPr>
      <w:pBdr>
        <w:top w:val="single" w:sz="4" w:space="0" w:color="auto"/>
        <w:left w:val="single" w:sz="4" w:space="0" w:color="auto"/>
      </w:pBdr>
      <w:spacing w:before="100" w:beforeAutospacing="1" w:after="100" w:afterAutospacing="1"/>
    </w:pPr>
    <w:rPr>
      <w:rFonts w:ascii="Arial" w:eastAsia="Arial Unicode MS" w:hAnsi="Arial" w:cs="Arial"/>
      <w:b/>
      <w:bCs/>
      <w:i/>
      <w:iCs/>
      <w:sz w:val="18"/>
      <w:szCs w:val="18"/>
      <w:lang w:val="en-US"/>
    </w:rPr>
  </w:style>
  <w:style w:type="paragraph" w:customStyle="1" w:styleId="xl26">
    <w:name w:val="xl26"/>
    <w:basedOn w:val="Normal"/>
    <w:pPr>
      <w:pBdr>
        <w:top w:val="single" w:sz="4" w:space="0" w:color="auto"/>
      </w:pBdr>
      <w:spacing w:before="100" w:beforeAutospacing="1" w:after="100" w:afterAutospacing="1"/>
    </w:pPr>
    <w:rPr>
      <w:rFonts w:ascii="Arial" w:eastAsia="Arial Unicode MS" w:hAnsi="Arial" w:cs="Arial"/>
      <w:b/>
      <w:bCs/>
      <w:i/>
      <w:iCs/>
      <w:sz w:val="18"/>
      <w:szCs w:val="18"/>
      <w:lang w:val="en-US"/>
    </w:rPr>
  </w:style>
  <w:style w:type="paragraph" w:customStyle="1" w:styleId="xl27">
    <w:name w:val="xl27"/>
    <w:basedOn w:val="Normal"/>
    <w:pPr>
      <w:pBdr>
        <w:top w:val="single" w:sz="4" w:space="0" w:color="auto"/>
      </w:pBdr>
      <w:spacing w:before="100" w:beforeAutospacing="1" w:after="100" w:afterAutospacing="1"/>
      <w:jc w:val="center"/>
    </w:pPr>
    <w:rPr>
      <w:rFonts w:ascii="Arial" w:eastAsia="Arial Unicode MS" w:hAnsi="Arial" w:cs="Arial"/>
      <w:sz w:val="18"/>
      <w:szCs w:val="18"/>
      <w:lang w:val="en-US"/>
    </w:rPr>
  </w:style>
  <w:style w:type="paragraph" w:customStyle="1" w:styleId="xl28">
    <w:name w:val="xl28"/>
    <w:basedOn w:val="Normal"/>
    <w:pPr>
      <w:pBdr>
        <w:left w:val="single" w:sz="4" w:space="0" w:color="auto"/>
      </w:pBdr>
      <w:spacing w:before="100" w:beforeAutospacing="1" w:after="100" w:afterAutospacing="1"/>
    </w:pPr>
    <w:rPr>
      <w:rFonts w:ascii="Arial" w:eastAsia="Arial Unicode MS" w:hAnsi="Arial" w:cs="Arial"/>
      <w:sz w:val="18"/>
      <w:szCs w:val="18"/>
      <w:lang w:val="en-US"/>
    </w:rPr>
  </w:style>
  <w:style w:type="paragraph" w:customStyle="1" w:styleId="xl29">
    <w:name w:val="xl29"/>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n-US"/>
    </w:rPr>
  </w:style>
  <w:style w:type="paragraph" w:customStyle="1" w:styleId="xl30">
    <w:name w:val="xl30"/>
    <w:basedOn w:val="Normal"/>
    <w:pPr>
      <w:spacing w:before="100" w:beforeAutospacing="1" w:after="100" w:afterAutospacing="1"/>
    </w:pPr>
    <w:rPr>
      <w:rFonts w:ascii="Arial" w:eastAsia="Arial Unicode MS" w:hAnsi="Arial" w:cs="Arial"/>
      <w:b/>
      <w:bCs/>
      <w:i/>
      <w:iCs/>
      <w:sz w:val="22"/>
      <w:szCs w:val="22"/>
      <w:lang w:val="en-US"/>
    </w:rPr>
  </w:style>
  <w:style w:type="paragraph" w:customStyle="1" w:styleId="xl31">
    <w:name w:val="xl31"/>
    <w:basedOn w:val="Normal"/>
    <w:pPr>
      <w:spacing w:before="100" w:beforeAutospacing="1" w:after="100" w:afterAutospacing="1"/>
      <w:jc w:val="center"/>
    </w:pPr>
    <w:rPr>
      <w:rFonts w:ascii="Arial" w:eastAsia="Arial Unicode MS" w:hAnsi="Arial" w:cs="Arial"/>
      <w:i/>
      <w:iCs/>
      <w:sz w:val="18"/>
      <w:szCs w:val="18"/>
      <w:lang w:val="en-US"/>
    </w:rPr>
  </w:style>
  <w:style w:type="paragraph" w:customStyle="1" w:styleId="xl32">
    <w:name w:val="xl32"/>
    <w:basedOn w:val="Normal"/>
    <w:pPr>
      <w:shd w:val="clear" w:color="auto" w:fill="FFCC99"/>
      <w:spacing w:before="100" w:beforeAutospacing="1" w:after="100" w:afterAutospacing="1"/>
      <w:jc w:val="center"/>
    </w:pPr>
    <w:rPr>
      <w:rFonts w:ascii="Arial" w:eastAsia="Arial Unicode MS" w:hAnsi="Arial" w:cs="Arial"/>
      <w:i/>
      <w:iCs/>
      <w:sz w:val="18"/>
      <w:szCs w:val="18"/>
      <w:lang w:val="en-US"/>
    </w:rPr>
  </w:style>
  <w:style w:type="paragraph" w:customStyle="1" w:styleId="xl33">
    <w:name w:val="xl33"/>
    <w:basedOn w:val="Normal"/>
    <w:pPr>
      <w:pBdr>
        <w:top w:val="single" w:sz="4" w:space="0" w:color="auto"/>
      </w:pBdr>
      <w:spacing w:before="100" w:beforeAutospacing="1" w:after="100" w:afterAutospacing="1"/>
    </w:pPr>
    <w:rPr>
      <w:rFonts w:ascii="Arial" w:eastAsia="Arial Unicode MS" w:hAnsi="Arial" w:cs="Arial"/>
      <w:sz w:val="18"/>
      <w:szCs w:val="18"/>
      <w:lang w:val="en-US"/>
    </w:rPr>
  </w:style>
  <w:style w:type="paragraph" w:customStyle="1" w:styleId="xl34">
    <w:name w:val="xl34"/>
    <w:basedOn w:val="Normal"/>
    <w:pPr>
      <w:pBdr>
        <w:top w:val="single" w:sz="4" w:space="0" w:color="auto"/>
      </w:pBdr>
      <w:shd w:val="clear" w:color="auto" w:fill="FFCC99"/>
      <w:spacing w:before="100" w:beforeAutospacing="1" w:after="100" w:afterAutospacing="1"/>
      <w:jc w:val="center"/>
    </w:pPr>
    <w:rPr>
      <w:rFonts w:ascii="Arial" w:eastAsia="Arial Unicode MS" w:hAnsi="Arial" w:cs="Arial"/>
      <w:i/>
      <w:iCs/>
      <w:sz w:val="18"/>
      <w:szCs w:val="18"/>
      <w:lang w:val="en-US"/>
    </w:rPr>
  </w:style>
  <w:style w:type="paragraph" w:customStyle="1" w:styleId="xl35">
    <w:name w:val="xl35"/>
    <w:basedOn w:val="Normal"/>
    <w:pPr>
      <w:pBdr>
        <w:bottom w:val="single" w:sz="4" w:space="0" w:color="auto"/>
      </w:pBdr>
      <w:shd w:val="clear" w:color="auto" w:fill="FFCC99"/>
      <w:spacing w:before="100" w:beforeAutospacing="1" w:after="100" w:afterAutospacing="1"/>
      <w:jc w:val="center"/>
    </w:pPr>
    <w:rPr>
      <w:rFonts w:ascii="Arial" w:eastAsia="Arial Unicode MS" w:hAnsi="Arial" w:cs="Arial"/>
      <w:i/>
      <w:iCs/>
      <w:sz w:val="18"/>
      <w:szCs w:val="18"/>
      <w:lang w:val="en-US"/>
    </w:rPr>
  </w:style>
  <w:style w:type="paragraph" w:customStyle="1" w:styleId="xl36">
    <w:name w:val="xl36"/>
    <w:basedOn w:val="Normal"/>
    <w:pPr>
      <w:pBdr>
        <w:bottom w:val="single" w:sz="4" w:space="0" w:color="auto"/>
      </w:pBdr>
      <w:spacing w:before="100" w:beforeAutospacing="1" w:after="100" w:afterAutospacing="1"/>
      <w:jc w:val="center"/>
    </w:pPr>
    <w:rPr>
      <w:rFonts w:ascii="Arial" w:eastAsia="Arial Unicode MS" w:hAnsi="Arial" w:cs="Arial"/>
      <w:i/>
      <w:iCs/>
      <w:sz w:val="18"/>
      <w:szCs w:val="18"/>
      <w:lang w:val="en-US"/>
    </w:rPr>
  </w:style>
  <w:style w:type="paragraph" w:customStyle="1" w:styleId="xl37">
    <w:name w:val="xl37"/>
    <w:basedOn w:val="Normal"/>
    <w:pPr>
      <w:pBdr>
        <w:top w:val="single" w:sz="4" w:space="0" w:color="auto"/>
        <w:left w:val="single" w:sz="4" w:space="0" w:color="auto"/>
      </w:pBdr>
      <w:spacing w:before="100" w:beforeAutospacing="1" w:after="100" w:afterAutospacing="1"/>
    </w:pPr>
    <w:rPr>
      <w:rFonts w:ascii="Arial" w:eastAsia="Arial Unicode MS" w:hAnsi="Arial" w:cs="Arial"/>
      <w:sz w:val="18"/>
      <w:szCs w:val="18"/>
      <w:lang w:val="en-US"/>
    </w:rPr>
  </w:style>
  <w:style w:type="paragraph" w:customStyle="1" w:styleId="xl38">
    <w:name w:val="xl38"/>
    <w:basedOn w:val="Normal"/>
    <w:pPr>
      <w:pBdr>
        <w:top w:val="single" w:sz="4" w:space="0" w:color="auto"/>
      </w:pBdr>
      <w:spacing w:before="100" w:beforeAutospacing="1" w:after="100" w:afterAutospacing="1"/>
      <w:jc w:val="center"/>
    </w:pPr>
    <w:rPr>
      <w:rFonts w:ascii="Arial" w:eastAsia="Arial Unicode MS" w:hAnsi="Arial" w:cs="Arial"/>
      <w:i/>
      <w:iCs/>
      <w:sz w:val="18"/>
      <w:szCs w:val="18"/>
      <w:lang w:val="en-US"/>
    </w:rPr>
  </w:style>
  <w:style w:type="paragraph" w:customStyle="1" w:styleId="xl39">
    <w:name w:val="xl39"/>
    <w:basedOn w:val="Normal"/>
    <w:pPr>
      <w:shd w:val="clear" w:color="auto" w:fill="FFCC99"/>
      <w:spacing w:before="100" w:beforeAutospacing="1" w:after="100" w:afterAutospacing="1"/>
      <w:jc w:val="center"/>
    </w:pPr>
    <w:rPr>
      <w:rFonts w:ascii="Arial" w:eastAsia="Arial Unicode MS" w:hAnsi="Arial" w:cs="Arial"/>
      <w:sz w:val="18"/>
      <w:szCs w:val="18"/>
      <w:lang w:val="en-US"/>
    </w:rPr>
  </w:style>
  <w:style w:type="paragraph" w:customStyle="1" w:styleId="xl40">
    <w:name w:val="xl40"/>
    <w:basedOn w:val="Normal"/>
    <w:pPr>
      <w:shd w:val="clear" w:color="auto" w:fill="FFCC99"/>
      <w:spacing w:before="100" w:beforeAutospacing="1" w:after="100" w:afterAutospacing="1"/>
      <w:jc w:val="center"/>
    </w:pPr>
    <w:rPr>
      <w:rFonts w:ascii="Arial" w:eastAsia="Arial Unicode MS" w:hAnsi="Arial" w:cs="Arial"/>
      <w:i/>
      <w:iCs/>
      <w:color w:val="FF0000"/>
      <w:sz w:val="18"/>
      <w:szCs w:val="18"/>
      <w:lang w:val="en-US"/>
    </w:rPr>
  </w:style>
  <w:style w:type="paragraph" w:customStyle="1" w:styleId="xl41">
    <w:name w:val="xl41"/>
    <w:basedOn w:val="Normal"/>
    <w:pPr>
      <w:spacing w:before="100" w:beforeAutospacing="1" w:after="100" w:afterAutospacing="1"/>
      <w:jc w:val="center"/>
    </w:pPr>
    <w:rPr>
      <w:rFonts w:ascii="Arial" w:eastAsia="Arial Unicode MS" w:hAnsi="Arial" w:cs="Arial"/>
      <w:i/>
      <w:iCs/>
      <w:color w:val="FF0000"/>
      <w:sz w:val="18"/>
      <w:szCs w:val="18"/>
      <w:lang w:val="en-US"/>
    </w:rPr>
  </w:style>
  <w:style w:type="paragraph" w:customStyle="1" w:styleId="xl42">
    <w:name w:val="xl42"/>
    <w:basedOn w:val="Normal"/>
    <w:pPr>
      <w:spacing w:before="100" w:beforeAutospacing="1" w:after="100" w:afterAutospacing="1"/>
      <w:jc w:val="center"/>
    </w:pPr>
    <w:rPr>
      <w:rFonts w:ascii="Arial" w:eastAsia="Arial Unicode MS" w:hAnsi="Arial" w:cs="Arial"/>
      <w:color w:val="FF0000"/>
      <w:sz w:val="18"/>
      <w:szCs w:val="18"/>
      <w:lang w:val="en-US"/>
    </w:rPr>
  </w:style>
  <w:style w:type="paragraph" w:customStyle="1" w:styleId="xl43">
    <w:name w:val="xl43"/>
    <w:basedOn w:val="Normal"/>
    <w:pPr>
      <w:shd w:val="clear" w:color="auto" w:fill="FFCC99"/>
      <w:spacing w:before="100" w:beforeAutospacing="1" w:after="100" w:afterAutospacing="1"/>
      <w:jc w:val="center"/>
    </w:pPr>
    <w:rPr>
      <w:rFonts w:ascii="Arial" w:eastAsia="Arial Unicode MS" w:hAnsi="Arial" w:cs="Arial"/>
      <w:color w:val="FF0000"/>
      <w:sz w:val="18"/>
      <w:szCs w:val="18"/>
      <w:lang w:val="en-US"/>
    </w:rPr>
  </w:style>
  <w:style w:type="paragraph" w:customStyle="1" w:styleId="xl44">
    <w:name w:val="xl44"/>
    <w:basedOn w:val="Normal"/>
    <w:pPr>
      <w:pBdr>
        <w:top w:val="single" w:sz="4" w:space="0" w:color="auto"/>
      </w:pBdr>
      <w:shd w:val="clear" w:color="auto" w:fill="FFCC99"/>
      <w:spacing w:before="100" w:beforeAutospacing="1" w:after="100" w:afterAutospacing="1"/>
      <w:jc w:val="center"/>
    </w:pPr>
    <w:rPr>
      <w:rFonts w:ascii="Arial" w:eastAsia="Arial Unicode MS" w:hAnsi="Arial" w:cs="Arial"/>
      <w:sz w:val="18"/>
      <w:szCs w:val="18"/>
      <w:lang w:val="en-US"/>
    </w:rPr>
  </w:style>
  <w:style w:type="paragraph" w:customStyle="1" w:styleId="xl45">
    <w:name w:val="xl45"/>
    <w:basedOn w:val="Normal"/>
    <w:pPr>
      <w:pBdr>
        <w:left w:val="single" w:sz="4" w:space="0" w:color="auto"/>
      </w:pBdr>
      <w:shd w:val="clear" w:color="auto" w:fill="FFCC99"/>
      <w:spacing w:before="100" w:beforeAutospacing="1" w:after="100" w:afterAutospacing="1"/>
      <w:jc w:val="center"/>
    </w:pPr>
    <w:rPr>
      <w:rFonts w:ascii="Arial" w:eastAsia="Arial Unicode MS" w:hAnsi="Arial" w:cs="Arial"/>
      <w:b/>
      <w:bCs/>
      <w:sz w:val="18"/>
      <w:szCs w:val="18"/>
      <w:lang w:val="en-US"/>
    </w:rPr>
  </w:style>
  <w:style w:type="paragraph" w:customStyle="1" w:styleId="xl46">
    <w:name w:val="xl46"/>
    <w:basedOn w:val="Normal"/>
    <w:pPr>
      <w:spacing w:before="100" w:beforeAutospacing="1" w:after="100" w:afterAutospacing="1"/>
      <w:jc w:val="center"/>
    </w:pPr>
    <w:rPr>
      <w:rFonts w:ascii="Arial" w:eastAsia="Arial Unicode MS" w:hAnsi="Arial" w:cs="Arial"/>
      <w:color w:val="FF0000"/>
      <w:sz w:val="44"/>
      <w:szCs w:val="44"/>
      <w:lang w:val="en-US"/>
    </w:rPr>
  </w:style>
  <w:style w:type="paragraph" w:customStyle="1" w:styleId="xl47">
    <w:name w:val="xl47"/>
    <w:basedOn w:val="Normal"/>
    <w:pPr>
      <w:spacing w:before="100" w:beforeAutospacing="1" w:after="100" w:afterAutospacing="1"/>
      <w:jc w:val="center"/>
    </w:pPr>
    <w:rPr>
      <w:rFonts w:ascii="Arial" w:eastAsia="Arial Unicode MS" w:hAnsi="Arial" w:cs="Arial"/>
      <w:b/>
      <w:bCs/>
      <w:sz w:val="18"/>
      <w:szCs w:val="18"/>
      <w:lang w:val="en-US"/>
    </w:rPr>
  </w:style>
  <w:style w:type="paragraph" w:customStyle="1" w:styleId="xl48">
    <w:name w:val="xl48"/>
    <w:basedOn w:val="Normal"/>
    <w:pPr>
      <w:spacing w:before="100" w:beforeAutospacing="1" w:after="100" w:afterAutospacing="1"/>
      <w:jc w:val="center"/>
    </w:pPr>
    <w:rPr>
      <w:rFonts w:ascii="Arial" w:eastAsia="Arial Unicode MS" w:hAnsi="Arial" w:cs="Arial"/>
      <w:b/>
      <w:bCs/>
      <w:sz w:val="16"/>
      <w:szCs w:val="16"/>
      <w:lang w:val="en-US"/>
    </w:rPr>
  </w:style>
  <w:style w:type="paragraph" w:customStyle="1" w:styleId="xl49">
    <w:name w:val="xl49"/>
    <w:basedOn w:val="Normal"/>
    <w:pPr>
      <w:pBdr>
        <w:top w:val="single" w:sz="4" w:space="0" w:color="auto"/>
        <w:left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50">
    <w:name w:val="xl50"/>
    <w:basedOn w:val="Normal"/>
    <w:pPr>
      <w:pBdr>
        <w:left w:val="single" w:sz="4" w:space="0" w:color="auto"/>
      </w:pBdr>
      <w:shd w:val="clear" w:color="auto" w:fill="FFCC99"/>
      <w:spacing w:before="100" w:beforeAutospacing="1" w:after="100" w:afterAutospacing="1"/>
      <w:jc w:val="center"/>
    </w:pPr>
    <w:rPr>
      <w:rFonts w:ascii="Arial" w:eastAsia="Arial Unicode MS" w:hAnsi="Arial" w:cs="Arial"/>
      <w:b/>
      <w:bCs/>
      <w:i/>
      <w:iCs/>
      <w:sz w:val="18"/>
      <w:szCs w:val="18"/>
      <w:lang w:val="en-US"/>
    </w:rPr>
  </w:style>
  <w:style w:type="paragraph" w:customStyle="1" w:styleId="xl51">
    <w:name w:val="xl51"/>
    <w:basedOn w:val="Normal"/>
    <w:pPr>
      <w:pBdr>
        <w:left w:val="single" w:sz="4" w:space="0" w:color="auto"/>
        <w:bottom w:val="single" w:sz="4" w:space="0" w:color="auto"/>
      </w:pBdr>
      <w:shd w:val="clear" w:color="auto" w:fill="FFCC99"/>
      <w:spacing w:before="100" w:beforeAutospacing="1" w:after="100" w:afterAutospacing="1"/>
      <w:jc w:val="center"/>
    </w:pPr>
    <w:rPr>
      <w:rFonts w:ascii="Arial" w:eastAsia="Arial Unicode MS" w:hAnsi="Arial" w:cs="Arial"/>
      <w:b/>
      <w:bCs/>
      <w:i/>
      <w:iCs/>
      <w:sz w:val="18"/>
      <w:szCs w:val="18"/>
      <w:lang w:val="en-US"/>
    </w:rPr>
  </w:style>
  <w:style w:type="paragraph" w:customStyle="1" w:styleId="xl52">
    <w:name w:val="xl52"/>
    <w:basedOn w:val="Normal"/>
    <w:pPr>
      <w:pBdr>
        <w:top w:val="single" w:sz="4" w:space="0" w:color="auto"/>
        <w:left w:val="single" w:sz="4" w:space="0" w:color="auto"/>
      </w:pBdr>
      <w:shd w:val="clear" w:color="auto" w:fill="FFCC99"/>
      <w:spacing w:before="100" w:beforeAutospacing="1" w:after="100" w:afterAutospacing="1"/>
      <w:jc w:val="center"/>
    </w:pPr>
    <w:rPr>
      <w:rFonts w:ascii="Arial" w:eastAsia="Arial Unicode MS" w:hAnsi="Arial" w:cs="Arial"/>
      <w:b/>
      <w:bCs/>
      <w:i/>
      <w:iCs/>
      <w:sz w:val="18"/>
      <w:szCs w:val="18"/>
      <w:lang w:val="en-US"/>
    </w:rPr>
  </w:style>
  <w:style w:type="paragraph" w:customStyle="1" w:styleId="xl53">
    <w:name w:val="xl53"/>
    <w:basedOn w:val="Normal"/>
    <w:pPr>
      <w:pBdr>
        <w:left w:val="single" w:sz="4" w:space="0" w:color="auto"/>
      </w:pBdr>
      <w:spacing w:before="100" w:beforeAutospacing="1" w:after="100" w:afterAutospacing="1"/>
      <w:jc w:val="center"/>
    </w:pPr>
    <w:rPr>
      <w:rFonts w:ascii="Arial" w:eastAsia="Arial Unicode MS" w:hAnsi="Arial" w:cs="Arial"/>
      <w:b/>
      <w:bCs/>
      <w:sz w:val="18"/>
      <w:szCs w:val="18"/>
      <w:lang w:val="en-US"/>
    </w:rPr>
  </w:style>
  <w:style w:type="paragraph" w:customStyle="1" w:styleId="xl54">
    <w:name w:val="xl54"/>
    <w:basedOn w:val="Normal"/>
    <w:pPr>
      <w:pBdr>
        <w:top w:val="single" w:sz="4" w:space="0" w:color="auto"/>
        <w:left w:val="single" w:sz="4" w:space="0" w:color="auto"/>
      </w:pBdr>
      <w:shd w:val="clear" w:color="auto" w:fill="FFCC99"/>
      <w:spacing w:before="100" w:beforeAutospacing="1" w:after="100" w:afterAutospacing="1"/>
      <w:jc w:val="center"/>
    </w:pPr>
    <w:rPr>
      <w:rFonts w:ascii="Arial" w:eastAsia="Arial Unicode MS" w:hAnsi="Arial" w:cs="Arial"/>
      <w:b/>
      <w:bCs/>
      <w:sz w:val="18"/>
      <w:szCs w:val="18"/>
      <w:lang w:val="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1ECA"/>
    <w:rPr>
      <w:rFonts w:ascii="Tahoma" w:hAnsi="Tahoma" w:cs="Tahoma"/>
      <w:sz w:val="16"/>
      <w:szCs w:val="16"/>
      <w:lang w:val="x-none" w:eastAsia="en-US"/>
    </w:rPr>
  </w:style>
  <w:style w:type="paragraph" w:customStyle="1" w:styleId="Style1">
    <w:name w:val="Style1"/>
    <w:basedOn w:val="TOC3"/>
    <w:rPr>
      <w:rFonts w:ascii="Arial" w:hAnsi="Arial"/>
      <w:b/>
      <w:caps/>
      <w:sz w:val="22"/>
    </w:rPr>
  </w:style>
  <w:style w:type="paragraph" w:customStyle="1" w:styleId="Style2">
    <w:name w:val="Style2"/>
    <w:basedOn w:val="TOC3"/>
    <w:rPr>
      <w:rFonts w:ascii="Helvetica" w:hAnsi="Helvetica"/>
      <w:b/>
      <w:caps/>
      <w:sz w:val="22"/>
      <w:szCs w:val="22"/>
    </w:rPr>
  </w:style>
  <w:style w:type="paragraph" w:customStyle="1" w:styleId="Style3">
    <w:name w:val="Style3"/>
    <w:basedOn w:val="TOC3"/>
    <w:autoRedefine/>
    <w:rPr>
      <w:rFonts w:ascii="Arial" w:hAnsi="Arial"/>
    </w:rPr>
  </w:style>
  <w:style w:type="paragraph" w:customStyle="1" w:styleId="execsumm">
    <w:name w:val="exec summ"/>
    <w:basedOn w:val="Heading1"/>
    <w:autoRedefine/>
    <w:rPr>
      <w:rFonts w:ascii="Arial" w:hAnsi="Arial" w:cs="Arial"/>
      <w:szCs w:val="32"/>
    </w:rPr>
  </w:style>
  <w:style w:type="paragraph" w:customStyle="1" w:styleId="Default">
    <w:name w:val="Default"/>
    <w:rsid w:val="00CF3448"/>
    <w:pPr>
      <w:autoSpaceDE w:val="0"/>
      <w:autoSpaceDN w:val="0"/>
      <w:adjustRightInd w:val="0"/>
    </w:pPr>
    <w:rPr>
      <w:color w:val="000000"/>
      <w:sz w:val="24"/>
      <w:szCs w:val="24"/>
    </w:rPr>
  </w:style>
  <w:style w:type="paragraph" w:styleId="ListParagraph">
    <w:name w:val="List Paragraph"/>
    <w:basedOn w:val="Normal"/>
    <w:uiPriority w:val="34"/>
    <w:qFormat/>
    <w:rsid w:val="007E52DD"/>
    <w:pPr>
      <w:ind w:left="720"/>
      <w:contextualSpacing/>
    </w:pPr>
  </w:style>
  <w:style w:type="paragraph" w:styleId="CommentSubject">
    <w:name w:val="annotation subject"/>
    <w:basedOn w:val="CommentText"/>
    <w:next w:val="CommentText"/>
    <w:link w:val="CommentSubjectChar"/>
    <w:uiPriority w:val="99"/>
    <w:semiHidden/>
    <w:unhideWhenUsed/>
    <w:rsid w:val="007E52DD"/>
    <w:rPr>
      <w:b/>
      <w:bCs/>
    </w:rPr>
  </w:style>
  <w:style w:type="character" w:customStyle="1" w:styleId="CommentSubjectChar">
    <w:name w:val="Comment Subject Char"/>
    <w:basedOn w:val="CommentTextChar"/>
    <w:link w:val="CommentSubject"/>
    <w:uiPriority w:val="99"/>
    <w:locked/>
    <w:rsid w:val="007E52DD"/>
    <w:rPr>
      <w:rFonts w:cs="Times New Roman"/>
      <w:lang w:val="x-none" w:eastAsia="en-US"/>
    </w:rPr>
  </w:style>
  <w:style w:type="paragraph" w:customStyle="1" w:styleId="TEXT">
    <w:name w:val="TEXT"/>
    <w:basedOn w:val="Normal"/>
    <w:link w:val="TEXTCharChar"/>
    <w:rsid w:val="00775A12"/>
    <w:pPr>
      <w:spacing w:after="240"/>
      <w:jc w:val="both"/>
    </w:pPr>
    <w:rPr>
      <w:rFonts w:ascii="Optima LT Std Medium" w:eastAsia="MS Mincho" w:hAnsi="Optima LT Std Medium"/>
      <w:color w:val="333333"/>
      <w:spacing w:val="20"/>
      <w:sz w:val="20"/>
      <w:szCs w:val="24"/>
      <w:lang w:eastAsia="ja-JP"/>
    </w:rPr>
  </w:style>
  <w:style w:type="character" w:customStyle="1" w:styleId="TEXTCharChar">
    <w:name w:val="TEXT Char Char"/>
    <w:basedOn w:val="DefaultParagraphFont"/>
    <w:link w:val="TEXT"/>
    <w:locked/>
    <w:rsid w:val="00775A12"/>
    <w:rPr>
      <w:rFonts w:ascii="Optima LT Std Medium" w:eastAsia="MS Mincho" w:hAnsi="Optima LT Std Medium" w:cs="Times New Roman"/>
      <w:color w:val="333333"/>
      <w:spacing w:val="20"/>
      <w:sz w:val="24"/>
      <w:szCs w:val="24"/>
      <w:lang w:val="x-none" w:eastAsia="ja-JP"/>
    </w:rPr>
  </w:style>
  <w:style w:type="paragraph" w:customStyle="1" w:styleId="TABLEHEADER">
    <w:name w:val="TABLE HEADER"/>
    <w:basedOn w:val="Normal"/>
    <w:next w:val="TEXT"/>
    <w:rsid w:val="00775A12"/>
    <w:pPr>
      <w:tabs>
        <w:tab w:val="left" w:pos="1134"/>
      </w:tabs>
      <w:spacing w:after="120"/>
      <w:ind w:left="1134" w:hanging="1134"/>
      <w:outlineLvl w:val="5"/>
    </w:pPr>
    <w:rPr>
      <w:rFonts w:ascii="Optima LT Std DemiBold" w:eastAsia="MS Mincho" w:hAnsi="Optima LT Std DemiBold"/>
      <w:color w:val="00264C"/>
      <w:spacing w:val="20"/>
      <w:sz w:val="20"/>
      <w:szCs w:val="24"/>
      <w:lang w:eastAsia="ja-JP"/>
    </w:rPr>
  </w:style>
  <w:style w:type="character" w:styleId="Strong">
    <w:name w:val="Strong"/>
    <w:basedOn w:val="DefaultParagraphFont"/>
    <w:uiPriority w:val="22"/>
    <w:qFormat/>
    <w:rsid w:val="00A01ECA"/>
    <w:rPr>
      <w:b/>
      <w:bCs/>
    </w:rPr>
  </w:style>
  <w:style w:type="paragraph" w:customStyle="1" w:styleId="bodytextfp">
    <w:name w:val="bodytextfp"/>
    <w:basedOn w:val="Normal"/>
    <w:rsid w:val="00A01ECA"/>
    <w:pPr>
      <w:spacing w:before="100" w:beforeAutospacing="1" w:after="100" w:afterAutospacing="1"/>
    </w:pPr>
    <w:rPr>
      <w:rFonts w:ascii="Verdana" w:hAnsi="Verdana"/>
      <w:sz w:val="18"/>
      <w:szCs w:val="18"/>
    </w:rPr>
  </w:style>
  <w:style w:type="paragraph" w:styleId="NoSpacing">
    <w:name w:val="No Spacing"/>
    <w:uiPriority w:val="1"/>
    <w:qFormat/>
    <w:rsid w:val="00A01ECA"/>
    <w:rPr>
      <w:rFonts w:ascii="Calibri" w:hAnsi="Calibri"/>
      <w:sz w:val="24"/>
    </w:rPr>
  </w:style>
  <w:style w:type="table" w:styleId="TableGrid">
    <w:name w:val="Table Grid"/>
    <w:basedOn w:val="TableNormal"/>
    <w:uiPriority w:val="59"/>
    <w:rsid w:val="003D7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sText">
    <w:name w:val="References Text"/>
    <w:basedOn w:val="BodyText"/>
    <w:rsid w:val="0054288E"/>
    <w:pPr>
      <w:spacing w:after="227" w:line="300" w:lineRule="exact"/>
      <w:jc w:val="left"/>
    </w:pPr>
    <w:rPr>
      <w:rFonts w:ascii="Palatino" w:hAnsi="Palatino"/>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3450">
      <w:marLeft w:val="0"/>
      <w:marRight w:val="0"/>
      <w:marTop w:val="0"/>
      <w:marBottom w:val="0"/>
      <w:divBdr>
        <w:top w:val="none" w:sz="0" w:space="0" w:color="auto"/>
        <w:left w:val="none" w:sz="0" w:space="0" w:color="auto"/>
        <w:bottom w:val="none" w:sz="0" w:space="0" w:color="auto"/>
        <w:right w:val="none" w:sz="0" w:space="0" w:color="auto"/>
      </w:divBdr>
    </w:div>
    <w:div w:id="414013452">
      <w:marLeft w:val="0"/>
      <w:marRight w:val="0"/>
      <w:marTop w:val="0"/>
      <w:marBottom w:val="0"/>
      <w:divBdr>
        <w:top w:val="none" w:sz="0" w:space="0" w:color="auto"/>
        <w:left w:val="none" w:sz="0" w:space="0" w:color="auto"/>
        <w:bottom w:val="none" w:sz="0" w:space="0" w:color="auto"/>
        <w:right w:val="none" w:sz="0" w:space="0" w:color="auto"/>
      </w:divBdr>
      <w:divsChild>
        <w:div w:id="414013449">
          <w:marLeft w:val="1166"/>
          <w:marRight w:val="0"/>
          <w:marTop w:val="96"/>
          <w:marBottom w:val="120"/>
          <w:divBdr>
            <w:top w:val="none" w:sz="0" w:space="0" w:color="auto"/>
            <w:left w:val="none" w:sz="0" w:space="0" w:color="auto"/>
            <w:bottom w:val="none" w:sz="0" w:space="0" w:color="auto"/>
            <w:right w:val="none" w:sz="0" w:space="0" w:color="auto"/>
          </w:divBdr>
        </w:div>
        <w:div w:id="414013451">
          <w:marLeft w:val="547"/>
          <w:marRight w:val="0"/>
          <w:marTop w:val="96"/>
          <w:marBottom w:val="120"/>
          <w:divBdr>
            <w:top w:val="none" w:sz="0" w:space="0" w:color="auto"/>
            <w:left w:val="none" w:sz="0" w:space="0" w:color="auto"/>
            <w:bottom w:val="none" w:sz="0" w:space="0" w:color="auto"/>
            <w:right w:val="none" w:sz="0" w:space="0" w:color="auto"/>
          </w:divBdr>
        </w:div>
        <w:div w:id="414013453">
          <w:marLeft w:val="1166"/>
          <w:marRight w:val="0"/>
          <w:marTop w:val="96"/>
          <w:marBottom w:val="120"/>
          <w:divBdr>
            <w:top w:val="none" w:sz="0" w:space="0" w:color="auto"/>
            <w:left w:val="none" w:sz="0" w:space="0" w:color="auto"/>
            <w:bottom w:val="none" w:sz="0" w:space="0" w:color="auto"/>
            <w:right w:val="none" w:sz="0" w:space="0" w:color="auto"/>
          </w:divBdr>
        </w:div>
        <w:div w:id="414013456">
          <w:marLeft w:val="547"/>
          <w:marRight w:val="0"/>
          <w:marTop w:val="96"/>
          <w:marBottom w:val="120"/>
          <w:divBdr>
            <w:top w:val="none" w:sz="0" w:space="0" w:color="auto"/>
            <w:left w:val="none" w:sz="0" w:space="0" w:color="auto"/>
            <w:bottom w:val="none" w:sz="0" w:space="0" w:color="auto"/>
            <w:right w:val="none" w:sz="0" w:space="0" w:color="auto"/>
          </w:divBdr>
        </w:div>
        <w:div w:id="414013458">
          <w:marLeft w:val="547"/>
          <w:marRight w:val="0"/>
          <w:marTop w:val="96"/>
          <w:marBottom w:val="120"/>
          <w:divBdr>
            <w:top w:val="none" w:sz="0" w:space="0" w:color="auto"/>
            <w:left w:val="none" w:sz="0" w:space="0" w:color="auto"/>
            <w:bottom w:val="none" w:sz="0" w:space="0" w:color="auto"/>
            <w:right w:val="none" w:sz="0" w:space="0" w:color="auto"/>
          </w:divBdr>
        </w:div>
        <w:div w:id="414013459">
          <w:marLeft w:val="1166"/>
          <w:marRight w:val="0"/>
          <w:marTop w:val="96"/>
          <w:marBottom w:val="120"/>
          <w:divBdr>
            <w:top w:val="none" w:sz="0" w:space="0" w:color="auto"/>
            <w:left w:val="none" w:sz="0" w:space="0" w:color="auto"/>
            <w:bottom w:val="none" w:sz="0" w:space="0" w:color="auto"/>
            <w:right w:val="none" w:sz="0" w:space="0" w:color="auto"/>
          </w:divBdr>
        </w:div>
        <w:div w:id="414013460">
          <w:marLeft w:val="547"/>
          <w:marRight w:val="0"/>
          <w:marTop w:val="96"/>
          <w:marBottom w:val="120"/>
          <w:divBdr>
            <w:top w:val="none" w:sz="0" w:space="0" w:color="auto"/>
            <w:left w:val="none" w:sz="0" w:space="0" w:color="auto"/>
            <w:bottom w:val="none" w:sz="0" w:space="0" w:color="auto"/>
            <w:right w:val="none" w:sz="0" w:space="0" w:color="auto"/>
          </w:divBdr>
        </w:div>
        <w:div w:id="414013465">
          <w:marLeft w:val="1166"/>
          <w:marRight w:val="0"/>
          <w:marTop w:val="96"/>
          <w:marBottom w:val="120"/>
          <w:divBdr>
            <w:top w:val="none" w:sz="0" w:space="0" w:color="auto"/>
            <w:left w:val="none" w:sz="0" w:space="0" w:color="auto"/>
            <w:bottom w:val="none" w:sz="0" w:space="0" w:color="auto"/>
            <w:right w:val="none" w:sz="0" w:space="0" w:color="auto"/>
          </w:divBdr>
        </w:div>
      </w:divsChild>
    </w:div>
    <w:div w:id="414013454">
      <w:marLeft w:val="0"/>
      <w:marRight w:val="0"/>
      <w:marTop w:val="0"/>
      <w:marBottom w:val="0"/>
      <w:divBdr>
        <w:top w:val="none" w:sz="0" w:space="0" w:color="auto"/>
        <w:left w:val="none" w:sz="0" w:space="0" w:color="auto"/>
        <w:bottom w:val="none" w:sz="0" w:space="0" w:color="auto"/>
        <w:right w:val="none" w:sz="0" w:space="0" w:color="auto"/>
      </w:divBdr>
    </w:div>
    <w:div w:id="414013455">
      <w:marLeft w:val="0"/>
      <w:marRight w:val="0"/>
      <w:marTop w:val="0"/>
      <w:marBottom w:val="0"/>
      <w:divBdr>
        <w:top w:val="none" w:sz="0" w:space="0" w:color="auto"/>
        <w:left w:val="none" w:sz="0" w:space="0" w:color="auto"/>
        <w:bottom w:val="none" w:sz="0" w:space="0" w:color="auto"/>
        <w:right w:val="none" w:sz="0" w:space="0" w:color="auto"/>
      </w:divBdr>
    </w:div>
    <w:div w:id="414013457">
      <w:marLeft w:val="0"/>
      <w:marRight w:val="0"/>
      <w:marTop w:val="0"/>
      <w:marBottom w:val="0"/>
      <w:divBdr>
        <w:top w:val="none" w:sz="0" w:space="0" w:color="auto"/>
        <w:left w:val="none" w:sz="0" w:space="0" w:color="auto"/>
        <w:bottom w:val="none" w:sz="0" w:space="0" w:color="auto"/>
        <w:right w:val="none" w:sz="0" w:space="0" w:color="auto"/>
      </w:divBdr>
    </w:div>
    <w:div w:id="414013461">
      <w:marLeft w:val="0"/>
      <w:marRight w:val="0"/>
      <w:marTop w:val="0"/>
      <w:marBottom w:val="0"/>
      <w:divBdr>
        <w:top w:val="none" w:sz="0" w:space="0" w:color="auto"/>
        <w:left w:val="none" w:sz="0" w:space="0" w:color="auto"/>
        <w:bottom w:val="none" w:sz="0" w:space="0" w:color="auto"/>
        <w:right w:val="none" w:sz="0" w:space="0" w:color="auto"/>
      </w:divBdr>
    </w:div>
    <w:div w:id="414013462">
      <w:marLeft w:val="0"/>
      <w:marRight w:val="0"/>
      <w:marTop w:val="0"/>
      <w:marBottom w:val="0"/>
      <w:divBdr>
        <w:top w:val="none" w:sz="0" w:space="0" w:color="auto"/>
        <w:left w:val="none" w:sz="0" w:space="0" w:color="auto"/>
        <w:bottom w:val="none" w:sz="0" w:space="0" w:color="auto"/>
        <w:right w:val="none" w:sz="0" w:space="0" w:color="auto"/>
      </w:divBdr>
    </w:div>
    <w:div w:id="414013463">
      <w:marLeft w:val="0"/>
      <w:marRight w:val="0"/>
      <w:marTop w:val="0"/>
      <w:marBottom w:val="0"/>
      <w:divBdr>
        <w:top w:val="none" w:sz="0" w:space="0" w:color="auto"/>
        <w:left w:val="none" w:sz="0" w:space="0" w:color="auto"/>
        <w:bottom w:val="none" w:sz="0" w:space="0" w:color="auto"/>
        <w:right w:val="none" w:sz="0" w:space="0" w:color="auto"/>
      </w:divBdr>
    </w:div>
    <w:div w:id="414013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rastructure.gov.au/roads/environment/euro.aspx" TargetMode="External"/><Relationship Id="rId18" Type="http://schemas.openxmlformats.org/officeDocument/2006/relationships/image" Target="media/image5.emf"/><Relationship Id="rId26" Type="http://schemas.openxmlformats.org/officeDocument/2006/relationships/hyperlink" Target="http://www.bitre.gov.au/info.aspx?ResourceId=136&amp;NodeId=16"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ec.europa.eu/enterprise/automotive/pagesbackground/pollutant_emission/impact_assessment_euro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hyperlink" Target="http://www.europarl.europa.eu/registre/docs_autres_institutions/commission_europeenne/sec/2005/1745/COM_SEC(2005)1745_EN.pdf" TargetMode="Externa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hyperlink" Target="http://www.btre.gov.au/Info.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9.png"/><Relationship Id="rId27" Type="http://schemas.openxmlformats.org/officeDocument/2006/relationships/hyperlink" Target="http://www.bitre.gov.au/info.aspx?ResourceId=134&amp;NodeId=16" TargetMode="External"/><Relationship Id="rId30" Type="http://schemas.openxmlformats.org/officeDocument/2006/relationships/hyperlink" Target="http://www.patrec.org/web_docs/atrf/papers/2001/1426_Cosgrove%20&amp;%20Mitchell%20(200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leanairnet.org/cai/1403/article-56396.html" TargetMode="External"/><Relationship Id="rId13" Type="http://schemas.openxmlformats.org/officeDocument/2006/relationships/hyperlink" Target="http://www.finance.gov.au/obpr/docs/handbook.pdf" TargetMode="External"/><Relationship Id="rId18" Type="http://schemas.openxmlformats.org/officeDocument/2006/relationships/hyperlink" Target="http://ec.europa.eu/environment/air/pdf/euro_5.pdf" TargetMode="External"/><Relationship Id="rId26" Type="http://schemas.openxmlformats.org/officeDocument/2006/relationships/hyperlink" Target="http://www.safeworkaustralia.gov.au/NR/rdonlyres/AAF0F980-FAA3-410F-837C-47C448DD5EFB/0/Health_national_value_Statistical_life_full_version.pdf" TargetMode="External"/><Relationship Id="rId3" Type="http://schemas.openxmlformats.org/officeDocument/2006/relationships/hyperlink" Target="http://www.greenvehicleguide.gov.au" TargetMode="External"/><Relationship Id="rId21" Type="http://schemas.openxmlformats.org/officeDocument/2006/relationships/hyperlink" Target="http://www.its.ucdavis.edu/publications/2004/UCD-ITS-RR-04-38.pdf" TargetMode="External"/><Relationship Id="rId7" Type="http://schemas.openxmlformats.org/officeDocument/2006/relationships/hyperlink" Target="http://www.internationaltransportforum.org/europe/ecmt/pubpdf/01VehEmis.pdf" TargetMode="External"/><Relationship Id="rId12" Type="http://schemas.openxmlformats.org/officeDocument/2006/relationships/hyperlink" Target="http://ec.europa.eu/enterprise/automotive/pagesbackground/pollutant_emission/impact_assessment_euro6.pdf" TargetMode="External"/><Relationship Id="rId17" Type="http://schemas.openxmlformats.org/officeDocument/2006/relationships/hyperlink" Target="http://ec.europa.eu/enterprise/automotive/pagesbackground/pollutant_emission/impact_assessment_euro6.pdf" TargetMode="External"/><Relationship Id="rId25" Type="http://schemas.openxmlformats.org/officeDocument/2006/relationships/hyperlink" Target="http://books.nap.edu/openbook.php?record_id=11586&amp;page=196" TargetMode="External"/><Relationship Id="rId33" Type="http://schemas.openxmlformats.org/officeDocument/2006/relationships/hyperlink" Target="http://www.abs.gov.au/ausstats/abs@.nsf/mediareleasesbytitle/28861A19CCDB9441CA25753D001B59DA?OpenDocument" TargetMode="External"/><Relationship Id="rId2" Type="http://schemas.openxmlformats.org/officeDocument/2006/relationships/hyperlink" Target="http://www.environment.nsw.gov.au/resources/air/07529cpairqual.pdf" TargetMode="External"/><Relationship Id="rId16" Type="http://schemas.openxmlformats.org/officeDocument/2006/relationships/hyperlink" Target="http://www.europarl.europa.eu/registre/docs_autres_institutions/commission_europeenne/sec/2005/1745/COM_SEC(2005)1745_EN.pdf" TargetMode="External"/><Relationship Id="rId20" Type="http://schemas.openxmlformats.org/officeDocument/2006/relationships/hyperlink" Target="http://www.aecc.be/content/pdf/AECC%20Response%20to%20Stakeholder%20for%20Light-duty%20Vehicles%20070905.pdf" TargetMode="External"/><Relationship Id="rId29" Type="http://schemas.openxmlformats.org/officeDocument/2006/relationships/hyperlink" Target="http://www.environment.nsw.gov.au/resources/air/07529cpairqual.pdf" TargetMode="External"/><Relationship Id="rId1" Type="http://schemas.openxmlformats.org/officeDocument/2006/relationships/hyperlink" Target="http://www.ephc.gov.au/sites/default/files/AAQ_DiscPpr__Review_of_the_AAQ_NEPM_Discussion_Paper_AQ_Standards_Final_201007.pdf" TargetMode="External"/><Relationship Id="rId6" Type="http://schemas.openxmlformats.org/officeDocument/2006/relationships/hyperlink" Target="http://www.oecdbookshop.org/oecd/display.asp?k=5LMQCR2JFM24&amp;lang=en" TargetMode="External"/><Relationship Id="rId11" Type="http://schemas.openxmlformats.org/officeDocument/2006/relationships/hyperlink" Target="http://www.europarl.europa.eu/registre/docs_autres_institutions/commission_europeenne/sec/2005/1745/COM_SEC(2005)1745_EN.pdf" TargetMode="External"/><Relationship Id="rId24" Type="http://schemas.openxmlformats.org/officeDocument/2006/relationships/hyperlink" Target="http://ec.europa.eu/environment/enveco/ex_post/pdf/transport.pdf" TargetMode="External"/><Relationship Id="rId32" Type="http://schemas.openxmlformats.org/officeDocument/2006/relationships/hyperlink" Target="http://www.abs.gov.au/AUSSTATS/abs@.nsf/DetailsPage/3218.02007-08?OpenDocument" TargetMode="External"/><Relationship Id="rId5" Type="http://schemas.openxmlformats.org/officeDocument/2006/relationships/hyperlink" Target="http://www.aaa.asn.au/documents/opinion%2F2005%2FANOP_exec_05.pdf" TargetMode="External"/><Relationship Id="rId15" Type="http://schemas.openxmlformats.org/officeDocument/2006/relationships/hyperlink" Target="http://ec.europa.eu/enterprise/automotive/pagesbackground/pollutant_emission/impact_assessment_euro6.pdf" TargetMode="External"/><Relationship Id="rId23" Type="http://schemas.openxmlformats.org/officeDocument/2006/relationships/hyperlink" Target="http://www.brass.cf.ac.uk/projects/Sustainable_Mobility/towards-sustainable-mobility--Environmental-Regulation.html" TargetMode="External"/><Relationship Id="rId28" Type="http://schemas.openxmlformats.org/officeDocument/2006/relationships/hyperlink" Target="http://www.environment.nsw.gov.au/resources/air/07529cpairqual.pdf" TargetMode="External"/><Relationship Id="rId10" Type="http://schemas.openxmlformats.org/officeDocument/2006/relationships/hyperlink" Target="http://www.environment.gov.au/atmosphere/transport/nise2.html" TargetMode="External"/><Relationship Id="rId19" Type="http://schemas.openxmlformats.org/officeDocument/2006/relationships/hyperlink" Target="http://www.brass.cf.ac.uk/projects/Sustainable_Mobility/towards-sustainable-mobility--Environmental-Regulation.html" TargetMode="External"/><Relationship Id="rId31" Type="http://schemas.openxmlformats.org/officeDocument/2006/relationships/hyperlink" Target="http://www.dse.vic.gov.au/DSE/nrenpl.nsf/fid/93E1884BDDA65F63CA25762500047CE5" TargetMode="External"/><Relationship Id="rId4" Type="http://schemas.openxmlformats.org/officeDocument/2006/relationships/hyperlink" Target="http://www.pc.gov.au/__data/assets/pdf_file/0003/25284/auto.pdf" TargetMode="External"/><Relationship Id="rId9" Type="http://schemas.openxmlformats.org/officeDocument/2006/relationships/hyperlink" Target="http://www.europarl.europa.eu/registre/docs_autres_institutions/commission_europeenne/sec/2005/1745/COM_SEC(2005)1745_EN.pdf" TargetMode="External"/><Relationship Id="rId14" Type="http://schemas.openxmlformats.org/officeDocument/2006/relationships/hyperlink" Target="http://www.europarl.europa.eu/registre/docs_autres_institutions/commission_europeenne/sec/2005/1745/COM_SEC(2005)1745_EN.pdf" TargetMode="External"/><Relationship Id="rId22" Type="http://schemas.openxmlformats.org/officeDocument/2006/relationships/hyperlink" Target="http://www.greenvehicleguide.gov.au" TargetMode="External"/><Relationship Id="rId27" Type="http://schemas.openxmlformats.org/officeDocument/2006/relationships/hyperlink" Target="http://www.innovation.gov.au/automotivereview/Documents/aug08%20final%20report_secure.pdf" TargetMode="External"/><Relationship Id="rId30" Type="http://schemas.openxmlformats.org/officeDocument/2006/relationships/hyperlink" Target="http://www.environment.nsw.gov.au/resources/air/07529cpairq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662E5-9DEF-483B-A89F-B534D55D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32975</Words>
  <Characters>180233</Characters>
  <Application>Microsoft Office Word</Application>
  <DocSecurity>4</DocSecurity>
  <Lines>1501</Lines>
  <Paragraphs>425</Paragraphs>
  <ScaleCrop>false</ScaleCrop>
  <HeadingPairs>
    <vt:vector size="2" baseType="variant">
      <vt:variant>
        <vt:lpstr>Title</vt:lpstr>
      </vt:variant>
      <vt:variant>
        <vt:i4>1</vt:i4>
      </vt:variant>
    </vt:vector>
  </HeadingPairs>
  <TitlesOfParts>
    <vt:vector size="1" baseType="lpstr">
      <vt:lpstr>FINAL REGULATION IMPACT STATEMENT</vt:lpstr>
    </vt:vector>
  </TitlesOfParts>
  <LinksUpToDate>false</LinksUpToDate>
  <CharactersWithSpaces>212783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REGULATION IMPACT STATEMENT</dc:title>
  <dc:creator/>
  <cp:lastModifiedBy/>
  <cp:revision>1</cp:revision>
  <dcterms:created xsi:type="dcterms:W3CDTF">2015-09-16T22:02:00Z</dcterms:created>
  <dcterms:modified xsi:type="dcterms:W3CDTF">2015-09-16T22:02:00Z</dcterms:modified>
</cp:coreProperties>
</file>