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1289" w:rsidRDefault="001A1289">
      <w:pPr>
        <w:pStyle w:val="BodyText"/>
        <w:rPr>
          <w:rFonts w:ascii="Times New Roman"/>
          <w:sz w:val="20"/>
        </w:rPr>
      </w:pPr>
      <w:bookmarkStart w:id="0" w:name="_GoBack"/>
      <w:bookmarkEnd w:id="0"/>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rPr>
          <w:rFonts w:ascii="Times New Roman"/>
          <w:sz w:val="20"/>
        </w:rPr>
      </w:pPr>
    </w:p>
    <w:p w:rsidR="001A1289" w:rsidRDefault="001A1289">
      <w:pPr>
        <w:pStyle w:val="BodyText"/>
        <w:spacing w:before="6"/>
        <w:rPr>
          <w:rFonts w:ascii="Times New Roman"/>
          <w:sz w:val="29"/>
        </w:rPr>
      </w:pPr>
    </w:p>
    <w:p w:rsidR="001A1289" w:rsidRDefault="005514CB">
      <w:pPr>
        <w:spacing w:before="88" w:line="242" w:lineRule="auto"/>
        <w:ind w:left="5099" w:right="738"/>
        <w:rPr>
          <w:sz w:val="36"/>
        </w:rPr>
      </w:pPr>
      <w:r>
        <w:rPr>
          <w:noProof/>
          <w:lang w:val="en-AU" w:eastAsia="en-AU"/>
        </w:rPr>
        <mc:AlternateContent>
          <mc:Choice Requires="wps">
            <w:drawing>
              <wp:anchor distT="0" distB="0" distL="114300" distR="114300" simplePos="0" relativeHeight="251658240" behindDoc="0" locked="0" layoutInCell="1" allowOverlap="1">
                <wp:simplePos x="0" y="0"/>
                <wp:positionH relativeFrom="page">
                  <wp:posOffset>3875405</wp:posOffset>
                </wp:positionH>
                <wp:positionV relativeFrom="paragraph">
                  <wp:posOffset>57150</wp:posOffset>
                </wp:positionV>
                <wp:extent cx="0" cy="4309745"/>
                <wp:effectExtent l="0" t="0" r="0" b="0"/>
                <wp:wrapNone/>
                <wp:docPr id="9"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309745"/>
                        </a:xfrm>
                        <a:prstGeom prst="line">
                          <a:avLst/>
                        </a:prstGeom>
                        <a:noFill/>
                        <a:ln w="27432">
                          <a:solidFill>
                            <a:srgbClr val="00A2A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AA3EBB" id="Line 8"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05.15pt,4.5pt" to="305.15pt,34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" strokecolor="#00a2ac" strokeweight="2.16pt">
                <w10:wrap anchorx="page"/>
              </v:line>
            </w:pict>
          </mc:Fallback>
        </mc:AlternateContent>
      </w:r>
      <w:r>
        <w:rPr>
          <w:sz w:val="36"/>
        </w:rPr>
        <w:t>Submission in response to DITRDC Exposure Draft</w:t>
      </w:r>
    </w:p>
    <w:p w:rsidR="001A1289" w:rsidRDefault="001A1289">
      <w:pPr>
        <w:pStyle w:val="BodyText"/>
        <w:rPr>
          <w:sz w:val="40"/>
        </w:rPr>
      </w:pPr>
    </w:p>
    <w:p w:rsidR="001A1289" w:rsidRDefault="001A1289">
      <w:pPr>
        <w:pStyle w:val="BodyText"/>
        <w:spacing w:before="10"/>
        <w:rPr>
          <w:sz w:val="33"/>
        </w:rPr>
      </w:pPr>
    </w:p>
    <w:p w:rsidR="001A1289" w:rsidRDefault="005514CB">
      <w:pPr>
        <w:ind w:left="5099"/>
        <w:rPr>
          <w:b/>
          <w:sz w:val="40"/>
        </w:rPr>
      </w:pPr>
      <w:r>
        <w:rPr>
          <w:noProof/>
          <w:lang w:val="en-AU" w:eastAsia="en-AU"/>
        </w:rPr>
        <w:drawing>
          <wp:anchor distT="0" distB="0" distL="0" distR="0" simplePos="0" relativeHeight="251659264" behindDoc="0" locked="0" layoutInCell="1" allowOverlap="1">
            <wp:simplePos x="0" y="0"/>
            <wp:positionH relativeFrom="page">
              <wp:posOffset>911352</wp:posOffset>
            </wp:positionH>
            <wp:positionV relativeFrom="paragraph">
              <wp:posOffset>735072</wp:posOffset>
            </wp:positionV>
            <wp:extent cx="2438400" cy="536448"/>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2438400" cy="536448"/>
                    </a:xfrm>
                    <a:prstGeom prst="rect">
                      <a:avLst/>
                    </a:prstGeom>
                  </pic:spPr>
                </pic:pic>
              </a:graphicData>
            </a:graphic>
          </wp:anchor>
        </w:drawing>
      </w:r>
      <w:r>
        <w:rPr>
          <w:b/>
          <w:sz w:val="40"/>
        </w:rPr>
        <w:t>Exposure Draft – Radiocommunications (Spectrum Licence Limits</w:t>
      </w:r>
    </w:p>
    <w:p w:rsidR="001A1289" w:rsidRDefault="005514CB">
      <w:pPr>
        <w:ind w:left="5099" w:right="1003"/>
        <w:rPr>
          <w:b/>
          <w:sz w:val="40"/>
        </w:rPr>
      </w:pPr>
      <w:r>
        <w:rPr>
          <w:b/>
          <w:sz w:val="40"/>
        </w:rPr>
        <w:t>– 850/900 MHz Band) Direction 2021</w:t>
      </w:r>
    </w:p>
    <w:p w:rsidR="001A1289" w:rsidRDefault="001A1289">
      <w:pPr>
        <w:pStyle w:val="BodyText"/>
        <w:rPr>
          <w:b/>
          <w:sz w:val="44"/>
        </w:rPr>
      </w:pPr>
    </w:p>
    <w:p w:rsidR="001A1289" w:rsidRDefault="005514CB">
      <w:pPr>
        <w:spacing w:before="390"/>
        <w:ind w:left="5099"/>
        <w:rPr>
          <w:sz w:val="36"/>
        </w:rPr>
      </w:pPr>
      <w:r>
        <w:rPr>
          <w:sz w:val="36"/>
        </w:rPr>
        <w:t>Public Version</w:t>
      </w:r>
    </w:p>
    <w:p w:rsidR="001A1289" w:rsidRDefault="001A1289">
      <w:pPr>
        <w:pStyle w:val="BodyText"/>
        <w:rPr>
          <w:sz w:val="40"/>
        </w:rPr>
      </w:pPr>
    </w:p>
    <w:p w:rsidR="001A1289" w:rsidRDefault="001A1289">
      <w:pPr>
        <w:pStyle w:val="BodyText"/>
        <w:spacing w:before="7"/>
        <w:rPr>
          <w:sz w:val="34"/>
        </w:rPr>
      </w:pPr>
    </w:p>
    <w:p w:rsidR="001A1289" w:rsidRDefault="005514CB">
      <w:pPr>
        <w:ind w:left="5099"/>
        <w:rPr>
          <w:sz w:val="36"/>
        </w:rPr>
      </w:pPr>
      <w:r>
        <w:rPr>
          <w:sz w:val="36"/>
        </w:rPr>
        <w:t>May 2021</w:t>
      </w:r>
    </w:p>
    <w:p w:rsidR="001A1289" w:rsidRDefault="001A1289">
      <w:pPr>
        <w:rPr>
          <w:sz w:val="36"/>
        </w:rPr>
        <w:sectPr w:rsidR="001A1289">
          <w:type w:val="continuous"/>
          <w:pgSz w:w="11900" w:h="16840"/>
          <w:pgMar w:top="1600" w:right="540" w:bottom="280" w:left="1280" w:header="720" w:footer="720" w:gutter="0"/>
          <w:cols w:space="720"/>
        </w:sectPr>
      </w:pPr>
    </w:p>
    <w:p w:rsidR="001A1289" w:rsidRDefault="005514CB">
      <w:pPr>
        <w:pStyle w:val="Heading1"/>
      </w:pPr>
      <w:r>
        <w:rPr>
          <w:noProof/>
          <w:lang w:val="en-AU" w:eastAsia="en-AU"/>
        </w:rPr>
        <w:lastRenderedPageBreak/>
        <mc:AlternateContent>
          <mc:Choice Requires="wps">
            <w:drawing>
              <wp:anchor distT="0" distB="0" distL="0" distR="0" simplePos="0" relativeHeight="251660288" behindDoc="1" locked="0" layoutInCell="1" allowOverlap="1">
                <wp:simplePos x="0" y="0"/>
                <wp:positionH relativeFrom="page">
                  <wp:posOffset>880745</wp:posOffset>
                </wp:positionH>
                <wp:positionV relativeFrom="paragraph">
                  <wp:posOffset>387985</wp:posOffset>
                </wp:positionV>
                <wp:extent cx="5977255" cy="1270"/>
                <wp:effectExtent l="0" t="0" r="0" b="0"/>
                <wp:wrapTopAndBottom/>
                <wp:docPr id="8"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7255" cy="1270"/>
                        </a:xfrm>
                        <a:custGeom>
                          <a:avLst/>
                          <a:gdLst>
                            <a:gd name="T0" fmla="+- 0 1387 1387"/>
                            <a:gd name="T1" fmla="*/ T0 w 9413"/>
                            <a:gd name="T2" fmla="+- 0 10800 1387"/>
                            <a:gd name="T3" fmla="*/ T2 w 9413"/>
                          </a:gdLst>
                          <a:ahLst/>
                          <a:cxnLst>
                            <a:cxn ang="0">
                              <a:pos x="T1" y="0"/>
                            </a:cxn>
                            <a:cxn ang="0">
                              <a:pos x="T3" y="0"/>
                            </a:cxn>
                          </a:cxnLst>
                          <a:rect l="0" t="0" r="r" b="b"/>
                          <a:pathLst>
                            <a:path w="9413">
                              <a:moveTo>
                                <a:pt x="0" y="0"/>
                              </a:moveTo>
                              <a:lnTo>
                                <a:pt x="9413" y="0"/>
                              </a:lnTo>
                            </a:path>
                          </a:pathLst>
                        </a:custGeom>
                        <a:noFill/>
                        <a:ln w="6096">
                          <a:solidFill>
                            <a:srgbClr val="00668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03180B" id="Freeform 7" o:spid="_x0000_s1026" style="position:absolute;margin-left:69.35pt;margin-top:30.55pt;width:470.65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" path="m,l9413,e" filled="f" strokecolor="#006684" strokeweight=".48pt">
                <v:path arrowok="t" o:connecttype="custom" o:connectlocs="0,0;5977255,0" o:connectangles="0,0"/>
                <w10:wrap type="topAndBottom" anchorx="page"/>
              </v:shape>
            </w:pict>
          </mc:Fallback>
        </mc:AlternateContent>
      </w:r>
      <w:r>
        <w:rPr>
          <w:color w:val="00A2AC"/>
          <w:sz w:val="36"/>
        </w:rPr>
        <w:t>E</w:t>
      </w:r>
      <w:r>
        <w:rPr>
          <w:color w:val="00A2AC"/>
        </w:rPr>
        <w:t>XECUTIVE SUMMARY</w:t>
      </w:r>
    </w:p>
    <w:p w:rsidR="001A1289" w:rsidRDefault="001A1289">
      <w:pPr>
        <w:pStyle w:val="BodyText"/>
        <w:spacing w:before="6"/>
        <w:rPr>
          <w:b/>
          <w:sz w:val="8"/>
        </w:rPr>
      </w:pPr>
    </w:p>
    <w:p w:rsidR="001A1289" w:rsidRDefault="005514CB">
      <w:pPr>
        <w:pStyle w:val="ListParagraph"/>
        <w:numPr>
          <w:ilvl w:val="0"/>
          <w:numId w:val="1"/>
        </w:numPr>
        <w:tabs>
          <w:tab w:val="left" w:pos="846"/>
          <w:tab w:val="left" w:pos="847"/>
        </w:tabs>
        <w:spacing w:before="93"/>
        <w:ind w:right="1012"/>
      </w:pPr>
      <w:r>
        <w:t xml:space="preserve">Optus welcomes the opportunity to provide feedback on the Department of Infrastructure, Transport, Regional Development and Communications (DITDRC) full exposure draft on the proposed </w:t>
      </w:r>
      <w:r>
        <w:rPr>
          <w:i/>
        </w:rPr>
        <w:t>Radiocommunications (Spectrum Licence Limits – 850/900 MHz Band) Directi</w:t>
      </w:r>
      <w:r>
        <w:rPr>
          <w:i/>
        </w:rPr>
        <w:t xml:space="preserve">on 2021 </w:t>
      </w:r>
      <w:r>
        <w:t>(the</w:t>
      </w:r>
      <w:r>
        <w:rPr>
          <w:spacing w:val="-6"/>
        </w:rPr>
        <w:t xml:space="preserve"> </w:t>
      </w:r>
      <w:r>
        <w:t>Direction).</w:t>
      </w:r>
    </w:p>
    <w:p w:rsidR="001A1289" w:rsidRDefault="001A1289">
      <w:pPr>
        <w:pStyle w:val="BodyText"/>
        <w:spacing w:before="3"/>
        <w:rPr>
          <w:sz w:val="19"/>
        </w:rPr>
      </w:pPr>
    </w:p>
    <w:p w:rsidR="001A1289" w:rsidRDefault="005514CB">
      <w:pPr>
        <w:pStyle w:val="ListParagraph"/>
        <w:numPr>
          <w:ilvl w:val="0"/>
          <w:numId w:val="1"/>
        </w:numPr>
        <w:tabs>
          <w:tab w:val="left" w:pos="846"/>
          <w:tab w:val="left" w:pos="847"/>
        </w:tabs>
        <w:spacing w:before="1"/>
        <w:ind w:right="682"/>
      </w:pPr>
      <w:r>
        <w:t>The draft direction is intended to support the communications policy objectives of the Government – to promote competitive market outcomes for the long-term benefit of consumers, supporting the deployment of 4G and 5G services and</w:t>
      </w:r>
      <w:r>
        <w:t xml:space="preserve"> supporting continuity of services – and serves a two-fold</w:t>
      </w:r>
      <w:r>
        <w:rPr>
          <w:spacing w:val="-5"/>
        </w:rPr>
        <w:t xml:space="preserve"> </w:t>
      </w:r>
      <w:r>
        <w:t>purpose:</w:t>
      </w:r>
    </w:p>
    <w:p w:rsidR="001A1289" w:rsidRDefault="001A1289">
      <w:pPr>
        <w:pStyle w:val="BodyText"/>
        <w:spacing w:before="8"/>
        <w:rPr>
          <w:sz w:val="19"/>
        </w:rPr>
      </w:pPr>
    </w:p>
    <w:p w:rsidR="001A1289" w:rsidRDefault="005514CB">
      <w:pPr>
        <w:pStyle w:val="ListParagraph"/>
        <w:numPr>
          <w:ilvl w:val="1"/>
          <w:numId w:val="1"/>
        </w:numPr>
        <w:tabs>
          <w:tab w:val="left" w:pos="1551"/>
          <w:tab w:val="left" w:pos="1552"/>
        </w:tabs>
        <w:spacing w:line="230" w:lineRule="auto"/>
        <w:ind w:right="1209"/>
      </w:pPr>
      <w:r>
        <w:t>It gives effect to the Minister’s decision to set-aside 10 MHz of spectrum for Optus and TPG in the 900 MHz band;</w:t>
      </w:r>
      <w:r>
        <w:rPr>
          <w:spacing w:val="-4"/>
        </w:rPr>
        <w:t xml:space="preserve"> </w:t>
      </w:r>
      <w:r>
        <w:t>and</w:t>
      </w:r>
    </w:p>
    <w:p w:rsidR="001A1289" w:rsidRDefault="001A1289">
      <w:pPr>
        <w:pStyle w:val="BodyText"/>
        <w:spacing w:before="6"/>
        <w:rPr>
          <w:sz w:val="19"/>
        </w:rPr>
      </w:pPr>
    </w:p>
    <w:p w:rsidR="001A1289" w:rsidRDefault="005514CB">
      <w:pPr>
        <w:pStyle w:val="ListParagraph"/>
        <w:numPr>
          <w:ilvl w:val="1"/>
          <w:numId w:val="1"/>
        </w:numPr>
        <w:tabs>
          <w:tab w:val="left" w:pos="1551"/>
          <w:tab w:val="left" w:pos="1552"/>
        </w:tabs>
        <w:spacing w:line="235" w:lineRule="auto"/>
        <w:ind w:right="690"/>
      </w:pPr>
      <w:r>
        <w:t>To direct the ACMA to impose an overall allocation limit such that n</w:t>
      </w:r>
      <w:r>
        <w:t>o person, or specified group of persons, could use more than 82 MHz of sub-1 GHz</w:t>
      </w:r>
      <w:r>
        <w:rPr>
          <w:spacing w:val="-36"/>
        </w:rPr>
        <w:t xml:space="preserve"> </w:t>
      </w:r>
      <w:r>
        <w:t>spectrum under spectrum</w:t>
      </w:r>
      <w:r>
        <w:rPr>
          <w:spacing w:val="2"/>
        </w:rPr>
        <w:t xml:space="preserve"> </w:t>
      </w:r>
      <w:r>
        <w:t>licences.</w:t>
      </w:r>
    </w:p>
    <w:p w:rsidR="001A1289" w:rsidRDefault="001A1289">
      <w:pPr>
        <w:pStyle w:val="BodyText"/>
        <w:spacing w:before="1"/>
        <w:rPr>
          <w:sz w:val="19"/>
        </w:rPr>
      </w:pPr>
    </w:p>
    <w:p w:rsidR="001A1289" w:rsidRDefault="005514CB">
      <w:pPr>
        <w:pStyle w:val="ListParagraph"/>
        <w:numPr>
          <w:ilvl w:val="0"/>
          <w:numId w:val="1"/>
        </w:numPr>
        <w:tabs>
          <w:tab w:val="left" w:pos="846"/>
          <w:tab w:val="left" w:pos="847"/>
        </w:tabs>
        <w:ind w:right="695"/>
      </w:pPr>
      <w:r>
        <w:t>Optus supports the Direction being made for the 850/900 MHz auction, including the mechanism for set-aside provisions for Optus and TPG to be facilitated and the use of a sub-1 GHz allocation</w:t>
      </w:r>
      <w:r>
        <w:rPr>
          <w:spacing w:val="-4"/>
        </w:rPr>
        <w:t xml:space="preserve"> </w:t>
      </w:r>
      <w:r>
        <w:t>limit.</w:t>
      </w:r>
    </w:p>
    <w:p w:rsidR="001A1289" w:rsidRDefault="001A1289">
      <w:pPr>
        <w:pStyle w:val="BodyText"/>
        <w:spacing w:before="1"/>
        <w:rPr>
          <w:sz w:val="19"/>
        </w:rPr>
      </w:pPr>
    </w:p>
    <w:p w:rsidR="001A1289" w:rsidRDefault="005514CB">
      <w:pPr>
        <w:pStyle w:val="ListParagraph"/>
        <w:numPr>
          <w:ilvl w:val="0"/>
          <w:numId w:val="1"/>
        </w:numPr>
        <w:tabs>
          <w:tab w:val="left" w:pos="846"/>
          <w:tab w:val="left" w:pos="847"/>
        </w:tabs>
        <w:spacing w:before="1"/>
        <w:ind w:right="595"/>
      </w:pPr>
      <w:r>
        <w:t xml:space="preserve">However, whilst </w:t>
      </w:r>
      <w:r>
        <w:rPr>
          <w:spacing w:val="-3"/>
        </w:rPr>
        <w:t xml:space="preserve">we </w:t>
      </w:r>
      <w:r>
        <w:t>support the need for an allocation li</w:t>
      </w:r>
      <w:r>
        <w:t xml:space="preserve">mit, </w:t>
      </w:r>
      <w:r>
        <w:rPr>
          <w:spacing w:val="-3"/>
        </w:rPr>
        <w:t xml:space="preserve">we </w:t>
      </w:r>
      <w:r>
        <w:t>believe there is a case for this to be tighter. A tighter limit could help drive competitive investment in 5G and</w:t>
      </w:r>
      <w:r>
        <w:rPr>
          <w:spacing w:val="-36"/>
        </w:rPr>
        <w:t xml:space="preserve"> </w:t>
      </w:r>
      <w:r>
        <w:t>unlock</w:t>
      </w:r>
    </w:p>
    <w:p w:rsidR="001A1289" w:rsidRDefault="005514CB">
      <w:pPr>
        <w:pStyle w:val="BodyText"/>
        <w:spacing w:before="3"/>
        <w:ind w:left="846"/>
      </w:pPr>
      <w:r>
        <w:t>$130 billion in economic growth over the decade to 2030.</w:t>
      </w:r>
    </w:p>
    <w:p w:rsidR="001A1289" w:rsidRDefault="001A1289">
      <w:pPr>
        <w:pStyle w:val="BodyText"/>
        <w:spacing w:before="10"/>
        <w:rPr>
          <w:sz w:val="18"/>
        </w:rPr>
      </w:pPr>
    </w:p>
    <w:p w:rsidR="001A1289" w:rsidRDefault="005514CB">
      <w:pPr>
        <w:pStyle w:val="ListParagraph"/>
        <w:numPr>
          <w:ilvl w:val="0"/>
          <w:numId w:val="1"/>
        </w:numPr>
        <w:tabs>
          <w:tab w:val="left" w:pos="846"/>
          <w:tab w:val="left" w:pos="847"/>
        </w:tabs>
        <w:ind w:right="692"/>
      </w:pPr>
      <w:r>
        <w:t>Optus believes that the proposed limit places too much focus on aucti</w:t>
      </w:r>
      <w:r>
        <w:t xml:space="preserve">on price discovery and revenue raising and insufficient focus on ensuring competition and pro-investment outcomes. Further </w:t>
      </w:r>
      <w:r>
        <w:rPr>
          <w:spacing w:val="-3"/>
        </w:rPr>
        <w:t xml:space="preserve">we </w:t>
      </w:r>
      <w:r>
        <w:t xml:space="preserve">find the use of an arbitrary 40% limit is inconsistent with previous allocation limits, which excluded Optus from the </w:t>
      </w:r>
      <w:r>
        <w:rPr>
          <w:spacing w:val="-3"/>
        </w:rPr>
        <w:t xml:space="preserve">3.6 </w:t>
      </w:r>
      <w:r>
        <w:t>GHz auct</w:t>
      </w:r>
      <w:r>
        <w:t xml:space="preserve">ion on the basis of holding 22% to 33% of relevant spectrum. No justification </w:t>
      </w:r>
      <w:r>
        <w:rPr>
          <w:spacing w:val="-3"/>
        </w:rPr>
        <w:t xml:space="preserve">is </w:t>
      </w:r>
      <w:r>
        <w:t xml:space="preserve">provided explaining why a higher concentration is acceptable for this foundational </w:t>
      </w:r>
      <w:r>
        <w:rPr>
          <w:spacing w:val="-3"/>
        </w:rPr>
        <w:t xml:space="preserve">low </w:t>
      </w:r>
      <w:r>
        <w:t>band</w:t>
      </w:r>
      <w:r>
        <w:rPr>
          <w:spacing w:val="-6"/>
        </w:rPr>
        <w:t xml:space="preserve"> </w:t>
      </w:r>
      <w:r>
        <w:t>spectrum.</w:t>
      </w:r>
    </w:p>
    <w:p w:rsidR="001A1289" w:rsidRDefault="001A1289">
      <w:pPr>
        <w:pStyle w:val="BodyText"/>
        <w:spacing w:before="1"/>
        <w:rPr>
          <w:sz w:val="19"/>
        </w:rPr>
      </w:pPr>
    </w:p>
    <w:p w:rsidR="001A1289" w:rsidRDefault="005514CB">
      <w:pPr>
        <w:pStyle w:val="ListParagraph"/>
        <w:numPr>
          <w:ilvl w:val="0"/>
          <w:numId w:val="1"/>
        </w:numPr>
        <w:tabs>
          <w:tab w:val="left" w:pos="846"/>
          <w:tab w:val="left" w:pos="847"/>
        </w:tabs>
        <w:ind w:right="792"/>
      </w:pPr>
      <w:r>
        <w:t>Optus recommend that the limit should be set at 72 MHz of sub-1 GHz spec</w:t>
      </w:r>
      <w:r>
        <w:t>trum under spectrum licences. This limit best achieves the efficiency goals by ensuring aggregate demand remains higher than aggregate supply for both 850 MHz and 900 MHz; while ensuring the sustainability of ongoing regional</w:t>
      </w:r>
      <w:r>
        <w:rPr>
          <w:spacing w:val="-2"/>
        </w:rPr>
        <w:t xml:space="preserve"> </w:t>
      </w:r>
      <w:r>
        <w:t>investment.</w:t>
      </w:r>
    </w:p>
    <w:p w:rsidR="001A1289" w:rsidRDefault="001A1289">
      <w:pPr>
        <w:pStyle w:val="BodyText"/>
        <w:spacing w:before="10"/>
        <w:rPr>
          <w:sz w:val="18"/>
        </w:rPr>
      </w:pPr>
    </w:p>
    <w:p w:rsidR="001A1289" w:rsidRDefault="005514CB">
      <w:pPr>
        <w:pStyle w:val="ListParagraph"/>
        <w:numPr>
          <w:ilvl w:val="0"/>
          <w:numId w:val="1"/>
        </w:numPr>
        <w:tabs>
          <w:tab w:val="left" w:pos="846"/>
          <w:tab w:val="left" w:pos="847"/>
        </w:tabs>
        <w:ind w:right="634"/>
      </w:pPr>
      <w:r>
        <w:t xml:space="preserve">It is vital that </w:t>
      </w:r>
      <w:r>
        <w:t xml:space="preserve">auctions are designed to ensure the final prices reflect efficient levels. Every dollar though above this level, is a dollar </w:t>
      </w:r>
      <w:r>
        <w:rPr>
          <w:spacing w:val="-3"/>
        </w:rPr>
        <w:t xml:space="preserve">that </w:t>
      </w:r>
      <w:r>
        <w:t>cannot be invested in the technology that supports the digital services and experiences that customers expect. A focus on auct</w:t>
      </w:r>
      <w:r>
        <w:t xml:space="preserve">ion price competition and revenue raising risks less investment in regional Australia and diminish the economic and job dividend </w:t>
      </w:r>
      <w:r>
        <w:rPr>
          <w:spacing w:val="-3"/>
        </w:rPr>
        <w:t xml:space="preserve">from </w:t>
      </w:r>
      <w:r>
        <w:t>regional</w:t>
      </w:r>
      <w:r>
        <w:rPr>
          <w:spacing w:val="1"/>
        </w:rPr>
        <w:t xml:space="preserve"> </w:t>
      </w:r>
      <w:r>
        <w:t>connectivity.</w:t>
      </w:r>
    </w:p>
    <w:p w:rsidR="001A1289" w:rsidRDefault="001A1289">
      <w:pPr>
        <w:pStyle w:val="BodyText"/>
        <w:spacing w:before="5"/>
        <w:rPr>
          <w:sz w:val="19"/>
        </w:rPr>
      </w:pPr>
    </w:p>
    <w:p w:rsidR="001A1289" w:rsidRDefault="005514CB">
      <w:pPr>
        <w:pStyle w:val="ListParagraph"/>
        <w:numPr>
          <w:ilvl w:val="0"/>
          <w:numId w:val="1"/>
        </w:numPr>
        <w:tabs>
          <w:tab w:val="left" w:pos="846"/>
          <w:tab w:val="left" w:pos="847"/>
        </w:tabs>
        <w:ind w:right="658"/>
      </w:pPr>
      <w:r>
        <w:t>Furthermore, the Direction should ensure the ACMA cannot introduce additional barriers to the take</w:t>
      </w:r>
      <w:r>
        <w:t>-up of set-asides. To be clear; the proposed auction rules by the ACMA undermines the concept of set-asides and as such is counter to the Direction and Government</w:t>
      </w:r>
      <w:r>
        <w:rPr>
          <w:spacing w:val="-3"/>
        </w:rPr>
        <w:t xml:space="preserve"> </w:t>
      </w:r>
      <w:r>
        <w:t>policy.</w:t>
      </w:r>
    </w:p>
    <w:p w:rsidR="001A1289" w:rsidRDefault="001A1289">
      <w:pPr>
        <w:pStyle w:val="BodyText"/>
        <w:spacing w:before="9"/>
        <w:rPr>
          <w:sz w:val="18"/>
        </w:rPr>
      </w:pPr>
    </w:p>
    <w:p w:rsidR="001A1289" w:rsidRDefault="005514CB">
      <w:pPr>
        <w:pStyle w:val="ListParagraph"/>
        <w:numPr>
          <w:ilvl w:val="0"/>
          <w:numId w:val="1"/>
        </w:numPr>
        <w:tabs>
          <w:tab w:val="left" w:pos="846"/>
          <w:tab w:val="left" w:pos="847"/>
        </w:tabs>
        <w:spacing w:before="1"/>
        <w:ind w:right="670"/>
      </w:pPr>
      <w:r>
        <w:t>Of most concern is the proposal for an ‘auction avoidance uplift’ or ‘exit price’ to</w:t>
      </w:r>
      <w:r>
        <w:t xml:space="preserve"> be set. Not only does this risk the Government’s policy objectives, but the use of untested pricing concepts, without any justification </w:t>
      </w:r>
      <w:r>
        <w:rPr>
          <w:spacing w:val="-3"/>
        </w:rPr>
        <w:t xml:space="preserve">in </w:t>
      </w:r>
      <w:r>
        <w:t>terms of efficiency, may be inconsistent with the Radiocommunications Act. The Direction should ensure the ACMA sets</w:t>
      </w:r>
      <w:r>
        <w:t xml:space="preserve"> the price for the set-aside lots at the same level as the reserve price for generic</w:t>
      </w:r>
      <w:r>
        <w:rPr>
          <w:spacing w:val="-13"/>
        </w:rPr>
        <w:t xml:space="preserve"> </w:t>
      </w:r>
      <w:r>
        <w:t>lots.</w:t>
      </w:r>
    </w:p>
    <w:p w:rsidR="001A1289" w:rsidRDefault="001A1289">
      <w:pPr>
        <w:sectPr w:rsidR="001A1289">
          <w:footerReference w:type="default" r:id="rId8"/>
          <w:pgSz w:w="11900" w:h="16840"/>
          <w:pgMar w:top="1060" w:right="540" w:bottom="1000" w:left="1280" w:header="0" w:footer="809" w:gutter="0"/>
          <w:pgNumType w:start="2"/>
          <w:cols w:space="720"/>
        </w:sectPr>
      </w:pPr>
    </w:p>
    <w:p w:rsidR="001A1289" w:rsidRDefault="005514CB">
      <w:pPr>
        <w:pStyle w:val="Heading1"/>
        <w:spacing w:line="278" w:lineRule="auto"/>
        <w:ind w:right="2544"/>
      </w:pPr>
      <w:r>
        <w:rPr>
          <w:noProof/>
          <w:lang w:val="en-AU" w:eastAsia="en-AU"/>
        </w:rPr>
        <w:lastRenderedPageBreak/>
        <mc:AlternateContent>
          <mc:Choice Requires="wps">
            <w:drawing>
              <wp:anchor distT="0" distB="0" distL="0" distR="0" simplePos="0" relativeHeight="251661312" behindDoc="1" locked="0" layoutInCell="1" allowOverlap="1">
                <wp:simplePos x="0" y="0"/>
                <wp:positionH relativeFrom="page">
                  <wp:posOffset>880745</wp:posOffset>
                </wp:positionH>
                <wp:positionV relativeFrom="paragraph">
                  <wp:posOffset>653415</wp:posOffset>
                </wp:positionV>
                <wp:extent cx="5977255" cy="1270"/>
                <wp:effectExtent l="0" t="0" r="0" b="0"/>
                <wp:wrapTopAndBottom/>
                <wp:docPr id="7" name="Freeform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7255" cy="1270"/>
                        </a:xfrm>
                        <a:custGeom>
                          <a:avLst/>
                          <a:gdLst>
                            <a:gd name="T0" fmla="+- 0 1387 1387"/>
                            <a:gd name="T1" fmla="*/ T0 w 9413"/>
                            <a:gd name="T2" fmla="+- 0 10800 1387"/>
                            <a:gd name="T3" fmla="*/ T2 w 9413"/>
                          </a:gdLst>
                          <a:ahLst/>
                          <a:cxnLst>
                            <a:cxn ang="0">
                              <a:pos x="T1" y="0"/>
                            </a:cxn>
                            <a:cxn ang="0">
                              <a:pos x="T3" y="0"/>
                            </a:cxn>
                          </a:cxnLst>
                          <a:rect l="0" t="0" r="r" b="b"/>
                          <a:pathLst>
                            <a:path w="9413">
                              <a:moveTo>
                                <a:pt x="0" y="0"/>
                              </a:moveTo>
                              <a:lnTo>
                                <a:pt x="9413" y="0"/>
                              </a:lnTo>
                            </a:path>
                          </a:pathLst>
                        </a:custGeom>
                        <a:noFill/>
                        <a:ln w="6096">
                          <a:solidFill>
                            <a:srgbClr val="00668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1CDD68" id="Freeform 6" o:spid="_x0000_s1026" style="position:absolute;margin-left:69.35pt;margin-top:51.45pt;width:470.65pt;height:.1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" path="m,l9413,e" filled="f" strokecolor="#006684" strokeweight=".48pt">
                <v:path arrowok="t" o:connecttype="custom" o:connectlocs="0,0;5977255,0" o:connectangles="0,0"/>
                <w10:wrap type="topAndBottom" anchorx="page"/>
              </v:shape>
            </w:pict>
          </mc:Fallback>
        </mc:AlternateContent>
      </w:r>
      <w:r>
        <w:rPr>
          <w:color w:val="00A2AC"/>
          <w:sz w:val="36"/>
        </w:rPr>
        <w:t>72 MH</w:t>
      </w:r>
      <w:r>
        <w:rPr>
          <w:color w:val="00A2AC"/>
        </w:rPr>
        <w:t xml:space="preserve">Z LIMIT IS REQUIRED </w:t>
      </w:r>
      <w:r>
        <w:rPr>
          <w:color w:val="00A2AC"/>
          <w:spacing w:val="3"/>
        </w:rPr>
        <w:t xml:space="preserve">TO </w:t>
      </w:r>
      <w:r>
        <w:rPr>
          <w:color w:val="00A2AC"/>
        </w:rPr>
        <w:t>ENSURE</w:t>
      </w:r>
      <w:r>
        <w:rPr>
          <w:color w:val="00A2AC"/>
          <w:spacing w:val="-53"/>
        </w:rPr>
        <w:t xml:space="preserve"> </w:t>
      </w:r>
      <w:r>
        <w:rPr>
          <w:color w:val="00A2AC"/>
        </w:rPr>
        <w:t>REGIONAL INVESTMENT</w:t>
      </w:r>
    </w:p>
    <w:p w:rsidR="001A1289" w:rsidRDefault="001A1289">
      <w:pPr>
        <w:pStyle w:val="BodyText"/>
        <w:spacing w:before="1"/>
        <w:rPr>
          <w:b/>
          <w:sz w:val="8"/>
        </w:rPr>
      </w:pPr>
    </w:p>
    <w:p w:rsidR="001A1289" w:rsidRDefault="005514CB">
      <w:pPr>
        <w:pStyle w:val="ListParagraph"/>
        <w:numPr>
          <w:ilvl w:val="0"/>
          <w:numId w:val="1"/>
        </w:numPr>
        <w:tabs>
          <w:tab w:val="left" w:pos="846"/>
          <w:tab w:val="left" w:pos="847"/>
        </w:tabs>
        <w:spacing w:before="94"/>
        <w:ind w:right="999"/>
      </w:pPr>
      <w:r>
        <w:t>Optus supports the need for an allocation limit set across all substitutable sub-1 GHz spectrum. This limit must be set at a level</w:t>
      </w:r>
      <w:r>
        <w:rPr>
          <w:spacing w:val="-5"/>
        </w:rPr>
        <w:t xml:space="preserve"> </w:t>
      </w:r>
      <w:r>
        <w:t>that:</w:t>
      </w:r>
    </w:p>
    <w:p w:rsidR="001A1289" w:rsidRDefault="001A1289">
      <w:pPr>
        <w:pStyle w:val="BodyText"/>
        <w:spacing w:before="6"/>
        <w:rPr>
          <w:sz w:val="19"/>
        </w:rPr>
      </w:pPr>
    </w:p>
    <w:p w:rsidR="001A1289" w:rsidRDefault="005514CB">
      <w:pPr>
        <w:pStyle w:val="ListParagraph"/>
        <w:numPr>
          <w:ilvl w:val="1"/>
          <w:numId w:val="1"/>
        </w:numPr>
        <w:tabs>
          <w:tab w:val="left" w:pos="1551"/>
          <w:tab w:val="left" w:pos="1552"/>
        </w:tabs>
      </w:pPr>
      <w:r>
        <w:t>Promotes competition in downstream</w:t>
      </w:r>
      <w:r>
        <w:rPr>
          <w:spacing w:val="-1"/>
        </w:rPr>
        <w:t xml:space="preserve"> </w:t>
      </w:r>
      <w:r>
        <w:t>markets;</w:t>
      </w:r>
    </w:p>
    <w:p w:rsidR="001A1289" w:rsidRDefault="005514CB">
      <w:pPr>
        <w:pStyle w:val="ListParagraph"/>
        <w:numPr>
          <w:ilvl w:val="1"/>
          <w:numId w:val="1"/>
        </w:numPr>
        <w:tabs>
          <w:tab w:val="left" w:pos="1551"/>
          <w:tab w:val="left" w:pos="1552"/>
        </w:tabs>
        <w:spacing w:before="207"/>
      </w:pPr>
      <w:r>
        <w:t>Ensures allocative efficiency is achieved;</w:t>
      </w:r>
      <w:r>
        <w:rPr>
          <w:spacing w:val="-8"/>
        </w:rPr>
        <w:t xml:space="preserve"> </w:t>
      </w:r>
      <w:r>
        <w:t>and</w:t>
      </w:r>
    </w:p>
    <w:p w:rsidR="001A1289" w:rsidRDefault="005514CB">
      <w:pPr>
        <w:pStyle w:val="ListParagraph"/>
        <w:numPr>
          <w:ilvl w:val="1"/>
          <w:numId w:val="1"/>
        </w:numPr>
        <w:tabs>
          <w:tab w:val="left" w:pos="1551"/>
          <w:tab w:val="left" w:pos="1552"/>
        </w:tabs>
        <w:spacing w:before="207"/>
      </w:pPr>
      <w:r>
        <w:t>Promot</w:t>
      </w:r>
      <w:r>
        <w:t>es investment in networks that rely on the</w:t>
      </w:r>
      <w:r>
        <w:rPr>
          <w:spacing w:val="-7"/>
        </w:rPr>
        <w:t xml:space="preserve"> </w:t>
      </w:r>
      <w:r>
        <w:t>spectrum.</w:t>
      </w:r>
    </w:p>
    <w:p w:rsidR="001A1289" w:rsidRDefault="005514CB">
      <w:pPr>
        <w:pStyle w:val="ListParagraph"/>
        <w:numPr>
          <w:ilvl w:val="0"/>
          <w:numId w:val="1"/>
        </w:numPr>
        <w:tabs>
          <w:tab w:val="left" w:pos="846"/>
          <w:tab w:val="left" w:pos="847"/>
        </w:tabs>
        <w:spacing w:before="205"/>
        <w:ind w:right="638"/>
      </w:pPr>
      <w:r>
        <w:t>Optus does not support the arbitrary decision to set the allocation limit at 40% of total sub-1 GHz holdings. This limit remains too high and does not pay sufficient regard to</w:t>
      </w:r>
      <w:r>
        <w:rPr>
          <w:spacing w:val="-43"/>
        </w:rPr>
        <w:t xml:space="preserve"> </w:t>
      </w:r>
      <w:r>
        <w:t>the foundational nature of the band and the importance of a national level playing field. Specifically, an 82 MHz</w:t>
      </w:r>
      <w:r>
        <w:rPr>
          <w:spacing w:val="-2"/>
        </w:rPr>
        <w:t xml:space="preserve"> </w:t>
      </w:r>
      <w:r>
        <w:t>limit:</w:t>
      </w:r>
    </w:p>
    <w:p w:rsidR="001A1289" w:rsidRDefault="001A1289">
      <w:pPr>
        <w:pStyle w:val="BodyText"/>
        <w:spacing w:before="4"/>
        <w:rPr>
          <w:sz w:val="19"/>
        </w:rPr>
      </w:pPr>
    </w:p>
    <w:p w:rsidR="001A1289" w:rsidRDefault="005514CB">
      <w:pPr>
        <w:pStyle w:val="ListParagraph"/>
        <w:numPr>
          <w:ilvl w:val="1"/>
          <w:numId w:val="1"/>
        </w:numPr>
        <w:tabs>
          <w:tab w:val="left" w:pos="1551"/>
          <w:tab w:val="left" w:pos="1552"/>
        </w:tabs>
        <w:spacing w:before="1"/>
      </w:pPr>
      <w:r>
        <w:t>Risks concentrated communications markets, especially in regional</w:t>
      </w:r>
      <w:r>
        <w:rPr>
          <w:spacing w:val="-17"/>
        </w:rPr>
        <w:t xml:space="preserve"> </w:t>
      </w:r>
      <w:r>
        <w:t>areas;</w:t>
      </w:r>
    </w:p>
    <w:p w:rsidR="001A1289" w:rsidRDefault="005514CB">
      <w:pPr>
        <w:pStyle w:val="ListParagraph"/>
        <w:numPr>
          <w:ilvl w:val="1"/>
          <w:numId w:val="1"/>
        </w:numPr>
        <w:tabs>
          <w:tab w:val="left" w:pos="1551"/>
          <w:tab w:val="left" w:pos="1552"/>
        </w:tabs>
        <w:spacing w:before="206" w:line="235" w:lineRule="auto"/>
        <w:ind w:right="881"/>
      </w:pPr>
      <w:r>
        <w:t>Places too much weight on revenue maximisation, beyond achiev</w:t>
      </w:r>
      <w:r>
        <w:t>ing allocative efficiency;</w:t>
      </w:r>
      <w:r>
        <w:rPr>
          <w:spacing w:val="-3"/>
        </w:rPr>
        <w:t xml:space="preserve"> </w:t>
      </w:r>
      <w:r>
        <w:t>and</w:t>
      </w:r>
    </w:p>
    <w:p w:rsidR="001A1289" w:rsidRDefault="001A1289">
      <w:pPr>
        <w:pStyle w:val="BodyText"/>
        <w:rPr>
          <w:sz w:val="19"/>
        </w:rPr>
      </w:pPr>
    </w:p>
    <w:p w:rsidR="001A1289" w:rsidRDefault="005514CB">
      <w:pPr>
        <w:pStyle w:val="ListParagraph"/>
        <w:numPr>
          <w:ilvl w:val="1"/>
          <w:numId w:val="1"/>
        </w:numPr>
        <w:tabs>
          <w:tab w:val="left" w:pos="1551"/>
          <w:tab w:val="left" w:pos="1552"/>
        </w:tabs>
      </w:pPr>
      <w:r>
        <w:t>Does not provide for sustainable regional network</w:t>
      </w:r>
      <w:r>
        <w:rPr>
          <w:spacing w:val="-10"/>
        </w:rPr>
        <w:t xml:space="preserve"> </w:t>
      </w:r>
      <w:r>
        <w:t>investment.</w:t>
      </w:r>
    </w:p>
    <w:p w:rsidR="001A1289" w:rsidRDefault="005514CB">
      <w:pPr>
        <w:pStyle w:val="ListParagraph"/>
        <w:numPr>
          <w:ilvl w:val="0"/>
          <w:numId w:val="1"/>
        </w:numPr>
        <w:tabs>
          <w:tab w:val="left" w:pos="846"/>
          <w:tab w:val="left" w:pos="847"/>
        </w:tabs>
        <w:spacing w:before="205"/>
        <w:ind w:hanging="721"/>
      </w:pPr>
      <w:r>
        <w:t>Optus discusses this</w:t>
      </w:r>
      <w:r>
        <w:rPr>
          <w:spacing w:val="-8"/>
        </w:rPr>
        <w:t xml:space="preserve"> </w:t>
      </w:r>
      <w:r>
        <w:t>below.</w:t>
      </w:r>
    </w:p>
    <w:p w:rsidR="001A1289" w:rsidRDefault="001A1289">
      <w:pPr>
        <w:pStyle w:val="BodyText"/>
        <w:rPr>
          <w:sz w:val="21"/>
        </w:rPr>
      </w:pPr>
    </w:p>
    <w:p w:rsidR="001A1289" w:rsidRDefault="005514CB">
      <w:pPr>
        <w:pStyle w:val="Heading2"/>
        <w:spacing w:before="1"/>
      </w:pPr>
      <w:r>
        <w:t>Regional consumers benefit from competition</w:t>
      </w:r>
    </w:p>
    <w:p w:rsidR="001A1289" w:rsidRDefault="001A1289">
      <w:pPr>
        <w:pStyle w:val="BodyText"/>
        <w:spacing w:before="7"/>
        <w:rPr>
          <w:b/>
          <w:sz w:val="20"/>
        </w:rPr>
      </w:pPr>
    </w:p>
    <w:p w:rsidR="001A1289" w:rsidRDefault="005514CB">
      <w:pPr>
        <w:pStyle w:val="ListParagraph"/>
        <w:numPr>
          <w:ilvl w:val="0"/>
          <w:numId w:val="1"/>
        </w:numPr>
        <w:tabs>
          <w:tab w:val="left" w:pos="846"/>
          <w:tab w:val="left" w:pos="847"/>
        </w:tabs>
        <w:ind w:right="708"/>
      </w:pPr>
      <w:r>
        <w:t>All Australians, no matter their mobile network, benefit from the presence of alternative competitive networks. The presence of alternative networks provides benefits to not just consumers who move to new providers but also those who remain on the incumben</w:t>
      </w:r>
      <w:r>
        <w:t>t provider – as the incumbent is forced to improve its service levels.</w:t>
      </w:r>
    </w:p>
    <w:p w:rsidR="001A1289" w:rsidRDefault="001A1289">
      <w:pPr>
        <w:pStyle w:val="BodyText"/>
        <w:spacing w:before="3"/>
        <w:rPr>
          <w:sz w:val="19"/>
        </w:rPr>
      </w:pPr>
    </w:p>
    <w:p w:rsidR="001A1289" w:rsidRDefault="005514CB">
      <w:pPr>
        <w:pStyle w:val="ListParagraph"/>
        <w:numPr>
          <w:ilvl w:val="0"/>
          <w:numId w:val="1"/>
        </w:numPr>
        <w:tabs>
          <w:tab w:val="left" w:pos="846"/>
          <w:tab w:val="left" w:pos="847"/>
        </w:tabs>
        <w:ind w:right="661"/>
      </w:pPr>
      <w:r>
        <w:t>While competition in metro areas ensures competitive national prices; it does not</w:t>
      </w:r>
      <w:r>
        <w:rPr>
          <w:spacing w:val="-40"/>
        </w:rPr>
        <w:t xml:space="preserve"> </w:t>
      </w:r>
      <w:r>
        <w:t xml:space="preserve">ensure delivery of metro-like network quality to regional areas. The history of the Australian market </w:t>
      </w:r>
      <w:r>
        <w:t xml:space="preserve">has clearly shown that areas that are only covered by a single provider do not receive network service quality equal to that </w:t>
      </w:r>
      <w:r>
        <w:rPr>
          <w:spacing w:val="-3"/>
        </w:rPr>
        <w:t xml:space="preserve">in </w:t>
      </w:r>
      <w:r>
        <w:t>areas of</w:t>
      </w:r>
      <w:r>
        <w:rPr>
          <w:spacing w:val="-8"/>
        </w:rPr>
        <w:t xml:space="preserve"> </w:t>
      </w:r>
      <w:r>
        <w:t>competition.</w:t>
      </w:r>
    </w:p>
    <w:p w:rsidR="001A1289" w:rsidRDefault="001A1289">
      <w:pPr>
        <w:pStyle w:val="BodyText"/>
        <w:spacing w:before="5"/>
        <w:rPr>
          <w:sz w:val="19"/>
        </w:rPr>
      </w:pPr>
    </w:p>
    <w:p w:rsidR="001A1289" w:rsidRDefault="005514CB">
      <w:pPr>
        <w:pStyle w:val="ListParagraph"/>
        <w:numPr>
          <w:ilvl w:val="0"/>
          <w:numId w:val="1"/>
        </w:numPr>
        <w:tabs>
          <w:tab w:val="left" w:pos="846"/>
          <w:tab w:val="left" w:pos="847"/>
        </w:tabs>
        <w:spacing w:line="237" w:lineRule="auto"/>
        <w:ind w:right="632"/>
      </w:pPr>
      <w:r>
        <w:t xml:space="preserve">The history of the Australian telecommunication industry shows that competition and investment from challenger networks drives the deployment of new technology. In the fixed line sector, challenger networks like Optus invested </w:t>
      </w:r>
      <w:r>
        <w:rPr>
          <w:spacing w:val="-3"/>
        </w:rPr>
        <w:t xml:space="preserve">in </w:t>
      </w:r>
      <w:r>
        <w:t xml:space="preserve">ADSL2+ before Telstra and </w:t>
      </w:r>
      <w:r>
        <w:t>drove consumer take up of broadband.</w:t>
      </w:r>
      <w:r>
        <w:rPr>
          <w:position w:val="8"/>
          <w:sz w:val="14"/>
        </w:rPr>
        <w:t xml:space="preserve">1 </w:t>
      </w:r>
      <w:r>
        <w:t xml:space="preserve">In response to these competitive investments, Telstra belatedly upgraded some exchanges to ADSL2+, </w:t>
      </w:r>
      <w:r>
        <w:rPr>
          <w:i/>
        </w:rPr>
        <w:t xml:space="preserve">only </w:t>
      </w:r>
      <w:r>
        <w:rPr>
          <w:i/>
          <w:spacing w:val="-3"/>
        </w:rPr>
        <w:t xml:space="preserve">where </w:t>
      </w:r>
      <w:r>
        <w:rPr>
          <w:i/>
        </w:rPr>
        <w:t>it faced competition</w:t>
      </w:r>
      <w:r>
        <w:t>.</w:t>
      </w:r>
      <w:r>
        <w:rPr>
          <w:position w:val="8"/>
          <w:sz w:val="14"/>
        </w:rPr>
        <w:t xml:space="preserve">2 </w:t>
      </w:r>
      <w:r>
        <w:t>Where there was no competition, Telstra delayed or did not upgrade its network. Ultim</w:t>
      </w:r>
      <w:r>
        <w:t>ately, Telstra’s unwillingness to invest in new broadband technology led to the Government forcing structural separation of Telstra through the roll-out of the</w:t>
      </w:r>
      <w:r>
        <w:rPr>
          <w:spacing w:val="-34"/>
        </w:rPr>
        <w:t xml:space="preserve"> </w:t>
      </w:r>
      <w:r>
        <w:t>NBN.</w:t>
      </w:r>
    </w:p>
    <w:p w:rsidR="001A1289" w:rsidRDefault="001A1289">
      <w:pPr>
        <w:pStyle w:val="BodyText"/>
        <w:spacing w:before="10"/>
        <w:rPr>
          <w:sz w:val="19"/>
        </w:rPr>
      </w:pPr>
    </w:p>
    <w:p w:rsidR="001A1289" w:rsidRDefault="005514CB">
      <w:pPr>
        <w:pStyle w:val="ListParagraph"/>
        <w:numPr>
          <w:ilvl w:val="0"/>
          <w:numId w:val="1"/>
        </w:numPr>
        <w:tabs>
          <w:tab w:val="left" w:pos="846"/>
          <w:tab w:val="left" w:pos="847"/>
        </w:tabs>
        <w:spacing w:line="237" w:lineRule="auto"/>
        <w:ind w:right="621"/>
      </w:pPr>
      <w:r>
        <w:t>We see the same behaviour in the mobile network – with regional areas facing constant unde</w:t>
      </w:r>
      <w:r>
        <w:t>r investment in capacity until challenger investments are made. For example, Optus was named best mobile network in key regional cities following significant investment in its regional mobile network in 2017.</w:t>
      </w:r>
      <w:r>
        <w:rPr>
          <w:position w:val="8"/>
          <w:sz w:val="14"/>
        </w:rPr>
        <w:t xml:space="preserve">3 </w:t>
      </w:r>
      <w:r>
        <w:t>While Telstra responded, Optus maintains</w:t>
      </w:r>
      <w:r>
        <w:rPr>
          <w:spacing w:val="-41"/>
        </w:rPr>
        <w:t xml:space="preserve"> </w:t>
      </w:r>
      <w:r>
        <w:t>data</w:t>
      </w:r>
    </w:p>
    <w:p w:rsidR="001A1289" w:rsidRDefault="005514CB">
      <w:pPr>
        <w:pStyle w:val="BodyText"/>
        <w:spacing w:before="6"/>
        <w:rPr>
          <w:sz w:val="13"/>
        </w:rPr>
      </w:pPr>
      <w:r>
        <w:rPr>
          <w:noProof/>
          <w:lang w:val="en-AU" w:eastAsia="en-AU"/>
        </w:rPr>
        <mc:AlternateContent>
          <mc:Choice Requires="wps">
            <w:drawing>
              <wp:anchor distT="0" distB="0" distL="0" distR="0" simplePos="0" relativeHeight="251662336" behindDoc="1" locked="0" layoutInCell="1" allowOverlap="1">
                <wp:simplePos x="0" y="0"/>
                <wp:positionH relativeFrom="page">
                  <wp:posOffset>899160</wp:posOffset>
                </wp:positionH>
                <wp:positionV relativeFrom="paragraph">
                  <wp:posOffset>128905</wp:posOffset>
                </wp:positionV>
                <wp:extent cx="1828800" cy="1270"/>
                <wp:effectExtent l="0" t="0" r="0" b="0"/>
                <wp:wrapTopAndBottom/>
                <wp:docPr id="6" name="Freeform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8800" cy="1270"/>
                        </a:xfrm>
                        <a:custGeom>
                          <a:avLst/>
                          <a:gdLst>
                            <a:gd name="T0" fmla="+- 0 1416 1416"/>
                            <a:gd name="T1" fmla="*/ T0 w 2880"/>
                            <a:gd name="T2" fmla="+- 0 4296 1416"/>
                            <a:gd name="T3" fmla="*/ T2 w 2880"/>
                          </a:gdLst>
                          <a:ahLst/>
                          <a:cxnLst>
                            <a:cxn ang="0">
                              <a:pos x="T1" y="0"/>
                            </a:cxn>
                            <a:cxn ang="0">
                              <a:pos x="T3" y="0"/>
                            </a:cxn>
                          </a:cxnLst>
                          <a:rect l="0" t="0" r="r" b="b"/>
                          <a:pathLst>
                            <a:path w="2880">
                              <a:moveTo>
                                <a:pt x="0" y="0"/>
                              </a:moveTo>
                              <a:lnTo>
                                <a:pt x="2880" y="0"/>
                              </a:lnTo>
                            </a:path>
                          </a:pathLst>
                        </a:custGeom>
                        <a:noFill/>
                        <a:ln w="914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DB8999" id="Freeform 5" o:spid="_x0000_s1026" style="position:absolute;margin-left:70.8pt;margin-top:10.15pt;width:2in;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" path="m,l2880,e" filled="f" strokeweight=".72pt">
                <v:path arrowok="t" o:connecttype="custom" o:connectlocs="0,0;1828800,0" o:connectangles="0,0"/>
                <w10:wrap type="topAndBottom" anchorx="page"/>
              </v:shape>
            </w:pict>
          </mc:Fallback>
        </mc:AlternateContent>
      </w:r>
    </w:p>
    <w:p w:rsidR="001A1289" w:rsidRDefault="005514CB">
      <w:pPr>
        <w:spacing w:before="69" w:line="246" w:lineRule="exact"/>
        <w:ind w:left="135"/>
        <w:rPr>
          <w:rFonts w:ascii="Calibri"/>
          <w:sz w:val="20"/>
        </w:rPr>
      </w:pPr>
      <w:r>
        <w:rPr>
          <w:rFonts w:ascii="Calibri"/>
          <w:position w:val="7"/>
          <w:sz w:val="13"/>
        </w:rPr>
        <w:t xml:space="preserve">1 </w:t>
      </w:r>
      <w:r>
        <w:rPr>
          <w:rFonts w:ascii="Calibri"/>
          <w:sz w:val="20"/>
        </w:rPr>
        <w:t>ACCC, 2007, Fixed Services Review; Second Position Paper, p.9</w:t>
      </w:r>
    </w:p>
    <w:p w:rsidR="001A1289" w:rsidRDefault="005514CB">
      <w:pPr>
        <w:spacing w:line="245" w:lineRule="exact"/>
        <w:ind w:left="135"/>
        <w:rPr>
          <w:rFonts w:ascii="Calibri"/>
          <w:sz w:val="20"/>
        </w:rPr>
      </w:pPr>
      <w:r>
        <w:rPr>
          <w:rFonts w:ascii="Calibri"/>
          <w:position w:val="7"/>
          <w:sz w:val="13"/>
        </w:rPr>
        <w:t xml:space="preserve">2 </w:t>
      </w:r>
      <w:r>
        <w:rPr>
          <w:rFonts w:ascii="Calibri"/>
          <w:sz w:val="20"/>
        </w:rPr>
        <w:t>Ibid., p.11</w:t>
      </w:r>
    </w:p>
    <w:p w:rsidR="001A1289" w:rsidRDefault="005514CB">
      <w:pPr>
        <w:ind w:left="135" w:right="1216"/>
        <w:rPr>
          <w:rFonts w:ascii="Calibri"/>
          <w:sz w:val="20"/>
        </w:rPr>
      </w:pPr>
      <w:r>
        <w:rPr>
          <w:rFonts w:ascii="Calibri"/>
          <w:position w:val="7"/>
          <w:sz w:val="13"/>
        </w:rPr>
        <w:t xml:space="preserve">3 </w:t>
      </w:r>
      <w:r>
        <w:rPr>
          <w:rFonts w:ascii="Calibri"/>
          <w:sz w:val="20"/>
        </w:rPr>
        <w:t>https://</w:t>
      </w:r>
      <w:hyperlink r:id="rId9">
        <w:r>
          <w:rPr>
            <w:rFonts w:ascii="Calibri"/>
            <w:sz w:val="20"/>
          </w:rPr>
          <w:t>www.optus.com.au/about/media-centre/media-releases/2017/12/optus-mobile-network-named-</w:t>
        </w:r>
      </w:hyperlink>
      <w:r>
        <w:rPr>
          <w:rFonts w:ascii="Calibri"/>
          <w:sz w:val="20"/>
        </w:rPr>
        <w:t xml:space="preserve"> australias-best-in-test-p3</w:t>
      </w:r>
    </w:p>
    <w:p w:rsidR="001A1289" w:rsidRDefault="001A1289">
      <w:pPr>
        <w:rPr>
          <w:rFonts w:ascii="Calibri"/>
          <w:sz w:val="20"/>
        </w:rPr>
        <w:sectPr w:rsidR="001A1289">
          <w:pgSz w:w="11900" w:h="16840"/>
          <w:pgMar w:top="1060" w:right="540" w:bottom="1000" w:left="1280" w:header="0" w:footer="809" w:gutter="0"/>
          <w:cols w:space="720"/>
        </w:sectPr>
      </w:pPr>
    </w:p>
    <w:p w:rsidR="001A1289" w:rsidRDefault="005514CB">
      <w:pPr>
        <w:pStyle w:val="BodyText"/>
        <w:spacing w:before="69"/>
        <w:ind w:left="846" w:right="596"/>
      </w:pPr>
      <w:r>
        <w:lastRenderedPageBreak/>
        <w:t>leadership in regional cities.</w:t>
      </w:r>
      <w:r>
        <w:rPr>
          <w:position w:val="8"/>
          <w:sz w:val="14"/>
        </w:rPr>
        <w:t xml:space="preserve">4 </w:t>
      </w:r>
      <w:r>
        <w:t>This tit-for-tat investment benefits all Australian consumers whichever mobile operator they</w:t>
      </w:r>
      <w:r>
        <w:t xml:space="preserve"> subscribe to and drives the competitive dividend further into regional Australia. We continue to see greater local engagement, sponsorship and product offerings from Telstra in regional areas where Optus is strong.</w:t>
      </w:r>
    </w:p>
    <w:p w:rsidR="001A1289" w:rsidRDefault="001A1289">
      <w:pPr>
        <w:pStyle w:val="BodyText"/>
        <w:spacing w:before="5"/>
        <w:rPr>
          <w:sz w:val="19"/>
        </w:rPr>
      </w:pPr>
    </w:p>
    <w:p w:rsidR="001A1289" w:rsidRDefault="005514CB">
      <w:pPr>
        <w:pStyle w:val="ListParagraph"/>
        <w:numPr>
          <w:ilvl w:val="0"/>
          <w:numId w:val="1"/>
        </w:numPr>
        <w:tabs>
          <w:tab w:val="left" w:pos="846"/>
          <w:tab w:val="left" w:pos="847"/>
        </w:tabs>
        <w:spacing w:line="237" w:lineRule="auto"/>
        <w:ind w:right="597"/>
      </w:pPr>
      <w:r>
        <w:t>We see no reason why this historical be</w:t>
      </w:r>
      <w:r>
        <w:t>haviour will change with the deployment of 5G. Telstra may be able to deploy a low-capacity 5G network using its regional spectrum, but this will not deliver consumers the potential of 5G that is being promised – or which is being offered now in metro area</w:t>
      </w:r>
      <w:r>
        <w:t>s.</w:t>
      </w:r>
      <w:r>
        <w:rPr>
          <w:position w:val="8"/>
          <w:sz w:val="14"/>
        </w:rPr>
        <w:t xml:space="preserve">5 </w:t>
      </w:r>
      <w:r>
        <w:t>We see reports that in some regional areas Telstra’s “5G” offers slower speeds than Optus’ 4G network.</w:t>
      </w:r>
      <w:r>
        <w:rPr>
          <w:position w:val="8"/>
          <w:sz w:val="14"/>
        </w:rPr>
        <w:t xml:space="preserve">6 </w:t>
      </w:r>
      <w:r>
        <w:t>Optus also observes that Telstra is targeting its 5G roll-out in areas where Optus has invested with strong network performance.</w:t>
      </w:r>
    </w:p>
    <w:p w:rsidR="001A1289" w:rsidRDefault="001A1289">
      <w:pPr>
        <w:pStyle w:val="BodyText"/>
        <w:spacing w:before="4"/>
        <w:rPr>
          <w:sz w:val="19"/>
        </w:rPr>
      </w:pPr>
    </w:p>
    <w:p w:rsidR="001A1289" w:rsidRDefault="005514CB">
      <w:pPr>
        <w:pStyle w:val="ListParagraph"/>
        <w:numPr>
          <w:ilvl w:val="0"/>
          <w:numId w:val="1"/>
        </w:numPr>
        <w:tabs>
          <w:tab w:val="left" w:pos="847"/>
        </w:tabs>
        <w:ind w:right="755"/>
        <w:jc w:val="both"/>
      </w:pPr>
      <w:r>
        <w:t>Competition is nee</w:t>
      </w:r>
      <w:r>
        <w:t xml:space="preserve">ded </w:t>
      </w:r>
      <w:r>
        <w:rPr>
          <w:spacing w:val="-3"/>
        </w:rPr>
        <w:t xml:space="preserve">in </w:t>
      </w:r>
      <w:r>
        <w:t xml:space="preserve">order for Australians to experience the full benefits of both 4G and 5G. However, Optus’ lack of low-band spectrum limits our ability to invest further in growing our 4G network and to invest </w:t>
      </w:r>
      <w:r>
        <w:rPr>
          <w:spacing w:val="-3"/>
        </w:rPr>
        <w:t xml:space="preserve">in </w:t>
      </w:r>
      <w:r>
        <w:t>5G</w:t>
      </w:r>
      <w:r>
        <w:rPr>
          <w:spacing w:val="7"/>
        </w:rPr>
        <w:t xml:space="preserve"> </w:t>
      </w:r>
      <w:r>
        <w:t>roll-out.</w:t>
      </w:r>
    </w:p>
    <w:p w:rsidR="001A1289" w:rsidRDefault="001A1289">
      <w:pPr>
        <w:pStyle w:val="BodyText"/>
        <w:spacing w:before="2"/>
        <w:rPr>
          <w:sz w:val="19"/>
        </w:rPr>
      </w:pPr>
    </w:p>
    <w:p w:rsidR="001A1289" w:rsidRDefault="005514CB">
      <w:pPr>
        <w:pStyle w:val="ListParagraph"/>
        <w:numPr>
          <w:ilvl w:val="0"/>
          <w:numId w:val="1"/>
        </w:numPr>
        <w:tabs>
          <w:tab w:val="left" w:pos="846"/>
          <w:tab w:val="left" w:pos="847"/>
        </w:tabs>
        <w:ind w:right="727"/>
      </w:pPr>
      <w:r>
        <w:t xml:space="preserve">Addressing this issue requires a competitive allocation of low band spectrum and the ability to commercially invest in mobile infrastructure. Optus supports the use of sub-1 GHz allocation limit to ensure a competitive allocation; but is concerned that an </w:t>
      </w:r>
      <w:r>
        <w:t>82 MHz limit may place auction price competition and revenue raising above the need to ensure the viability of regional network</w:t>
      </w:r>
      <w:r>
        <w:rPr>
          <w:spacing w:val="-9"/>
        </w:rPr>
        <w:t xml:space="preserve"> </w:t>
      </w:r>
      <w:r>
        <w:t>investments.</w:t>
      </w:r>
    </w:p>
    <w:p w:rsidR="001A1289" w:rsidRDefault="001A1289">
      <w:pPr>
        <w:pStyle w:val="BodyText"/>
        <w:spacing w:before="4"/>
        <w:rPr>
          <w:sz w:val="19"/>
        </w:rPr>
      </w:pPr>
    </w:p>
    <w:p w:rsidR="001A1289" w:rsidRDefault="005514CB">
      <w:pPr>
        <w:pStyle w:val="ListParagraph"/>
        <w:numPr>
          <w:ilvl w:val="0"/>
          <w:numId w:val="1"/>
        </w:numPr>
        <w:tabs>
          <w:tab w:val="left" w:pos="846"/>
          <w:tab w:val="left" w:pos="847"/>
        </w:tabs>
        <w:ind w:right="1032"/>
      </w:pPr>
      <w:r>
        <w:t xml:space="preserve">Optus reiterates that auctions and price discovery have a sole purpose to ensure efficient </w:t>
      </w:r>
      <w:r>
        <w:rPr>
          <w:u w:val="single"/>
        </w:rPr>
        <w:t>allocation</w:t>
      </w:r>
      <w:r>
        <w:t xml:space="preserve"> of spectrum.</w:t>
      </w:r>
      <w:r>
        <w:t xml:space="preserve"> Price discovery should not have an object to raise revenue. Further, any price level above that needed to ensure efficient allocation will result </w:t>
      </w:r>
      <w:r>
        <w:rPr>
          <w:spacing w:val="-3"/>
        </w:rPr>
        <w:t xml:space="preserve">in </w:t>
      </w:r>
      <w:r>
        <w:t xml:space="preserve">lower investment </w:t>
      </w:r>
      <w:r>
        <w:rPr>
          <w:spacing w:val="-3"/>
        </w:rPr>
        <w:t xml:space="preserve">in </w:t>
      </w:r>
      <w:r>
        <w:t>mobile</w:t>
      </w:r>
      <w:r>
        <w:rPr>
          <w:spacing w:val="8"/>
        </w:rPr>
        <w:t xml:space="preserve"> </w:t>
      </w:r>
      <w:r>
        <w:t>networks.</w:t>
      </w:r>
    </w:p>
    <w:p w:rsidR="001A1289" w:rsidRDefault="001A1289">
      <w:pPr>
        <w:pStyle w:val="BodyText"/>
        <w:spacing w:before="10"/>
        <w:rPr>
          <w:sz w:val="18"/>
        </w:rPr>
      </w:pPr>
    </w:p>
    <w:p w:rsidR="001A1289" w:rsidRDefault="005514CB">
      <w:pPr>
        <w:pStyle w:val="ListParagraph"/>
        <w:numPr>
          <w:ilvl w:val="0"/>
          <w:numId w:val="1"/>
        </w:numPr>
        <w:tabs>
          <w:tab w:val="left" w:pos="846"/>
          <w:tab w:val="left" w:pos="847"/>
        </w:tabs>
        <w:ind w:right="1222"/>
      </w:pPr>
      <w:r>
        <w:t>Every extra dollar spent on acquiring spectrum is a dollar that cann</w:t>
      </w:r>
      <w:r>
        <w:t xml:space="preserve">ot be spent on investing </w:t>
      </w:r>
      <w:r>
        <w:rPr>
          <w:spacing w:val="-3"/>
        </w:rPr>
        <w:t xml:space="preserve">in </w:t>
      </w:r>
      <w:r>
        <w:t>regional Australia. The focus on artificial price competition risks driving inferior outcomes for the</w:t>
      </w:r>
      <w:r>
        <w:rPr>
          <w:spacing w:val="-3"/>
        </w:rPr>
        <w:t xml:space="preserve"> </w:t>
      </w:r>
      <w:r>
        <w:t>regions.</w:t>
      </w:r>
    </w:p>
    <w:p w:rsidR="001A1289" w:rsidRDefault="001A1289">
      <w:pPr>
        <w:pStyle w:val="BodyText"/>
        <w:spacing w:before="2"/>
        <w:rPr>
          <w:sz w:val="19"/>
        </w:rPr>
      </w:pPr>
    </w:p>
    <w:p w:rsidR="001A1289" w:rsidRDefault="005514CB">
      <w:pPr>
        <w:pStyle w:val="ListParagraph"/>
        <w:numPr>
          <w:ilvl w:val="0"/>
          <w:numId w:val="1"/>
        </w:numPr>
        <w:tabs>
          <w:tab w:val="left" w:pos="846"/>
          <w:tab w:val="left" w:pos="847"/>
        </w:tabs>
        <w:ind w:hanging="721"/>
      </w:pPr>
      <w:r>
        <w:t xml:space="preserve">The efficient allocation of low band spectrum is a key element to ensure that </w:t>
      </w:r>
      <w:r>
        <w:rPr>
          <w:spacing w:val="-3"/>
        </w:rPr>
        <w:t>the</w:t>
      </w:r>
      <w:r>
        <w:rPr>
          <w:spacing w:val="-13"/>
        </w:rPr>
        <w:t xml:space="preserve"> </w:t>
      </w:r>
      <w:r>
        <w:t>full</w:t>
      </w:r>
    </w:p>
    <w:p w:rsidR="001A1289" w:rsidRDefault="005514CB">
      <w:pPr>
        <w:pStyle w:val="BodyText"/>
        <w:spacing w:before="2"/>
        <w:ind w:left="846" w:right="800"/>
      </w:pPr>
      <w:r>
        <w:t>$130 billion of economic grow</w:t>
      </w:r>
      <w:r>
        <w:t>th from national 5G networks can be achieved. Failure to efficiently allocate low-band spectrum, including encouraging deployment of mobile assets, risks $55 billion in economic growth over the decade to 2030.</w:t>
      </w:r>
    </w:p>
    <w:p w:rsidR="001A1289" w:rsidRDefault="001A1289">
      <w:pPr>
        <w:pStyle w:val="BodyText"/>
        <w:spacing w:before="1"/>
        <w:rPr>
          <w:sz w:val="19"/>
        </w:rPr>
      </w:pPr>
    </w:p>
    <w:p w:rsidR="001A1289" w:rsidRDefault="005514CB">
      <w:pPr>
        <w:pStyle w:val="ListParagraph"/>
        <w:numPr>
          <w:ilvl w:val="0"/>
          <w:numId w:val="1"/>
        </w:numPr>
        <w:tabs>
          <w:tab w:val="left" w:pos="846"/>
          <w:tab w:val="left" w:pos="847"/>
        </w:tabs>
        <w:ind w:hanging="721"/>
      </w:pPr>
      <w:r>
        <w:t>There are no auction settings that could gene</w:t>
      </w:r>
      <w:r>
        <w:t>rate sufficient auction revenue to offset</w:t>
      </w:r>
      <w:r>
        <w:rPr>
          <w:spacing w:val="-32"/>
        </w:rPr>
        <w:t xml:space="preserve"> </w:t>
      </w:r>
      <w:r>
        <w:t>this</w:t>
      </w:r>
    </w:p>
    <w:p w:rsidR="001A1289" w:rsidRDefault="005514CB">
      <w:pPr>
        <w:pStyle w:val="BodyText"/>
        <w:spacing w:before="2"/>
        <w:ind w:left="846"/>
      </w:pPr>
      <w:r>
        <w:t>$55 billion loss.</w:t>
      </w:r>
    </w:p>
    <w:p w:rsidR="001A1289" w:rsidRDefault="001A1289">
      <w:pPr>
        <w:pStyle w:val="BodyText"/>
        <w:spacing w:before="7"/>
        <w:rPr>
          <w:sz w:val="20"/>
        </w:rPr>
      </w:pPr>
    </w:p>
    <w:p w:rsidR="001A1289" w:rsidRDefault="005514CB">
      <w:pPr>
        <w:pStyle w:val="Heading2"/>
      </w:pPr>
      <w:r>
        <w:t>72 MHz limit is consistent with previous auction decisions and reasons</w:t>
      </w:r>
    </w:p>
    <w:p w:rsidR="001A1289" w:rsidRDefault="001A1289">
      <w:pPr>
        <w:pStyle w:val="BodyText"/>
        <w:rPr>
          <w:b/>
          <w:sz w:val="21"/>
        </w:rPr>
      </w:pPr>
    </w:p>
    <w:p w:rsidR="001A1289" w:rsidRDefault="005514CB">
      <w:pPr>
        <w:pStyle w:val="ListParagraph"/>
        <w:numPr>
          <w:ilvl w:val="0"/>
          <w:numId w:val="1"/>
        </w:numPr>
        <w:tabs>
          <w:tab w:val="left" w:pos="846"/>
          <w:tab w:val="left" w:pos="847"/>
        </w:tabs>
        <w:ind w:right="805"/>
      </w:pPr>
      <w:r>
        <w:t xml:space="preserve">Optus is further concerned that the limit is inconsistent with the precedent adopted </w:t>
      </w:r>
      <w:r>
        <w:rPr>
          <w:spacing w:val="-3"/>
        </w:rPr>
        <w:t xml:space="preserve">in </w:t>
      </w:r>
      <w:r>
        <w:t xml:space="preserve">previous allocation limit directions. In previous spectrum auctions, Optus was excluded from participation due to it holding between 65 </w:t>
      </w:r>
      <w:r>
        <w:rPr>
          <w:spacing w:val="-3"/>
        </w:rPr>
        <w:t xml:space="preserve">MHz </w:t>
      </w:r>
      <w:r>
        <w:t xml:space="preserve">to 100 MHz </w:t>
      </w:r>
      <w:r>
        <w:rPr>
          <w:spacing w:val="-3"/>
        </w:rPr>
        <w:t xml:space="preserve">in </w:t>
      </w:r>
      <w:r>
        <w:t>metropolitan areas out of the 300 MHz across the relevant 3.4-3.7 GHz bands. In other words, Optus hel</w:t>
      </w:r>
      <w:r>
        <w:t>d 22% and 33% of total relevant spectrum and was not permitted to</w:t>
      </w:r>
      <w:r>
        <w:rPr>
          <w:spacing w:val="-14"/>
        </w:rPr>
        <w:t xml:space="preserve"> </w:t>
      </w:r>
      <w:r>
        <w:t>participate.</w:t>
      </w:r>
    </w:p>
    <w:p w:rsidR="001A1289" w:rsidRDefault="001A1289">
      <w:pPr>
        <w:pStyle w:val="BodyText"/>
        <w:rPr>
          <w:sz w:val="19"/>
        </w:rPr>
      </w:pPr>
    </w:p>
    <w:p w:rsidR="001A1289" w:rsidRDefault="005514CB">
      <w:pPr>
        <w:pStyle w:val="ListParagraph"/>
        <w:numPr>
          <w:ilvl w:val="0"/>
          <w:numId w:val="1"/>
        </w:numPr>
        <w:tabs>
          <w:tab w:val="left" w:pos="846"/>
          <w:tab w:val="left" w:pos="847"/>
        </w:tabs>
        <w:ind w:hanging="721"/>
      </w:pPr>
      <w:r>
        <w:t xml:space="preserve">These holdings are far below the 40% limit proposed </w:t>
      </w:r>
      <w:r>
        <w:rPr>
          <w:spacing w:val="-3"/>
        </w:rPr>
        <w:t xml:space="preserve">in </w:t>
      </w:r>
      <w:r>
        <w:t>this low band</w:t>
      </w:r>
      <w:r>
        <w:rPr>
          <w:spacing w:val="-14"/>
        </w:rPr>
        <w:t xml:space="preserve"> </w:t>
      </w:r>
      <w:r>
        <w:t>auction.</w:t>
      </w:r>
    </w:p>
    <w:p w:rsidR="001A1289" w:rsidRDefault="001A1289">
      <w:pPr>
        <w:pStyle w:val="BodyText"/>
        <w:rPr>
          <w:sz w:val="20"/>
        </w:rPr>
      </w:pPr>
    </w:p>
    <w:p w:rsidR="001A1289" w:rsidRDefault="001A1289">
      <w:pPr>
        <w:pStyle w:val="BodyText"/>
        <w:rPr>
          <w:sz w:val="20"/>
        </w:rPr>
      </w:pPr>
    </w:p>
    <w:p w:rsidR="001A1289" w:rsidRDefault="005514CB">
      <w:pPr>
        <w:pStyle w:val="BodyText"/>
        <w:spacing w:before="6"/>
        <w:rPr>
          <w:sz w:val="25"/>
        </w:rPr>
      </w:pPr>
      <w:r>
        <w:rPr>
          <w:noProof/>
          <w:lang w:val="en-AU" w:eastAsia="en-AU"/>
        </w:rPr>
        <mc:AlternateContent>
          <mc:Choice Requires="wps">
            <w:drawing>
              <wp:anchor distT="0" distB="0" distL="0" distR="0" simplePos="0" relativeHeight="251663360" behindDoc="1" locked="0" layoutInCell="1" allowOverlap="1">
                <wp:simplePos x="0" y="0"/>
                <wp:positionH relativeFrom="page">
                  <wp:posOffset>899160</wp:posOffset>
                </wp:positionH>
                <wp:positionV relativeFrom="paragraph">
                  <wp:posOffset>216535</wp:posOffset>
                </wp:positionV>
                <wp:extent cx="1828800" cy="1270"/>
                <wp:effectExtent l="0" t="0" r="0" b="0"/>
                <wp:wrapTopAndBottom/>
                <wp:docPr id="5"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8800" cy="1270"/>
                        </a:xfrm>
                        <a:custGeom>
                          <a:avLst/>
                          <a:gdLst>
                            <a:gd name="T0" fmla="+- 0 1416 1416"/>
                            <a:gd name="T1" fmla="*/ T0 w 2880"/>
                            <a:gd name="T2" fmla="+- 0 4296 1416"/>
                            <a:gd name="T3" fmla="*/ T2 w 2880"/>
                          </a:gdLst>
                          <a:ahLst/>
                          <a:cxnLst>
                            <a:cxn ang="0">
                              <a:pos x="T1" y="0"/>
                            </a:cxn>
                            <a:cxn ang="0">
                              <a:pos x="T3" y="0"/>
                            </a:cxn>
                          </a:cxnLst>
                          <a:rect l="0" t="0" r="r" b="b"/>
                          <a:pathLst>
                            <a:path w="2880">
                              <a:moveTo>
                                <a:pt x="0" y="0"/>
                              </a:moveTo>
                              <a:lnTo>
                                <a:pt x="2880" y="0"/>
                              </a:lnTo>
                            </a:path>
                          </a:pathLst>
                        </a:custGeom>
                        <a:noFill/>
                        <a:ln w="914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7C4D77" id="Freeform 4" o:spid="_x0000_s1026" style="position:absolute;margin-left:70.8pt;margin-top:17.05pt;width:2in;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" path="m,l2880,e" filled="f" strokeweight=".72pt">
                <v:path arrowok="t" o:connecttype="custom" o:connectlocs="0,0;1828800,0" o:connectangles="0,0"/>
                <w10:wrap type="topAndBottom" anchorx="page"/>
              </v:shape>
            </w:pict>
          </mc:Fallback>
        </mc:AlternateContent>
      </w:r>
    </w:p>
    <w:p w:rsidR="001A1289" w:rsidRDefault="005514CB">
      <w:pPr>
        <w:spacing w:before="69"/>
        <w:ind w:left="135" w:right="1470"/>
        <w:rPr>
          <w:rFonts w:ascii="Calibri"/>
          <w:sz w:val="20"/>
        </w:rPr>
      </w:pPr>
      <w:r>
        <w:rPr>
          <w:rFonts w:ascii="Calibri"/>
          <w:position w:val="7"/>
          <w:sz w:val="13"/>
        </w:rPr>
        <w:t xml:space="preserve">4 </w:t>
      </w:r>
      <w:r>
        <w:rPr>
          <w:rFonts w:ascii="Calibri"/>
          <w:sz w:val="20"/>
        </w:rPr>
        <w:t>Optus had the top network score in voice and data for towns and roads in 2018. https://www.connect- testlab.com/australia-2018-results. And retained best data score in cities in the 2019 test https://</w:t>
      </w:r>
      <w:hyperlink r:id="rId10">
        <w:r>
          <w:rPr>
            <w:rFonts w:ascii="Calibri"/>
            <w:sz w:val="20"/>
          </w:rPr>
          <w:t>www.umlaut.com/uploads/documents/20191204_AUS_umlaut_Report_Certificate.pdf</w:t>
        </w:r>
      </w:hyperlink>
    </w:p>
    <w:p w:rsidR="001A1289" w:rsidRDefault="005514CB">
      <w:pPr>
        <w:spacing w:line="245" w:lineRule="exact"/>
        <w:ind w:left="135"/>
        <w:rPr>
          <w:rFonts w:ascii="Calibri"/>
          <w:sz w:val="20"/>
        </w:rPr>
      </w:pPr>
      <w:r>
        <w:rPr>
          <w:rFonts w:ascii="Calibri"/>
          <w:position w:val="7"/>
          <w:sz w:val="13"/>
        </w:rPr>
        <w:t xml:space="preserve">5 </w:t>
      </w:r>
      <w:r>
        <w:rPr>
          <w:rFonts w:ascii="Calibri"/>
          <w:sz w:val="20"/>
        </w:rPr>
        <w:t>Optus 5G is delivering an average download speed of 147Mbps in the peak period</w:t>
      </w:r>
    </w:p>
    <w:p w:rsidR="001A1289" w:rsidRDefault="005514CB">
      <w:pPr>
        <w:spacing w:line="246" w:lineRule="exact"/>
        <w:ind w:left="135"/>
        <w:rPr>
          <w:rFonts w:ascii="Calibri"/>
          <w:sz w:val="20"/>
        </w:rPr>
      </w:pPr>
      <w:r>
        <w:rPr>
          <w:rFonts w:ascii="Calibri"/>
          <w:position w:val="7"/>
          <w:sz w:val="13"/>
        </w:rPr>
        <w:t xml:space="preserve">6 </w:t>
      </w:r>
      <w:r>
        <w:rPr>
          <w:rFonts w:ascii="Calibri"/>
          <w:sz w:val="20"/>
        </w:rPr>
        <w:t>https://</w:t>
      </w:r>
      <w:hyperlink r:id="rId11">
        <w:r>
          <w:rPr>
            <w:rFonts w:ascii="Calibri"/>
            <w:sz w:val="20"/>
          </w:rPr>
          <w:t>www.channelnews.com.au/exclusive-telstra-5g-struggles-to-get-past-5mbps/</w:t>
        </w:r>
      </w:hyperlink>
    </w:p>
    <w:p w:rsidR="001A1289" w:rsidRDefault="001A1289">
      <w:pPr>
        <w:spacing w:line="246" w:lineRule="exact"/>
        <w:rPr>
          <w:rFonts w:ascii="Calibri"/>
          <w:sz w:val="20"/>
        </w:rPr>
        <w:sectPr w:rsidR="001A1289">
          <w:pgSz w:w="11900" w:h="16840"/>
          <w:pgMar w:top="1060" w:right="540" w:bottom="1000" w:left="1280" w:header="0" w:footer="809" w:gutter="0"/>
          <w:cols w:space="720"/>
        </w:sectPr>
      </w:pPr>
    </w:p>
    <w:p w:rsidR="001A1289" w:rsidRDefault="005514CB">
      <w:pPr>
        <w:pStyle w:val="ListParagraph"/>
        <w:numPr>
          <w:ilvl w:val="0"/>
          <w:numId w:val="1"/>
        </w:numPr>
        <w:tabs>
          <w:tab w:val="left" w:pos="846"/>
          <w:tab w:val="left" w:pos="847"/>
        </w:tabs>
        <w:spacing w:before="74"/>
        <w:ind w:right="703"/>
      </w:pPr>
      <w:r>
        <w:lastRenderedPageBreak/>
        <w:t xml:space="preserve">Optus refers to the previous allocation limit directions </w:t>
      </w:r>
      <w:r>
        <w:rPr>
          <w:spacing w:val="-3"/>
        </w:rPr>
        <w:t xml:space="preserve">in </w:t>
      </w:r>
      <w:r>
        <w:t>the 3.6 GHz auction where we were excluded from p</w:t>
      </w:r>
      <w:r>
        <w:t>articipation in metro areas on the basis of existing holdings. The Radiocommunications (Spectrum Licence Limits—3.6 GHz Band) Direction 2018 set allocation limits to ensure that no person or specified group of persons may use more than an aggregate of 60 M</w:t>
      </w:r>
      <w:r>
        <w:t xml:space="preserve">Hz of spectrum in each metropolitan area, or an aggregate of 80 MHz </w:t>
      </w:r>
      <w:r>
        <w:rPr>
          <w:spacing w:val="-3"/>
        </w:rPr>
        <w:t xml:space="preserve">in </w:t>
      </w:r>
      <w:r>
        <w:t>each regional area, in the frequency range 3400-3700</w:t>
      </w:r>
      <w:r>
        <w:rPr>
          <w:spacing w:val="8"/>
        </w:rPr>
        <w:t xml:space="preserve"> </w:t>
      </w:r>
      <w:r>
        <w:t>MHz.</w:t>
      </w:r>
    </w:p>
    <w:p w:rsidR="001A1289" w:rsidRDefault="001A1289">
      <w:pPr>
        <w:pStyle w:val="BodyText"/>
        <w:spacing w:before="1"/>
        <w:rPr>
          <w:sz w:val="19"/>
        </w:rPr>
      </w:pPr>
    </w:p>
    <w:p w:rsidR="001A1289" w:rsidRDefault="005514CB">
      <w:pPr>
        <w:pStyle w:val="ListParagraph"/>
        <w:numPr>
          <w:ilvl w:val="0"/>
          <w:numId w:val="1"/>
        </w:numPr>
        <w:tabs>
          <w:tab w:val="left" w:pos="846"/>
          <w:tab w:val="left" w:pos="847"/>
        </w:tabs>
        <w:ind w:right="667"/>
      </w:pPr>
      <w:r>
        <w:t>The 2018 allocation limit was set at 20% of total holdings for metro and 27% for regional areas. This is far below the 40% rec</w:t>
      </w:r>
      <w:r>
        <w:t>ommended in the draft direction for the 850/900 MHz auction; even where there remain three main mobile players and the potential for other</w:t>
      </w:r>
      <w:r>
        <w:rPr>
          <w:spacing w:val="-2"/>
        </w:rPr>
        <w:t xml:space="preserve"> </w:t>
      </w:r>
      <w:r>
        <w:t>bidders.</w:t>
      </w:r>
    </w:p>
    <w:p w:rsidR="001A1289" w:rsidRDefault="001A1289">
      <w:pPr>
        <w:pStyle w:val="BodyText"/>
        <w:spacing w:before="3"/>
        <w:rPr>
          <w:sz w:val="19"/>
        </w:rPr>
      </w:pPr>
    </w:p>
    <w:p w:rsidR="001A1289" w:rsidRDefault="005514CB">
      <w:pPr>
        <w:pStyle w:val="ListParagraph"/>
        <w:numPr>
          <w:ilvl w:val="0"/>
          <w:numId w:val="1"/>
        </w:numPr>
        <w:tabs>
          <w:tab w:val="left" w:pos="846"/>
          <w:tab w:val="left" w:pos="847"/>
        </w:tabs>
        <w:spacing w:before="1"/>
        <w:ind w:right="652"/>
      </w:pPr>
      <w:r>
        <w:t>Optus observes that while no regulatory impact statement was prepared for the current Direction, one was pr</w:t>
      </w:r>
      <w:r>
        <w:t>epared for the 2018 3.6 GHz Direction. The 2018 RIS provides useful reasoning which can be used when considering the appropriate allocation limit for spectrum in the 850/900 MHz</w:t>
      </w:r>
      <w:r>
        <w:rPr>
          <w:spacing w:val="3"/>
        </w:rPr>
        <w:t xml:space="preserve"> </w:t>
      </w:r>
      <w:r>
        <w:t>band.</w:t>
      </w:r>
    </w:p>
    <w:p w:rsidR="001A1289" w:rsidRDefault="001A1289">
      <w:pPr>
        <w:pStyle w:val="BodyText"/>
        <w:spacing w:before="9"/>
        <w:rPr>
          <w:sz w:val="18"/>
        </w:rPr>
      </w:pPr>
    </w:p>
    <w:p w:rsidR="001A1289" w:rsidRDefault="005514CB">
      <w:pPr>
        <w:pStyle w:val="ListParagraph"/>
        <w:numPr>
          <w:ilvl w:val="0"/>
          <w:numId w:val="1"/>
        </w:numPr>
        <w:tabs>
          <w:tab w:val="left" w:pos="846"/>
          <w:tab w:val="left" w:pos="847"/>
        </w:tabs>
        <w:ind w:right="617"/>
      </w:pPr>
      <w:r>
        <w:t>The 2018 RIS argued against a lower allocation limit (as recommended by the ACCC) on the basis that allocative efficiency “is constrained when allocation limits result in a scenario where supply is equal to or exceeds demand”</w:t>
      </w:r>
      <w:r>
        <w:rPr>
          <w:position w:val="8"/>
          <w:sz w:val="14"/>
        </w:rPr>
        <w:t xml:space="preserve">7 </w:t>
      </w:r>
      <w:r>
        <w:t>and rejected the lower alloca</w:t>
      </w:r>
      <w:r>
        <w:t>tion on the basis of a lack of competitive tension. Optus observes that a similar argument is put forward in the explanatory statement for the draft 2021 allocation limit direction and the ACCC</w:t>
      </w:r>
      <w:r>
        <w:rPr>
          <w:spacing w:val="-3"/>
        </w:rPr>
        <w:t xml:space="preserve"> </w:t>
      </w:r>
      <w:r>
        <w:t>advice.</w:t>
      </w:r>
    </w:p>
    <w:p w:rsidR="001A1289" w:rsidRDefault="005514CB">
      <w:pPr>
        <w:pStyle w:val="ListParagraph"/>
        <w:numPr>
          <w:ilvl w:val="0"/>
          <w:numId w:val="1"/>
        </w:numPr>
        <w:tabs>
          <w:tab w:val="left" w:pos="846"/>
          <w:tab w:val="left" w:pos="847"/>
        </w:tabs>
        <w:spacing w:before="215"/>
        <w:ind w:right="670"/>
      </w:pPr>
      <w:r>
        <w:t>While setting limits to ensure aggregate demand is hig</w:t>
      </w:r>
      <w:r>
        <w:t xml:space="preserve">her than (or equal to) supply can achieve the efficiency objective under the Radiocommunications Act, adopting rules that creates excessive competition above this level risks promoting auction revenue maximisation objectives – which is not an objective of </w:t>
      </w:r>
      <w:r>
        <w:t>the Radiocommunications Act. Optus remains concerned that ensuring “price competition” focuses too much on maximising auction revenue, rather than on achieving allocative</w:t>
      </w:r>
      <w:r>
        <w:rPr>
          <w:spacing w:val="-21"/>
        </w:rPr>
        <w:t xml:space="preserve"> </w:t>
      </w:r>
      <w:r>
        <w:t>efficiency.</w:t>
      </w:r>
    </w:p>
    <w:p w:rsidR="001A1289" w:rsidRDefault="001A1289">
      <w:pPr>
        <w:pStyle w:val="BodyText"/>
        <w:spacing w:before="1"/>
        <w:rPr>
          <w:sz w:val="19"/>
        </w:rPr>
      </w:pPr>
    </w:p>
    <w:p w:rsidR="001A1289" w:rsidRDefault="005514CB">
      <w:pPr>
        <w:pStyle w:val="ListParagraph"/>
        <w:numPr>
          <w:ilvl w:val="0"/>
          <w:numId w:val="1"/>
        </w:numPr>
        <w:tabs>
          <w:tab w:val="left" w:pos="846"/>
          <w:tab w:val="left" w:pos="847"/>
        </w:tabs>
        <w:spacing w:before="1"/>
        <w:ind w:right="634"/>
      </w:pPr>
      <w:r>
        <w:t>However, insofar as ensuring price competition promotes allocative effic</w:t>
      </w:r>
      <w:r>
        <w:t>iency, an allocation limit of 72 MHz still achieves this objective. Concerns over allocative efficiency can only arise where aggregate supply is greater than aggregate demand.</w:t>
      </w:r>
      <w:r>
        <w:rPr>
          <w:position w:val="8"/>
          <w:sz w:val="14"/>
        </w:rPr>
        <w:t xml:space="preserve">8 </w:t>
      </w:r>
      <w:r>
        <w:t>A 72 MHz limit will still ensure aggregate demand is greater than, or equal to,</w:t>
      </w:r>
      <w:r>
        <w:rPr>
          <w:spacing w:val="-18"/>
        </w:rPr>
        <w:t xml:space="preserve"> </w:t>
      </w:r>
      <w:r>
        <w:t>supply:</w:t>
      </w:r>
    </w:p>
    <w:p w:rsidR="001A1289" w:rsidRDefault="001A1289">
      <w:pPr>
        <w:pStyle w:val="BodyText"/>
        <w:spacing w:before="10"/>
        <w:rPr>
          <w:sz w:val="18"/>
        </w:rPr>
      </w:pPr>
    </w:p>
    <w:p w:rsidR="001A1289" w:rsidRDefault="005514CB">
      <w:pPr>
        <w:pStyle w:val="ListParagraph"/>
        <w:numPr>
          <w:ilvl w:val="1"/>
          <w:numId w:val="1"/>
        </w:numPr>
        <w:tabs>
          <w:tab w:val="left" w:pos="1551"/>
          <w:tab w:val="left" w:pos="1552"/>
        </w:tabs>
        <w:spacing w:line="235" w:lineRule="auto"/>
        <w:ind w:right="928"/>
      </w:pPr>
      <w:r>
        <w:t>72 MHz limit will permit Optus to acquire 50 MHz and TPG to acquire 20 MHz. This will ensure there is strong competition for the 50 MHz on sale in the 900 MHz</w:t>
      </w:r>
      <w:r>
        <w:rPr>
          <w:spacing w:val="1"/>
        </w:rPr>
        <w:t xml:space="preserve"> </w:t>
      </w:r>
      <w:r>
        <w:t>band.</w:t>
      </w:r>
    </w:p>
    <w:p w:rsidR="001A1289" w:rsidRDefault="001A1289">
      <w:pPr>
        <w:pStyle w:val="BodyText"/>
        <w:spacing w:before="5"/>
        <w:rPr>
          <w:sz w:val="19"/>
        </w:rPr>
      </w:pPr>
    </w:p>
    <w:p w:rsidR="001A1289" w:rsidRDefault="005514CB">
      <w:pPr>
        <w:pStyle w:val="ListParagraph"/>
        <w:numPr>
          <w:ilvl w:val="1"/>
          <w:numId w:val="1"/>
        </w:numPr>
        <w:tabs>
          <w:tab w:val="left" w:pos="1551"/>
          <w:tab w:val="left" w:pos="1552"/>
        </w:tabs>
        <w:spacing w:line="237" w:lineRule="auto"/>
        <w:ind w:right="771"/>
      </w:pPr>
      <w:r>
        <w:t xml:space="preserve">72 MHz limit, together with regional/metro licences areas in 850 MHz band, will </w:t>
      </w:r>
      <w:r>
        <w:t xml:space="preserve">permit Telstra and TPG to acquire an additional 10 MHz each, Optus to acquire at least 10 MHz and allows regional-focused bidders like NBN Co and Pivotel to bid. This potential demand remains higher than </w:t>
      </w:r>
      <w:r>
        <w:rPr>
          <w:spacing w:val="-3"/>
        </w:rPr>
        <w:t xml:space="preserve">the </w:t>
      </w:r>
      <w:r>
        <w:t>20 MHz on offer in the 850 MHz</w:t>
      </w:r>
      <w:r>
        <w:rPr>
          <w:spacing w:val="1"/>
        </w:rPr>
        <w:t xml:space="preserve"> </w:t>
      </w:r>
      <w:r>
        <w:t>band.</w:t>
      </w:r>
    </w:p>
    <w:p w:rsidR="001A1289" w:rsidRDefault="001A1289">
      <w:pPr>
        <w:pStyle w:val="BodyText"/>
        <w:spacing w:before="2"/>
        <w:rPr>
          <w:sz w:val="19"/>
        </w:rPr>
      </w:pPr>
    </w:p>
    <w:p w:rsidR="001A1289" w:rsidRDefault="005514CB">
      <w:pPr>
        <w:pStyle w:val="ListParagraph"/>
        <w:numPr>
          <w:ilvl w:val="0"/>
          <w:numId w:val="1"/>
        </w:numPr>
        <w:tabs>
          <w:tab w:val="left" w:pos="846"/>
          <w:tab w:val="left" w:pos="847"/>
        </w:tabs>
        <w:spacing w:before="1"/>
        <w:ind w:right="636"/>
      </w:pPr>
      <w:r>
        <w:t>Optus agre</w:t>
      </w:r>
      <w:r>
        <w:t>es that allocative efficiency is promoted where aggregate demand is higher than, or equal to, aggregate supply. The analysis above shows that a 72 MHz sub-1 GHz cap allows this to occur for both national 900 MHz licences, and regional/metro</w:t>
      </w:r>
      <w:r>
        <w:rPr>
          <w:spacing w:val="-36"/>
        </w:rPr>
        <w:t xml:space="preserve"> </w:t>
      </w:r>
      <w:r>
        <w:t>850 MHz licence</w:t>
      </w:r>
      <w:r>
        <w:t>s.</w:t>
      </w:r>
    </w:p>
    <w:p w:rsidR="001A1289" w:rsidRDefault="001A1289">
      <w:pPr>
        <w:pStyle w:val="BodyText"/>
        <w:rPr>
          <w:sz w:val="20"/>
        </w:rPr>
      </w:pPr>
    </w:p>
    <w:p w:rsidR="001A1289" w:rsidRDefault="001A1289">
      <w:pPr>
        <w:pStyle w:val="BodyText"/>
        <w:rPr>
          <w:sz w:val="20"/>
        </w:rPr>
      </w:pPr>
    </w:p>
    <w:p w:rsidR="001A1289" w:rsidRDefault="001A1289">
      <w:pPr>
        <w:pStyle w:val="BodyText"/>
        <w:rPr>
          <w:sz w:val="20"/>
        </w:rPr>
      </w:pPr>
    </w:p>
    <w:p w:rsidR="001A1289" w:rsidRDefault="005514CB">
      <w:pPr>
        <w:pStyle w:val="BodyText"/>
        <w:spacing w:before="1"/>
        <w:rPr>
          <w:sz w:val="25"/>
        </w:rPr>
      </w:pPr>
      <w:r>
        <w:rPr>
          <w:noProof/>
          <w:lang w:val="en-AU" w:eastAsia="en-AU"/>
        </w:rPr>
        <mc:AlternateContent>
          <mc:Choice Requires="wps">
            <w:drawing>
              <wp:anchor distT="0" distB="0" distL="0" distR="0" simplePos="0" relativeHeight="251664384" behindDoc="1" locked="0" layoutInCell="1" allowOverlap="1">
                <wp:simplePos x="0" y="0"/>
                <wp:positionH relativeFrom="page">
                  <wp:posOffset>899160</wp:posOffset>
                </wp:positionH>
                <wp:positionV relativeFrom="paragraph">
                  <wp:posOffset>213360</wp:posOffset>
                </wp:positionV>
                <wp:extent cx="1828800" cy="1270"/>
                <wp:effectExtent l="0" t="0" r="0" b="0"/>
                <wp:wrapTopAndBottom/>
                <wp:docPr id="4"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8800" cy="1270"/>
                        </a:xfrm>
                        <a:custGeom>
                          <a:avLst/>
                          <a:gdLst>
                            <a:gd name="T0" fmla="+- 0 1416 1416"/>
                            <a:gd name="T1" fmla="*/ T0 w 2880"/>
                            <a:gd name="T2" fmla="+- 0 4296 1416"/>
                            <a:gd name="T3" fmla="*/ T2 w 2880"/>
                          </a:gdLst>
                          <a:ahLst/>
                          <a:cxnLst>
                            <a:cxn ang="0">
                              <a:pos x="T1" y="0"/>
                            </a:cxn>
                            <a:cxn ang="0">
                              <a:pos x="T3" y="0"/>
                            </a:cxn>
                          </a:cxnLst>
                          <a:rect l="0" t="0" r="r" b="b"/>
                          <a:pathLst>
                            <a:path w="2880">
                              <a:moveTo>
                                <a:pt x="0" y="0"/>
                              </a:moveTo>
                              <a:lnTo>
                                <a:pt x="2880" y="0"/>
                              </a:lnTo>
                            </a:path>
                          </a:pathLst>
                        </a:custGeom>
                        <a:noFill/>
                        <a:ln w="914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6457E7" id="Freeform 3" o:spid="_x0000_s1026" style="position:absolute;margin-left:70.8pt;margin-top:16.8pt;width:2in;height:.1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" path="m,l2880,e" filled="f" strokeweight=".72pt">
                <v:path arrowok="t" o:connecttype="custom" o:connectlocs="0,0;1828800,0" o:connectangles="0,0"/>
                <w10:wrap type="topAndBottom" anchorx="page"/>
              </v:shape>
            </w:pict>
          </mc:Fallback>
        </mc:AlternateContent>
      </w:r>
    </w:p>
    <w:p w:rsidR="001A1289" w:rsidRDefault="005514CB">
      <w:pPr>
        <w:spacing w:before="69"/>
        <w:ind w:left="135" w:right="738"/>
        <w:rPr>
          <w:rFonts w:ascii="Calibri" w:hAnsi="Calibri"/>
          <w:sz w:val="20"/>
        </w:rPr>
      </w:pPr>
      <w:r>
        <w:rPr>
          <w:rFonts w:ascii="Calibri" w:hAnsi="Calibri"/>
          <w:position w:val="7"/>
          <w:sz w:val="13"/>
        </w:rPr>
        <w:t xml:space="preserve">7 </w:t>
      </w:r>
      <w:r>
        <w:rPr>
          <w:rFonts w:ascii="Calibri" w:hAnsi="Calibri"/>
          <w:sz w:val="20"/>
        </w:rPr>
        <w:t>Radiocommunications (Spectrum Licence Limits—3.6 GHz Band) Direction 2018, Explanatory Statement, Attachment A.</w:t>
      </w:r>
    </w:p>
    <w:p w:rsidR="001A1289" w:rsidRDefault="005514CB">
      <w:pPr>
        <w:spacing w:line="245" w:lineRule="exact"/>
        <w:ind w:left="135"/>
        <w:rPr>
          <w:rFonts w:ascii="Calibri"/>
          <w:sz w:val="20"/>
        </w:rPr>
      </w:pPr>
      <w:r>
        <w:rPr>
          <w:rFonts w:ascii="Calibri"/>
          <w:position w:val="7"/>
          <w:sz w:val="13"/>
        </w:rPr>
        <w:t xml:space="preserve">8 </w:t>
      </w:r>
      <w:r>
        <w:rPr>
          <w:rFonts w:ascii="Calibri"/>
          <w:sz w:val="20"/>
        </w:rPr>
        <w:t>See 2018 RIS (above)</w:t>
      </w:r>
    </w:p>
    <w:p w:rsidR="001A1289" w:rsidRDefault="001A1289">
      <w:pPr>
        <w:spacing w:line="245" w:lineRule="exact"/>
        <w:rPr>
          <w:rFonts w:ascii="Calibri"/>
          <w:sz w:val="20"/>
        </w:rPr>
        <w:sectPr w:rsidR="001A1289">
          <w:pgSz w:w="11900" w:h="16840"/>
          <w:pgMar w:top="1060" w:right="540" w:bottom="1000" w:left="1280" w:header="0" w:footer="809" w:gutter="0"/>
          <w:cols w:space="720"/>
        </w:sectPr>
      </w:pPr>
    </w:p>
    <w:p w:rsidR="001A1289" w:rsidRDefault="005514CB">
      <w:pPr>
        <w:pStyle w:val="ListParagraph"/>
        <w:numPr>
          <w:ilvl w:val="0"/>
          <w:numId w:val="1"/>
        </w:numPr>
        <w:tabs>
          <w:tab w:val="left" w:pos="846"/>
          <w:tab w:val="left" w:pos="847"/>
        </w:tabs>
        <w:spacing w:before="74"/>
        <w:ind w:right="623"/>
      </w:pPr>
      <w:r>
        <w:lastRenderedPageBreak/>
        <w:t xml:space="preserve">Consistent with the legislative objectives, and precedent adopted </w:t>
      </w:r>
      <w:r>
        <w:rPr>
          <w:spacing w:val="-3"/>
        </w:rPr>
        <w:t xml:space="preserve">in </w:t>
      </w:r>
      <w:r>
        <w:t>previous allocation limit directions, Optus supports a 72 MHz allocation limit across the sub-1 GHz spectrum bands.</w:t>
      </w:r>
    </w:p>
    <w:p w:rsidR="001A1289" w:rsidRDefault="001A1289">
      <w:pPr>
        <w:pStyle w:val="BodyText"/>
        <w:spacing w:before="10"/>
        <w:rPr>
          <w:sz w:val="34"/>
        </w:rPr>
      </w:pPr>
    </w:p>
    <w:p w:rsidR="001A1289" w:rsidRDefault="005514CB">
      <w:pPr>
        <w:pStyle w:val="Heading1"/>
        <w:spacing w:before="0"/>
        <w:ind w:right="723"/>
      </w:pPr>
      <w:r>
        <w:rPr>
          <w:noProof/>
          <w:lang w:val="en-AU" w:eastAsia="en-AU"/>
        </w:rPr>
        <mc:AlternateContent>
          <mc:Choice Requires="wps">
            <w:drawing>
              <wp:anchor distT="0" distB="0" distL="0" distR="0" simplePos="0" relativeHeight="251665408" behindDoc="1" locked="0" layoutInCell="1" allowOverlap="1">
                <wp:simplePos x="0" y="0"/>
                <wp:positionH relativeFrom="page">
                  <wp:posOffset>880745</wp:posOffset>
                </wp:positionH>
                <wp:positionV relativeFrom="paragraph">
                  <wp:posOffset>604520</wp:posOffset>
                </wp:positionV>
                <wp:extent cx="5977255" cy="1270"/>
                <wp:effectExtent l="0" t="0" r="0" b="0"/>
                <wp:wrapTopAndBottom/>
                <wp:docPr id="3"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7255" cy="1270"/>
                        </a:xfrm>
                        <a:custGeom>
                          <a:avLst/>
                          <a:gdLst>
                            <a:gd name="T0" fmla="+- 0 1387 1387"/>
                            <a:gd name="T1" fmla="*/ T0 w 9413"/>
                            <a:gd name="T2" fmla="+- 0 10800 1387"/>
                            <a:gd name="T3" fmla="*/ T2 w 9413"/>
                          </a:gdLst>
                          <a:ahLst/>
                          <a:cxnLst>
                            <a:cxn ang="0">
                              <a:pos x="T1" y="0"/>
                            </a:cxn>
                            <a:cxn ang="0">
                              <a:pos x="T3" y="0"/>
                            </a:cxn>
                          </a:cxnLst>
                          <a:rect l="0" t="0" r="r" b="b"/>
                          <a:pathLst>
                            <a:path w="9413">
                              <a:moveTo>
                                <a:pt x="0" y="0"/>
                              </a:moveTo>
                              <a:lnTo>
                                <a:pt x="9413" y="0"/>
                              </a:lnTo>
                            </a:path>
                          </a:pathLst>
                        </a:custGeom>
                        <a:noFill/>
                        <a:ln w="6096">
                          <a:solidFill>
                            <a:srgbClr val="00668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E12E39" id="Freeform 2" o:spid="_x0000_s1026" style="position:absolute;margin-left:69.35pt;margin-top:47.6pt;width:470.6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" path="m,l9413,e" filled="f" strokecolor="#006684" strokeweight=".48pt">
                <v:path arrowok="t" o:connecttype="custom" o:connectlocs="0,0;5977255,0" o:connectangles="0,0"/>
                <w10:wrap type="topAndBottom" anchorx="page"/>
              </v:shape>
            </w:pict>
          </mc:Fallback>
        </mc:AlternateContent>
      </w:r>
      <w:r>
        <w:rPr>
          <w:color w:val="00A2AC"/>
          <w:sz w:val="36"/>
        </w:rPr>
        <w:t>E</w:t>
      </w:r>
      <w:r>
        <w:rPr>
          <w:color w:val="00A2AC"/>
        </w:rPr>
        <w:t xml:space="preserve">NSURING THE </w:t>
      </w:r>
      <w:r>
        <w:rPr>
          <w:color w:val="00A2AC"/>
          <w:sz w:val="36"/>
        </w:rPr>
        <w:t>ACMA’</w:t>
      </w:r>
      <w:r>
        <w:rPr>
          <w:color w:val="00A2AC"/>
        </w:rPr>
        <w:t xml:space="preserve">S ALLOCATION RULES GIVE EFFECT TO THE INTENT OF THE </w:t>
      </w:r>
      <w:r>
        <w:rPr>
          <w:color w:val="00A2AC"/>
          <w:sz w:val="36"/>
        </w:rPr>
        <w:t>D</w:t>
      </w:r>
      <w:r>
        <w:rPr>
          <w:color w:val="00A2AC"/>
        </w:rPr>
        <w:t>IRECTION</w:t>
      </w:r>
    </w:p>
    <w:p w:rsidR="001A1289" w:rsidRDefault="001A1289">
      <w:pPr>
        <w:pStyle w:val="BodyText"/>
        <w:spacing w:before="6"/>
        <w:rPr>
          <w:b/>
          <w:sz w:val="8"/>
        </w:rPr>
      </w:pPr>
    </w:p>
    <w:p w:rsidR="001A1289" w:rsidRDefault="005514CB">
      <w:pPr>
        <w:pStyle w:val="ListParagraph"/>
        <w:numPr>
          <w:ilvl w:val="0"/>
          <w:numId w:val="1"/>
        </w:numPr>
        <w:tabs>
          <w:tab w:val="left" w:pos="846"/>
          <w:tab w:val="left" w:pos="847"/>
        </w:tabs>
        <w:spacing w:before="93"/>
        <w:ind w:right="669"/>
      </w:pPr>
      <w:r>
        <w:t>The purpose of the set-aside provision is to establish a mechanism to ensure that Optus and TPG can continue to provide existing services to their customers. However, it is important that its implementation through the auction rules does not undermine this</w:t>
      </w:r>
      <w:r>
        <w:t xml:space="preserve"> outcome.</w:t>
      </w:r>
    </w:p>
    <w:p w:rsidR="001A1289" w:rsidRDefault="001A1289">
      <w:pPr>
        <w:pStyle w:val="BodyText"/>
        <w:spacing w:before="3"/>
        <w:rPr>
          <w:sz w:val="19"/>
        </w:rPr>
      </w:pPr>
    </w:p>
    <w:p w:rsidR="001A1289" w:rsidRDefault="005514CB">
      <w:pPr>
        <w:pStyle w:val="ListParagraph"/>
        <w:numPr>
          <w:ilvl w:val="0"/>
          <w:numId w:val="1"/>
        </w:numPr>
        <w:tabs>
          <w:tab w:val="left" w:pos="846"/>
          <w:tab w:val="left" w:pos="847"/>
        </w:tabs>
        <w:spacing w:before="1"/>
        <w:ind w:hanging="721"/>
      </w:pPr>
      <w:r>
        <w:t xml:space="preserve">Optus is concerned that the ACMA is proposing </w:t>
      </w:r>
      <w:r>
        <w:rPr>
          <w:spacing w:val="-3"/>
        </w:rPr>
        <w:t>to:</w:t>
      </w:r>
    </w:p>
    <w:p w:rsidR="001A1289" w:rsidRDefault="001A1289">
      <w:pPr>
        <w:pStyle w:val="BodyText"/>
        <w:spacing w:before="9"/>
        <w:rPr>
          <w:sz w:val="18"/>
        </w:rPr>
      </w:pPr>
    </w:p>
    <w:p w:rsidR="001A1289" w:rsidRDefault="005514CB">
      <w:pPr>
        <w:pStyle w:val="ListParagraph"/>
        <w:numPr>
          <w:ilvl w:val="1"/>
          <w:numId w:val="1"/>
        </w:numPr>
        <w:tabs>
          <w:tab w:val="left" w:pos="1551"/>
          <w:tab w:val="left" w:pos="1552"/>
        </w:tabs>
        <w:spacing w:line="237" w:lineRule="auto"/>
        <w:ind w:right="651"/>
      </w:pPr>
      <w:r>
        <w:t>Set inefficient price signals when specifying the pre-determined price for a set- aside lot which materially differs from the value of other lots. There is no precedent that would warrant the se</w:t>
      </w:r>
      <w:r>
        <w:t>t-aside lot to be set at a pre-determined</w:t>
      </w:r>
      <w:r>
        <w:rPr>
          <w:spacing w:val="-33"/>
        </w:rPr>
        <w:t xml:space="preserve"> </w:t>
      </w:r>
      <w:r>
        <w:t>price that is above the starting price of any equivalent upper 900 MHz</w:t>
      </w:r>
      <w:r>
        <w:rPr>
          <w:spacing w:val="-7"/>
        </w:rPr>
        <w:t xml:space="preserve"> </w:t>
      </w:r>
      <w:r>
        <w:t>lot.</w:t>
      </w:r>
    </w:p>
    <w:p w:rsidR="001A1289" w:rsidRDefault="001A1289">
      <w:pPr>
        <w:pStyle w:val="BodyText"/>
        <w:spacing w:before="9"/>
        <w:rPr>
          <w:sz w:val="19"/>
        </w:rPr>
      </w:pPr>
    </w:p>
    <w:p w:rsidR="001A1289" w:rsidRDefault="005514CB">
      <w:pPr>
        <w:pStyle w:val="ListParagraph"/>
        <w:numPr>
          <w:ilvl w:val="1"/>
          <w:numId w:val="1"/>
        </w:numPr>
        <w:tabs>
          <w:tab w:val="left" w:pos="1551"/>
          <w:tab w:val="left" w:pos="1552"/>
        </w:tabs>
        <w:spacing w:line="230" w:lineRule="auto"/>
        <w:ind w:right="809"/>
      </w:pPr>
      <w:r>
        <w:t>Prevent Optus and TPG to formally withdraw from being allocated the set-aside lot during the live</w:t>
      </w:r>
      <w:r>
        <w:rPr>
          <w:spacing w:val="5"/>
        </w:rPr>
        <w:t xml:space="preserve"> </w:t>
      </w:r>
      <w:r>
        <w:t>auction.</w:t>
      </w:r>
    </w:p>
    <w:p w:rsidR="001A1289" w:rsidRDefault="001A1289">
      <w:pPr>
        <w:pStyle w:val="BodyText"/>
        <w:rPr>
          <w:sz w:val="19"/>
        </w:rPr>
      </w:pPr>
    </w:p>
    <w:p w:rsidR="001A1289" w:rsidRDefault="005514CB">
      <w:pPr>
        <w:pStyle w:val="ListParagraph"/>
        <w:numPr>
          <w:ilvl w:val="0"/>
          <w:numId w:val="1"/>
        </w:numPr>
        <w:tabs>
          <w:tab w:val="left" w:pos="846"/>
          <w:tab w:val="left" w:pos="847"/>
        </w:tabs>
        <w:ind w:right="704"/>
      </w:pPr>
      <w:r>
        <w:t xml:space="preserve">Both of these proposals introduce additional barriers to parties taking up the set-aside, which is inconsistent with the intent of the Direction. Optus submits that the Direction be further amended to address these concerns to ensure its implementation is </w:t>
      </w:r>
      <w:r>
        <w:t>consistent with the Government’s objectives and Minister’s</w:t>
      </w:r>
      <w:r>
        <w:rPr>
          <w:spacing w:val="-5"/>
        </w:rPr>
        <w:t xml:space="preserve"> </w:t>
      </w:r>
      <w:r>
        <w:t>intent.</w:t>
      </w:r>
    </w:p>
    <w:p w:rsidR="001A1289" w:rsidRDefault="001A1289">
      <w:pPr>
        <w:pStyle w:val="BodyText"/>
        <w:spacing w:before="3"/>
        <w:rPr>
          <w:sz w:val="19"/>
        </w:rPr>
      </w:pPr>
    </w:p>
    <w:p w:rsidR="001A1289" w:rsidRDefault="005514CB">
      <w:pPr>
        <w:pStyle w:val="ListParagraph"/>
        <w:numPr>
          <w:ilvl w:val="0"/>
          <w:numId w:val="1"/>
        </w:numPr>
        <w:tabs>
          <w:tab w:val="left" w:pos="846"/>
          <w:tab w:val="left" w:pos="847"/>
        </w:tabs>
        <w:spacing w:before="1"/>
        <w:ind w:right="949"/>
      </w:pPr>
      <w:r>
        <w:t>Optus therefore submits that the Direction be amended to ensure that no additional unnecessary barriers be introduced – such as financial barriers – that would have the effect of undermini</w:t>
      </w:r>
      <w:r>
        <w:t>ng the intent of the</w:t>
      </w:r>
      <w:r>
        <w:rPr>
          <w:spacing w:val="-8"/>
        </w:rPr>
        <w:t xml:space="preserve"> </w:t>
      </w:r>
      <w:r>
        <w:t>Direction.</w:t>
      </w:r>
    </w:p>
    <w:p w:rsidR="001A1289" w:rsidRDefault="001A1289">
      <w:pPr>
        <w:pStyle w:val="BodyText"/>
        <w:spacing w:before="9"/>
        <w:rPr>
          <w:sz w:val="20"/>
        </w:rPr>
      </w:pPr>
    </w:p>
    <w:p w:rsidR="001A1289" w:rsidRDefault="005514CB">
      <w:pPr>
        <w:pStyle w:val="Heading3"/>
        <w:rPr>
          <w:u w:val="none"/>
        </w:rPr>
      </w:pPr>
      <w:r>
        <w:t>Set-aside must be priced consistent with other generic lots</w:t>
      </w:r>
    </w:p>
    <w:p w:rsidR="001A1289" w:rsidRDefault="001A1289">
      <w:pPr>
        <w:pStyle w:val="BodyText"/>
        <w:spacing w:before="7"/>
        <w:rPr>
          <w:i/>
          <w:sz w:val="20"/>
        </w:rPr>
      </w:pPr>
    </w:p>
    <w:p w:rsidR="001A1289" w:rsidRDefault="005514CB">
      <w:pPr>
        <w:pStyle w:val="ListParagraph"/>
        <w:numPr>
          <w:ilvl w:val="0"/>
          <w:numId w:val="1"/>
        </w:numPr>
        <w:tabs>
          <w:tab w:val="left" w:pos="846"/>
          <w:tab w:val="left" w:pos="847"/>
        </w:tabs>
        <w:spacing w:before="1"/>
        <w:ind w:right="591"/>
      </w:pPr>
      <w:r>
        <w:t>Optus does not support the pre-determined price for the set-aside lot to be set on an uncertain basis. Specifically, it is not appropriate for proposals such as a</w:t>
      </w:r>
      <w:r>
        <w:t>n ‘auction avoidance uplift’ or ‘exit price’ to be considered. This would undermine the Government’s policy objectives. Further, we are concerned that the use of such uplifts, without any justification in terms of efficiency, is inconsistent with the Radio</w:t>
      </w:r>
      <w:r>
        <w:t>communications Act. The Direction should ensure the ACMA cannot introduce such a price</w:t>
      </w:r>
      <w:r>
        <w:rPr>
          <w:spacing w:val="-7"/>
        </w:rPr>
        <w:t xml:space="preserve"> </w:t>
      </w:r>
      <w:r>
        <w:t>construct.</w:t>
      </w:r>
    </w:p>
    <w:p w:rsidR="001A1289" w:rsidRDefault="001A1289">
      <w:pPr>
        <w:pStyle w:val="BodyText"/>
        <w:spacing w:before="1"/>
        <w:rPr>
          <w:sz w:val="19"/>
        </w:rPr>
      </w:pPr>
    </w:p>
    <w:p w:rsidR="001A1289" w:rsidRDefault="005514CB">
      <w:pPr>
        <w:pStyle w:val="ListParagraph"/>
        <w:numPr>
          <w:ilvl w:val="0"/>
          <w:numId w:val="1"/>
        </w:numPr>
        <w:tabs>
          <w:tab w:val="left" w:pos="846"/>
          <w:tab w:val="left" w:pos="847"/>
        </w:tabs>
        <w:ind w:right="708"/>
      </w:pPr>
      <w:r>
        <w:t xml:space="preserve">The introduction of either an ‘auction avoidance uplift’ or ‘exit price’ cannot be justified. Optus is not aware of any policy or economic theory that would </w:t>
      </w:r>
      <w:r>
        <w:t>support such an uplift. Optus is deeply concerned that the ACMA would consider such a novel approach which appears on its face to work against the</w:t>
      </w:r>
      <w:r>
        <w:rPr>
          <w:spacing w:val="4"/>
        </w:rPr>
        <w:t xml:space="preserve"> </w:t>
      </w:r>
      <w:r>
        <w:t>Direction.</w:t>
      </w:r>
    </w:p>
    <w:p w:rsidR="001A1289" w:rsidRDefault="001A1289">
      <w:pPr>
        <w:pStyle w:val="BodyText"/>
        <w:spacing w:before="3"/>
        <w:rPr>
          <w:sz w:val="19"/>
        </w:rPr>
      </w:pPr>
    </w:p>
    <w:p w:rsidR="001A1289" w:rsidRDefault="005514CB">
      <w:pPr>
        <w:pStyle w:val="ListParagraph"/>
        <w:numPr>
          <w:ilvl w:val="0"/>
          <w:numId w:val="1"/>
        </w:numPr>
        <w:tabs>
          <w:tab w:val="left" w:pos="846"/>
          <w:tab w:val="left" w:pos="847"/>
        </w:tabs>
        <w:ind w:right="725"/>
      </w:pPr>
      <w:r>
        <w:t>A premium – in any form – applied to set-aside lots is contrary to the intent of the Direction to</w:t>
      </w:r>
      <w:r>
        <w:t xml:space="preserve"> maintain service continuity for regional Australians. Spectrum allocation, including setting related price terms for set-aside lots, should support the Government’s policy objectives rather than used as a means of maximising Government</w:t>
      </w:r>
      <w:r>
        <w:rPr>
          <w:spacing w:val="-32"/>
        </w:rPr>
        <w:t xml:space="preserve"> </w:t>
      </w:r>
      <w:r>
        <w:t>revenue.</w:t>
      </w:r>
    </w:p>
    <w:p w:rsidR="001A1289" w:rsidRDefault="001A1289">
      <w:pPr>
        <w:pStyle w:val="BodyText"/>
        <w:spacing w:before="3"/>
        <w:rPr>
          <w:sz w:val="19"/>
        </w:rPr>
      </w:pPr>
    </w:p>
    <w:p w:rsidR="001A1289" w:rsidRDefault="005514CB">
      <w:pPr>
        <w:pStyle w:val="ListParagraph"/>
        <w:numPr>
          <w:ilvl w:val="0"/>
          <w:numId w:val="1"/>
        </w:numPr>
        <w:tabs>
          <w:tab w:val="left" w:pos="846"/>
          <w:tab w:val="left" w:pos="847"/>
        </w:tabs>
        <w:ind w:hanging="721"/>
      </w:pPr>
      <w:r>
        <w:t>Optus considers</w:t>
      </w:r>
      <w:r>
        <w:rPr>
          <w:spacing w:val="1"/>
        </w:rPr>
        <w:t xml:space="preserve"> </w:t>
      </w:r>
      <w:r>
        <w:t>that:</w:t>
      </w:r>
    </w:p>
    <w:p w:rsidR="001A1289" w:rsidRDefault="001A1289">
      <w:pPr>
        <w:pStyle w:val="BodyText"/>
        <w:spacing w:before="9"/>
        <w:rPr>
          <w:sz w:val="19"/>
        </w:rPr>
      </w:pPr>
    </w:p>
    <w:p w:rsidR="001A1289" w:rsidRDefault="005514CB">
      <w:pPr>
        <w:pStyle w:val="ListParagraph"/>
        <w:numPr>
          <w:ilvl w:val="1"/>
          <w:numId w:val="1"/>
        </w:numPr>
        <w:tabs>
          <w:tab w:val="left" w:pos="1551"/>
          <w:tab w:val="left" w:pos="1552"/>
        </w:tabs>
        <w:spacing w:line="230" w:lineRule="auto"/>
        <w:ind w:right="1048"/>
      </w:pPr>
      <w:r>
        <w:t>A premium based on an ‘uplift’ value risks the spectrum lot being allocated at above-market rates, which leads to an inefficient allocation of the</w:t>
      </w:r>
      <w:r>
        <w:rPr>
          <w:spacing w:val="-23"/>
        </w:rPr>
        <w:t xml:space="preserve"> </w:t>
      </w:r>
      <w:r>
        <w:t>valuable</w:t>
      </w:r>
    </w:p>
    <w:p w:rsidR="001A1289" w:rsidRDefault="001A1289">
      <w:pPr>
        <w:spacing w:line="230" w:lineRule="auto"/>
        <w:sectPr w:rsidR="001A1289">
          <w:pgSz w:w="11900" w:h="16840"/>
          <w:pgMar w:top="1060" w:right="540" w:bottom="1000" w:left="1280" w:header="0" w:footer="809" w:gutter="0"/>
          <w:cols w:space="720"/>
        </w:sectPr>
      </w:pPr>
    </w:p>
    <w:p w:rsidR="001A1289" w:rsidRDefault="005514CB">
      <w:pPr>
        <w:pStyle w:val="BodyText"/>
        <w:spacing w:before="74"/>
        <w:ind w:left="1552" w:right="596"/>
      </w:pPr>
      <w:r>
        <w:lastRenderedPageBreak/>
        <w:t>spectrum asset, inconsistent with the objectives of the Rad</w:t>
      </w:r>
      <w:r>
        <w:t>iocommunications Act. Thus would effectively act as a tax on regional customers.</w:t>
      </w:r>
    </w:p>
    <w:p w:rsidR="001A1289" w:rsidRDefault="001A1289">
      <w:pPr>
        <w:pStyle w:val="BodyText"/>
        <w:spacing w:before="11"/>
        <w:rPr>
          <w:sz w:val="18"/>
        </w:rPr>
      </w:pPr>
    </w:p>
    <w:p w:rsidR="001A1289" w:rsidRDefault="005514CB">
      <w:pPr>
        <w:pStyle w:val="ListParagraph"/>
        <w:numPr>
          <w:ilvl w:val="1"/>
          <w:numId w:val="1"/>
        </w:numPr>
        <w:tabs>
          <w:tab w:val="left" w:pos="1551"/>
          <w:tab w:val="left" w:pos="1552"/>
        </w:tabs>
        <w:spacing w:line="237" w:lineRule="auto"/>
        <w:ind w:right="1101"/>
      </w:pPr>
      <w:r>
        <w:t>The use of an ‘exit price’ value further exacerbates the risk of acquiring a spectrum asset that is above the bidder’s terminal value for the set-aside lot, which leads to an</w:t>
      </w:r>
      <w:r>
        <w:t xml:space="preserve"> inefficient allocation of the valuable spectrum asset; inconsistent with the objectives of the Radiocommunications</w:t>
      </w:r>
      <w:r>
        <w:rPr>
          <w:spacing w:val="-7"/>
        </w:rPr>
        <w:t xml:space="preserve"> </w:t>
      </w:r>
      <w:r>
        <w:t>Act.</w:t>
      </w:r>
    </w:p>
    <w:p w:rsidR="001A1289" w:rsidRDefault="001A1289">
      <w:pPr>
        <w:pStyle w:val="BodyText"/>
        <w:spacing w:before="10"/>
        <w:rPr>
          <w:sz w:val="18"/>
        </w:rPr>
      </w:pPr>
    </w:p>
    <w:p w:rsidR="001A1289" w:rsidRDefault="005514CB">
      <w:pPr>
        <w:pStyle w:val="ListParagraph"/>
        <w:numPr>
          <w:ilvl w:val="0"/>
          <w:numId w:val="1"/>
        </w:numPr>
        <w:tabs>
          <w:tab w:val="left" w:pos="846"/>
          <w:tab w:val="left" w:pos="847"/>
        </w:tabs>
        <w:ind w:right="610"/>
      </w:pPr>
      <w:r>
        <w:t>While we acknowledge the intent to allow the ACMA to develop the specific auction rules which give effect to the Direction, the propos</w:t>
      </w:r>
      <w:r>
        <w:t>ed pricing approach is so fundamentally counter to the intent of the Direction and the Government’s policy objectives that the Direction should be amended to prevent the adoption of the discriminatory pricing across generic lots.</w:t>
      </w:r>
    </w:p>
    <w:p w:rsidR="001A1289" w:rsidRDefault="001A1289">
      <w:pPr>
        <w:pStyle w:val="BodyText"/>
        <w:spacing w:before="5"/>
        <w:rPr>
          <w:sz w:val="19"/>
        </w:rPr>
      </w:pPr>
    </w:p>
    <w:p w:rsidR="001A1289" w:rsidRDefault="005514CB">
      <w:pPr>
        <w:pStyle w:val="ListParagraph"/>
        <w:numPr>
          <w:ilvl w:val="0"/>
          <w:numId w:val="1"/>
        </w:numPr>
        <w:tabs>
          <w:tab w:val="left" w:pos="846"/>
          <w:tab w:val="left" w:pos="847"/>
        </w:tabs>
        <w:ind w:right="884"/>
      </w:pPr>
      <w:r>
        <w:t>As discussed above, the G</w:t>
      </w:r>
      <w:r>
        <w:t>overnment’s policy objectives aim to support competitive market outcomes in regional areas and to minimise further imbalance in low-band holdings. The ACMA should not introduce any unnecessary financial barriers, such as setting an uncertain pre-determined</w:t>
      </w:r>
      <w:r>
        <w:t xml:space="preserve"> price for the set-aside</w:t>
      </w:r>
      <w:r>
        <w:rPr>
          <w:spacing w:val="-5"/>
        </w:rPr>
        <w:t xml:space="preserve"> </w:t>
      </w:r>
      <w:r>
        <w:t>lot.</w:t>
      </w:r>
    </w:p>
    <w:p w:rsidR="001A1289" w:rsidRDefault="001A1289">
      <w:pPr>
        <w:pStyle w:val="BodyText"/>
        <w:spacing w:before="10"/>
        <w:rPr>
          <w:sz w:val="18"/>
        </w:rPr>
      </w:pPr>
    </w:p>
    <w:p w:rsidR="001A1289" w:rsidRDefault="005514CB">
      <w:pPr>
        <w:pStyle w:val="ListParagraph"/>
        <w:numPr>
          <w:ilvl w:val="0"/>
          <w:numId w:val="1"/>
        </w:numPr>
        <w:tabs>
          <w:tab w:val="left" w:pos="846"/>
          <w:tab w:val="left" w:pos="847"/>
        </w:tabs>
        <w:ind w:right="851"/>
      </w:pPr>
      <w:r>
        <w:t>Importantly, the market price for the set-aside lot should be set no higher than the starting price of an equivalent upper 900 MHz lot offered in the auction. Optus submits that the Direction should make clear that the ACMA c</w:t>
      </w:r>
      <w:r>
        <w:t>annot set reserve prices for set- aside lots different from other</w:t>
      </w:r>
      <w:r>
        <w:rPr>
          <w:spacing w:val="-7"/>
        </w:rPr>
        <w:t xml:space="preserve"> </w:t>
      </w:r>
      <w:r>
        <w:t>lots.</w:t>
      </w:r>
    </w:p>
    <w:p w:rsidR="001A1289" w:rsidRDefault="001A1289">
      <w:pPr>
        <w:pStyle w:val="BodyText"/>
        <w:rPr>
          <w:sz w:val="21"/>
        </w:rPr>
      </w:pPr>
    </w:p>
    <w:p w:rsidR="001A1289" w:rsidRDefault="005514CB">
      <w:pPr>
        <w:pStyle w:val="Heading3"/>
        <w:rPr>
          <w:u w:val="none"/>
        </w:rPr>
      </w:pPr>
      <w:r>
        <w:t>Process for set-aside participants to commit to a set-aside lot</w:t>
      </w:r>
    </w:p>
    <w:p w:rsidR="001A1289" w:rsidRDefault="001A1289">
      <w:pPr>
        <w:pStyle w:val="BodyText"/>
        <w:spacing w:before="10"/>
        <w:rPr>
          <w:i/>
          <w:sz w:val="12"/>
        </w:rPr>
      </w:pPr>
    </w:p>
    <w:p w:rsidR="001A1289" w:rsidRDefault="005514CB">
      <w:pPr>
        <w:pStyle w:val="ListParagraph"/>
        <w:numPr>
          <w:ilvl w:val="0"/>
          <w:numId w:val="1"/>
        </w:numPr>
        <w:tabs>
          <w:tab w:val="left" w:pos="846"/>
          <w:tab w:val="left" w:pos="847"/>
        </w:tabs>
        <w:spacing w:before="94"/>
        <w:ind w:right="795"/>
      </w:pPr>
      <w:r>
        <w:t xml:space="preserve">The set-aside provision was designed to reduce risk and uncertainty for service continuation, however its current form it creates substantial risk and uncertainty. </w:t>
      </w:r>
      <w:r>
        <w:rPr>
          <w:spacing w:val="-4"/>
        </w:rPr>
        <w:t xml:space="preserve">We </w:t>
      </w:r>
      <w:r>
        <w:t xml:space="preserve">acknowledge the intent to ensure that decisions to take up </w:t>
      </w:r>
      <w:r>
        <w:rPr>
          <w:spacing w:val="-3"/>
        </w:rPr>
        <w:t xml:space="preserve">the </w:t>
      </w:r>
      <w:r>
        <w:t>set aside do not prevent o</w:t>
      </w:r>
      <w:r>
        <w:t>ther parties from acquiring spectrum and to address the risk of unsold</w:t>
      </w:r>
      <w:r>
        <w:rPr>
          <w:spacing w:val="-18"/>
        </w:rPr>
        <w:t xml:space="preserve"> </w:t>
      </w:r>
      <w:r>
        <w:t>lots.</w:t>
      </w:r>
    </w:p>
    <w:p w:rsidR="001A1289" w:rsidRDefault="001A1289">
      <w:pPr>
        <w:pStyle w:val="BodyText"/>
        <w:spacing w:before="9"/>
        <w:rPr>
          <w:sz w:val="18"/>
        </w:rPr>
      </w:pPr>
    </w:p>
    <w:p w:rsidR="001A1289" w:rsidRDefault="005514CB">
      <w:pPr>
        <w:pStyle w:val="ListParagraph"/>
        <w:numPr>
          <w:ilvl w:val="0"/>
          <w:numId w:val="1"/>
        </w:numPr>
        <w:tabs>
          <w:tab w:val="left" w:pos="846"/>
          <w:tab w:val="left" w:pos="847"/>
        </w:tabs>
        <w:spacing w:before="1"/>
        <w:ind w:right="658"/>
      </w:pPr>
      <w:r>
        <w:t>However, the procedures proposed by the ACMA introduce material risk and uncertainty which create a disincentive for operators to take up the set-asides. This is counter to Gover</w:t>
      </w:r>
      <w:r>
        <w:t>nment policy and the intent of the</w:t>
      </w:r>
      <w:r>
        <w:rPr>
          <w:spacing w:val="-6"/>
        </w:rPr>
        <w:t xml:space="preserve"> </w:t>
      </w:r>
      <w:r>
        <w:t>Direction.</w:t>
      </w:r>
    </w:p>
    <w:p w:rsidR="001A1289" w:rsidRDefault="001A1289">
      <w:pPr>
        <w:pStyle w:val="BodyText"/>
        <w:spacing w:before="1"/>
        <w:rPr>
          <w:sz w:val="19"/>
        </w:rPr>
      </w:pPr>
    </w:p>
    <w:p w:rsidR="001A1289" w:rsidRDefault="005514CB">
      <w:pPr>
        <w:pStyle w:val="ListParagraph"/>
        <w:numPr>
          <w:ilvl w:val="0"/>
          <w:numId w:val="1"/>
        </w:numPr>
        <w:tabs>
          <w:tab w:val="left" w:pos="846"/>
          <w:tab w:val="left" w:pos="847"/>
        </w:tabs>
        <w:ind w:right="756"/>
      </w:pPr>
      <w:r>
        <w:t>To address this, Optus proposes the following auction rules that addresses the risk and uncertainty, while still ensuring that any unallocated set-aside lots still be allocated during the auction. Optus</w:t>
      </w:r>
      <w:r>
        <w:rPr>
          <w:spacing w:val="-7"/>
        </w:rPr>
        <w:t xml:space="preserve"> </w:t>
      </w:r>
      <w:r>
        <w:t>propos</w:t>
      </w:r>
      <w:r>
        <w:t>es:</w:t>
      </w:r>
    </w:p>
    <w:p w:rsidR="001A1289" w:rsidRDefault="001A1289">
      <w:pPr>
        <w:pStyle w:val="BodyText"/>
        <w:spacing w:before="8"/>
        <w:rPr>
          <w:sz w:val="19"/>
        </w:rPr>
      </w:pPr>
    </w:p>
    <w:p w:rsidR="001A1289" w:rsidRDefault="005514CB">
      <w:pPr>
        <w:pStyle w:val="ListParagraph"/>
        <w:numPr>
          <w:ilvl w:val="1"/>
          <w:numId w:val="1"/>
        </w:numPr>
        <w:tabs>
          <w:tab w:val="left" w:pos="1551"/>
          <w:tab w:val="left" w:pos="1552"/>
        </w:tabs>
        <w:spacing w:line="235" w:lineRule="auto"/>
        <w:ind w:right="641"/>
      </w:pPr>
      <w:r>
        <w:rPr>
          <w:b/>
        </w:rPr>
        <w:t>Election of a set-aside lot</w:t>
      </w:r>
      <w:r>
        <w:t xml:space="preserve">. Optus agrees that </w:t>
      </w:r>
      <w:r>
        <w:rPr>
          <w:spacing w:val="-3"/>
        </w:rPr>
        <w:t xml:space="preserve">this </w:t>
      </w:r>
      <w:r>
        <w:t>should take place by the application deadline, however the financial commitment of securing this</w:t>
      </w:r>
      <w:r>
        <w:rPr>
          <w:spacing w:val="-38"/>
        </w:rPr>
        <w:t xml:space="preserve"> </w:t>
      </w:r>
      <w:r>
        <w:t>set-aside lot should not be binding at this</w:t>
      </w:r>
      <w:r>
        <w:rPr>
          <w:spacing w:val="-10"/>
        </w:rPr>
        <w:t xml:space="preserve"> </w:t>
      </w:r>
      <w:r>
        <w:t>stage.</w:t>
      </w:r>
    </w:p>
    <w:p w:rsidR="001A1289" w:rsidRDefault="001A1289">
      <w:pPr>
        <w:pStyle w:val="BodyText"/>
        <w:rPr>
          <w:sz w:val="19"/>
        </w:rPr>
      </w:pPr>
    </w:p>
    <w:p w:rsidR="001A1289" w:rsidRDefault="005514CB">
      <w:pPr>
        <w:pStyle w:val="ListParagraph"/>
        <w:numPr>
          <w:ilvl w:val="1"/>
          <w:numId w:val="1"/>
        </w:numPr>
        <w:tabs>
          <w:tab w:val="left" w:pos="1551"/>
          <w:tab w:val="left" w:pos="1552"/>
        </w:tabs>
        <w:spacing w:line="237" w:lineRule="auto"/>
        <w:ind w:right="638"/>
      </w:pPr>
      <w:r>
        <w:rPr>
          <w:b/>
        </w:rPr>
        <w:t>Securing eligibility for the ‘elected’ set-aside lot</w:t>
      </w:r>
      <w:r>
        <w:t>. Optus agrees that may take place by the eligibility deadline with any additional lots to be nominated in the eligibility nomination form, however the financial commitment of securing this set- aside lot</w:t>
      </w:r>
      <w:r>
        <w:t xml:space="preserve"> should not be binding at this</w:t>
      </w:r>
      <w:r>
        <w:rPr>
          <w:spacing w:val="-8"/>
        </w:rPr>
        <w:t xml:space="preserve"> </w:t>
      </w:r>
      <w:r>
        <w:t>stage.</w:t>
      </w:r>
    </w:p>
    <w:p w:rsidR="001A1289" w:rsidRDefault="001A1289">
      <w:pPr>
        <w:pStyle w:val="BodyText"/>
        <w:spacing w:before="4"/>
        <w:rPr>
          <w:sz w:val="19"/>
        </w:rPr>
      </w:pPr>
    </w:p>
    <w:p w:rsidR="001A1289" w:rsidRDefault="005514CB">
      <w:pPr>
        <w:pStyle w:val="ListParagraph"/>
        <w:numPr>
          <w:ilvl w:val="1"/>
          <w:numId w:val="1"/>
        </w:numPr>
        <w:tabs>
          <w:tab w:val="left" w:pos="1551"/>
          <w:tab w:val="left" w:pos="1552"/>
        </w:tabs>
        <w:spacing w:before="1" w:line="235" w:lineRule="auto"/>
        <w:ind w:right="675"/>
      </w:pPr>
      <w:r>
        <w:rPr>
          <w:b/>
        </w:rPr>
        <w:t>Final withdrawal of the ‘elected’ set-aside lot</w:t>
      </w:r>
      <w:r>
        <w:t xml:space="preserve">. Optus submits that all set-aside participants should be given a final opportunity to financially commit to the ‘elected’ set-aside lot during </w:t>
      </w:r>
      <w:r>
        <w:rPr>
          <w:spacing w:val="-3"/>
        </w:rPr>
        <w:t xml:space="preserve">the </w:t>
      </w:r>
      <w:r>
        <w:t>pre-bidding</w:t>
      </w:r>
      <w:r>
        <w:rPr>
          <w:spacing w:val="5"/>
        </w:rPr>
        <w:t xml:space="preserve"> </w:t>
      </w:r>
      <w:r>
        <w:t>phase.</w:t>
      </w:r>
    </w:p>
    <w:p w:rsidR="001A1289" w:rsidRDefault="001A1289">
      <w:pPr>
        <w:pStyle w:val="BodyText"/>
        <w:spacing w:before="10"/>
        <w:rPr>
          <w:sz w:val="18"/>
        </w:rPr>
      </w:pPr>
    </w:p>
    <w:p w:rsidR="001A1289" w:rsidRDefault="005514CB">
      <w:pPr>
        <w:pStyle w:val="ListParagraph"/>
        <w:numPr>
          <w:ilvl w:val="1"/>
          <w:numId w:val="1"/>
        </w:numPr>
        <w:tabs>
          <w:tab w:val="left" w:pos="1551"/>
          <w:tab w:val="left" w:pos="1552"/>
        </w:tabs>
        <w:spacing w:before="1" w:line="237" w:lineRule="auto"/>
        <w:ind w:right="831"/>
      </w:pPr>
      <w:r>
        <w:t xml:space="preserve">The </w:t>
      </w:r>
      <w:r>
        <w:rPr>
          <w:b/>
        </w:rPr>
        <w:t xml:space="preserve">final generic allocation of the set-aside lot will therefore only occur at the completion of </w:t>
      </w:r>
      <w:r>
        <w:rPr>
          <w:b/>
          <w:spacing w:val="-3"/>
        </w:rPr>
        <w:t xml:space="preserve">the </w:t>
      </w:r>
      <w:r>
        <w:rPr>
          <w:b/>
        </w:rPr>
        <w:t>primary stage</w:t>
      </w:r>
      <w:r>
        <w:t>. Optus notes that while this introduces a minor difference in timing of the ‘direct’ allocation from before the pre-bidding phase to after co</w:t>
      </w:r>
      <w:r>
        <w:t xml:space="preserve">mpletion of the primary stage, </w:t>
      </w:r>
      <w:r>
        <w:rPr>
          <w:spacing w:val="-3"/>
        </w:rPr>
        <w:t xml:space="preserve">we </w:t>
      </w:r>
      <w:r>
        <w:t>note that this will have</w:t>
      </w:r>
      <w:r>
        <w:rPr>
          <w:spacing w:val="-20"/>
        </w:rPr>
        <w:t xml:space="preserve"> </w:t>
      </w:r>
      <w:r>
        <w:t>a</w:t>
      </w:r>
    </w:p>
    <w:p w:rsidR="001A1289" w:rsidRDefault="001A1289">
      <w:pPr>
        <w:spacing w:line="237" w:lineRule="auto"/>
        <w:sectPr w:rsidR="001A1289">
          <w:pgSz w:w="11900" w:h="16840"/>
          <w:pgMar w:top="1060" w:right="540" w:bottom="1000" w:left="1280" w:header="0" w:footer="809" w:gutter="0"/>
          <w:cols w:space="720"/>
        </w:sectPr>
      </w:pPr>
    </w:p>
    <w:p w:rsidR="001A1289" w:rsidRDefault="005514CB">
      <w:pPr>
        <w:pStyle w:val="BodyText"/>
        <w:spacing w:before="74"/>
        <w:ind w:left="1552" w:right="767"/>
      </w:pPr>
      <w:r>
        <w:lastRenderedPageBreak/>
        <w:t>significant impact on internal governance processes – including for bid strategy, financial governance and management approvals.</w:t>
      </w:r>
    </w:p>
    <w:p w:rsidR="001A1289" w:rsidRDefault="001A1289">
      <w:pPr>
        <w:pStyle w:val="BodyText"/>
        <w:rPr>
          <w:sz w:val="19"/>
        </w:rPr>
      </w:pPr>
    </w:p>
    <w:p w:rsidR="001A1289" w:rsidRDefault="005514CB">
      <w:pPr>
        <w:pStyle w:val="ListParagraph"/>
        <w:numPr>
          <w:ilvl w:val="0"/>
          <w:numId w:val="1"/>
        </w:numPr>
        <w:tabs>
          <w:tab w:val="left" w:pos="846"/>
          <w:tab w:val="left" w:pos="847"/>
        </w:tabs>
        <w:spacing w:before="1"/>
        <w:ind w:right="656"/>
      </w:pPr>
      <w:r>
        <w:t>Optus considers the decision by set-aside parti</w:t>
      </w:r>
      <w:r>
        <w:t xml:space="preserve">cipants to accept or reject a set-aside lot does not impact on the overall ability of other bidders to acquire spectrum </w:t>
      </w:r>
      <w:r>
        <w:rPr>
          <w:spacing w:val="-3"/>
        </w:rPr>
        <w:t xml:space="preserve">in </w:t>
      </w:r>
      <w:r>
        <w:t>the auction. While it is unlikely that a set-aside once elected will subsequently be forfeited during the pre-bidding phase, Optus su</w:t>
      </w:r>
      <w:r>
        <w:t>bmits that the opportunity to withdraw should be afforded to all set-aside participants during the pre-bidding phase and only directly allocated as part of the close of the primary stage. This can be established in the allocation rules, for example, with a</w:t>
      </w:r>
      <w:r>
        <w:t>ny withdrawn set-aside lots to be open for allocation by remaining bidders in a secondary stage.</w:t>
      </w:r>
      <w:r>
        <w:rPr>
          <w:spacing w:val="-2"/>
        </w:rPr>
        <w:t xml:space="preserve"> </w:t>
      </w:r>
      <w:r>
        <w:t>Specifically,</w:t>
      </w:r>
    </w:p>
    <w:p w:rsidR="001A1289" w:rsidRDefault="001A1289">
      <w:pPr>
        <w:pStyle w:val="BodyText"/>
        <w:spacing w:before="4"/>
        <w:rPr>
          <w:sz w:val="19"/>
        </w:rPr>
      </w:pPr>
    </w:p>
    <w:p w:rsidR="001A1289" w:rsidRDefault="005514CB">
      <w:pPr>
        <w:pStyle w:val="ListParagraph"/>
        <w:numPr>
          <w:ilvl w:val="1"/>
          <w:numId w:val="1"/>
        </w:numPr>
        <w:tabs>
          <w:tab w:val="left" w:pos="1551"/>
          <w:tab w:val="left" w:pos="1552"/>
        </w:tabs>
        <w:spacing w:before="1" w:line="235" w:lineRule="auto"/>
        <w:ind w:right="1253"/>
      </w:pPr>
      <w:r>
        <w:t>In the unlikely event that this occurs, the forfeited lot can be returned to</w:t>
      </w:r>
      <w:r>
        <w:rPr>
          <w:spacing w:val="-37"/>
        </w:rPr>
        <w:t xml:space="preserve"> </w:t>
      </w:r>
      <w:r>
        <w:t>the allocation pool to be taken up by any remaining bidder in the a</w:t>
      </w:r>
      <w:r>
        <w:t xml:space="preserve">uction </w:t>
      </w:r>
      <w:r>
        <w:rPr>
          <w:spacing w:val="-3"/>
        </w:rPr>
        <w:t xml:space="preserve">in </w:t>
      </w:r>
      <w:r>
        <w:t>accordance with the allocation</w:t>
      </w:r>
      <w:r>
        <w:rPr>
          <w:spacing w:val="5"/>
        </w:rPr>
        <w:t xml:space="preserve"> </w:t>
      </w:r>
      <w:r>
        <w:t>rules.</w:t>
      </w:r>
    </w:p>
    <w:p w:rsidR="001A1289" w:rsidRDefault="001A1289">
      <w:pPr>
        <w:pStyle w:val="BodyText"/>
        <w:spacing w:before="4"/>
        <w:rPr>
          <w:sz w:val="19"/>
        </w:rPr>
      </w:pPr>
    </w:p>
    <w:p w:rsidR="001A1289" w:rsidRDefault="005514CB">
      <w:pPr>
        <w:pStyle w:val="ListParagraph"/>
        <w:numPr>
          <w:ilvl w:val="1"/>
          <w:numId w:val="1"/>
        </w:numPr>
        <w:tabs>
          <w:tab w:val="left" w:pos="1551"/>
          <w:tab w:val="left" w:pos="1552"/>
        </w:tabs>
        <w:spacing w:line="237" w:lineRule="auto"/>
        <w:ind w:right="762"/>
      </w:pPr>
      <w:r>
        <w:t xml:space="preserve">Optus proposes that a secondary stage, similar in form and function to that adopted in </w:t>
      </w:r>
      <w:r>
        <w:rPr>
          <w:spacing w:val="-3"/>
        </w:rPr>
        <w:t xml:space="preserve">the </w:t>
      </w:r>
      <w:r>
        <w:t>3.6 GHz and 26 GHz auctions for allocating any unsold lot where a minimum spectrum requirement was triggered, be rei</w:t>
      </w:r>
      <w:r>
        <w:t>ntroduced. Participation would also be limited to any remaining bidders subject to their registered eligibility and allocation limits at the close of the primary stage. This would address any auction efficiency risk of ending up with unsold lots at the clo</w:t>
      </w:r>
      <w:r>
        <w:t>se of the</w:t>
      </w:r>
      <w:r>
        <w:rPr>
          <w:spacing w:val="-2"/>
        </w:rPr>
        <w:t xml:space="preserve"> </w:t>
      </w:r>
      <w:r>
        <w:t>auction.</w:t>
      </w:r>
    </w:p>
    <w:p w:rsidR="001A1289" w:rsidRDefault="001A1289">
      <w:pPr>
        <w:pStyle w:val="BodyText"/>
        <w:spacing w:before="6"/>
        <w:rPr>
          <w:sz w:val="19"/>
        </w:rPr>
      </w:pPr>
    </w:p>
    <w:p w:rsidR="001A1289" w:rsidRDefault="005514CB">
      <w:pPr>
        <w:pStyle w:val="ListParagraph"/>
        <w:numPr>
          <w:ilvl w:val="0"/>
          <w:numId w:val="1"/>
        </w:numPr>
        <w:tabs>
          <w:tab w:val="left" w:pos="846"/>
          <w:tab w:val="left" w:pos="847"/>
        </w:tabs>
        <w:ind w:right="1136"/>
      </w:pPr>
      <w:r>
        <w:t xml:space="preserve">Optus submits that </w:t>
      </w:r>
      <w:r>
        <w:rPr>
          <w:spacing w:val="-3"/>
        </w:rPr>
        <w:t xml:space="preserve">the </w:t>
      </w:r>
      <w:r>
        <w:t>Direction directs the ACMA to allow set-aside participants to withdraw from their ‘elected’ set-aside lot during the pre-bidding</w:t>
      </w:r>
      <w:r>
        <w:rPr>
          <w:spacing w:val="-16"/>
        </w:rPr>
        <w:t xml:space="preserve"> </w:t>
      </w:r>
      <w:r>
        <w:t>phase.</w:t>
      </w:r>
    </w:p>
    <w:sectPr w:rsidR="001A1289">
      <w:pgSz w:w="11900" w:h="16840"/>
      <w:pgMar w:top="1060" w:right="540" w:bottom="1000" w:left="1280" w:header="0" w:footer="8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5514CB">
      <w:r>
        <w:separator/>
      </w:r>
    </w:p>
  </w:endnote>
  <w:endnote w:type="continuationSeparator" w:id="0">
    <w:p w:rsidR="00000000" w:rsidRDefault="005514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1289" w:rsidRDefault="005514CB">
    <w:pPr>
      <w:pStyle w:val="BodyText"/>
      <w:spacing w:line="14" w:lineRule="auto"/>
      <w:rPr>
        <w:sz w:val="20"/>
      </w:rPr>
    </w:pPr>
    <w:r>
      <w:rPr>
        <w:noProof/>
        <w:lang w:val="en-AU" w:eastAsia="en-AU"/>
      </w:rPr>
      <mc:AlternateContent>
        <mc:Choice Requires="wps">
          <w:drawing>
            <wp:anchor distT="0" distB="0" distL="114300" distR="114300" simplePos="0" relativeHeight="251657728" behindDoc="1" locked="0" layoutInCell="1" allowOverlap="1">
              <wp:simplePos x="0" y="0"/>
              <wp:positionH relativeFrom="page">
                <wp:posOffset>6518910</wp:posOffset>
              </wp:positionH>
              <wp:positionV relativeFrom="page">
                <wp:posOffset>10039985</wp:posOffset>
              </wp:positionV>
              <wp:extent cx="362585" cy="16700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2585" cy="167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A1289" w:rsidRDefault="005514CB">
                          <w:pPr>
                            <w:spacing w:before="22"/>
                            <w:ind w:left="20"/>
                            <w:rPr>
                              <w:rFonts w:ascii="Calibri"/>
                              <w:sz w:val="18"/>
                            </w:rPr>
                          </w:pPr>
                          <w:r>
                            <w:rPr>
                              <w:rFonts w:ascii="Calibri"/>
                              <w:color w:val="A5A5A5"/>
                              <w:sz w:val="18"/>
                            </w:rPr>
                            <w:t xml:space="preserve">Page </w:t>
                          </w:r>
                          <w:r>
                            <w:fldChar w:fldCharType="begin"/>
                          </w:r>
                          <w:r>
                            <w:rPr>
                              <w:rFonts w:ascii="Calibri"/>
                              <w:color w:val="A5A5A5"/>
                              <w:sz w:val="18"/>
                            </w:rPr>
                            <w:instrText xml:space="preserve"> PAGE </w:instrText>
                          </w:r>
                          <w:r>
                            <w:fldChar w:fldCharType="separate"/>
                          </w:r>
                          <w:r>
                            <w:rPr>
                              <w:rFonts w:ascii="Calibri"/>
                              <w:noProof/>
                              <w:color w:val="A5A5A5"/>
                              <w:sz w:val="18"/>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13.3pt;margin-top:790.55pt;width:28.55pt;height:13.1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" filled="f" stroked="f">
              <v:textbox inset="0,0,0,0">
                <w:txbxContent>
                  <w:p w:rsidR="001A1289" w:rsidRDefault="005514CB">
                    <w:pPr>
                      <w:spacing w:before="22"/>
                      <w:ind w:left="20"/>
                      <w:rPr>
                        <w:rFonts w:ascii="Calibri"/>
                        <w:sz w:val="18"/>
                      </w:rPr>
                    </w:pPr>
                    <w:r>
                      <w:rPr>
                        <w:rFonts w:ascii="Calibri"/>
                        <w:color w:val="A5A5A5"/>
                        <w:sz w:val="18"/>
                      </w:rPr>
                      <w:t xml:space="preserve">Page </w:t>
                    </w:r>
                    <w:r>
                      <w:fldChar w:fldCharType="begin"/>
                    </w:r>
                    <w:r>
                      <w:rPr>
                        <w:rFonts w:ascii="Calibri"/>
                        <w:color w:val="A5A5A5"/>
                        <w:sz w:val="18"/>
                      </w:rPr>
                      <w:instrText xml:space="preserve"> PAGE </w:instrText>
                    </w:r>
                    <w:r>
                      <w:fldChar w:fldCharType="separate"/>
                    </w:r>
                    <w:r>
                      <w:rPr>
                        <w:rFonts w:ascii="Calibri"/>
                        <w:noProof/>
                        <w:color w:val="A5A5A5"/>
                        <w:sz w:val="18"/>
                      </w:rPr>
                      <w:t>2</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5514CB">
      <w:r>
        <w:separator/>
      </w:r>
    </w:p>
  </w:footnote>
  <w:footnote w:type="continuationSeparator" w:id="0">
    <w:p w:rsidR="00000000" w:rsidRDefault="005514C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B225E"/>
    <w:multiLevelType w:val="hybridMultilevel"/>
    <w:tmpl w:val="32FC5488"/>
    <w:lvl w:ilvl="0" w:tplc="52D889F0">
      <w:start w:val="1"/>
      <w:numFmt w:val="decimal"/>
      <w:lvlText w:val="%1."/>
      <w:lvlJc w:val="left"/>
      <w:pPr>
        <w:ind w:left="846" w:hanging="720"/>
        <w:jc w:val="left"/>
      </w:pPr>
      <w:rPr>
        <w:rFonts w:ascii="Arial" w:eastAsia="Arial" w:hAnsi="Arial" w:cs="Arial" w:hint="default"/>
        <w:spacing w:val="0"/>
        <w:w w:val="100"/>
        <w:sz w:val="22"/>
        <w:szCs w:val="22"/>
      </w:rPr>
    </w:lvl>
    <w:lvl w:ilvl="1" w:tplc="2EB2D29A">
      <w:start w:val="1"/>
      <w:numFmt w:val="lowerLetter"/>
      <w:lvlText w:val="(%2)"/>
      <w:lvlJc w:val="left"/>
      <w:pPr>
        <w:ind w:left="1552" w:hanging="706"/>
        <w:jc w:val="left"/>
      </w:pPr>
      <w:rPr>
        <w:rFonts w:ascii="Calibri" w:eastAsia="Calibri" w:hAnsi="Calibri" w:cs="Calibri" w:hint="default"/>
        <w:w w:val="100"/>
        <w:sz w:val="22"/>
        <w:szCs w:val="22"/>
      </w:rPr>
    </w:lvl>
    <w:lvl w:ilvl="2" w:tplc="E3E69980">
      <w:numFmt w:val="bullet"/>
      <w:lvlText w:val="•"/>
      <w:lvlJc w:val="left"/>
      <w:pPr>
        <w:ind w:left="2506" w:hanging="706"/>
      </w:pPr>
      <w:rPr>
        <w:rFonts w:hint="default"/>
      </w:rPr>
    </w:lvl>
    <w:lvl w:ilvl="3" w:tplc="69B25C94">
      <w:numFmt w:val="bullet"/>
      <w:lvlText w:val="•"/>
      <w:lvlJc w:val="left"/>
      <w:pPr>
        <w:ind w:left="3453" w:hanging="706"/>
      </w:pPr>
      <w:rPr>
        <w:rFonts w:hint="default"/>
      </w:rPr>
    </w:lvl>
    <w:lvl w:ilvl="4" w:tplc="FFBEB274">
      <w:numFmt w:val="bullet"/>
      <w:lvlText w:val="•"/>
      <w:lvlJc w:val="left"/>
      <w:pPr>
        <w:ind w:left="4400" w:hanging="706"/>
      </w:pPr>
      <w:rPr>
        <w:rFonts w:hint="default"/>
      </w:rPr>
    </w:lvl>
    <w:lvl w:ilvl="5" w:tplc="7F5A0320">
      <w:numFmt w:val="bullet"/>
      <w:lvlText w:val="•"/>
      <w:lvlJc w:val="left"/>
      <w:pPr>
        <w:ind w:left="5346" w:hanging="706"/>
      </w:pPr>
      <w:rPr>
        <w:rFonts w:hint="default"/>
      </w:rPr>
    </w:lvl>
    <w:lvl w:ilvl="6" w:tplc="5A88725E">
      <w:numFmt w:val="bullet"/>
      <w:lvlText w:val="•"/>
      <w:lvlJc w:val="left"/>
      <w:pPr>
        <w:ind w:left="6293" w:hanging="706"/>
      </w:pPr>
      <w:rPr>
        <w:rFonts w:hint="default"/>
      </w:rPr>
    </w:lvl>
    <w:lvl w:ilvl="7" w:tplc="20828606">
      <w:numFmt w:val="bullet"/>
      <w:lvlText w:val="•"/>
      <w:lvlJc w:val="left"/>
      <w:pPr>
        <w:ind w:left="7240" w:hanging="706"/>
      </w:pPr>
      <w:rPr>
        <w:rFonts w:hint="default"/>
      </w:rPr>
    </w:lvl>
    <w:lvl w:ilvl="8" w:tplc="154A249C">
      <w:numFmt w:val="bullet"/>
      <w:lvlText w:val="•"/>
      <w:lvlJc w:val="left"/>
      <w:pPr>
        <w:ind w:left="8186" w:hanging="706"/>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2051"/>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1289"/>
    <w:rsid w:val="001A1289"/>
    <w:rsid w:val="005514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5016791D-0EDD-4E65-8379-777863B730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72"/>
      <w:ind w:left="135"/>
      <w:outlineLvl w:val="0"/>
    </w:pPr>
    <w:rPr>
      <w:b/>
      <w:bCs/>
      <w:sz w:val="29"/>
      <w:szCs w:val="29"/>
    </w:rPr>
  </w:style>
  <w:style w:type="paragraph" w:styleId="Heading2">
    <w:name w:val="heading 2"/>
    <w:basedOn w:val="Normal"/>
    <w:uiPriority w:val="1"/>
    <w:qFormat/>
    <w:pPr>
      <w:ind w:left="135"/>
      <w:outlineLvl w:val="1"/>
    </w:pPr>
    <w:rPr>
      <w:b/>
      <w:bCs/>
      <w:sz w:val="24"/>
      <w:szCs w:val="24"/>
    </w:rPr>
  </w:style>
  <w:style w:type="paragraph" w:styleId="Heading3">
    <w:name w:val="heading 3"/>
    <w:basedOn w:val="Normal"/>
    <w:uiPriority w:val="1"/>
    <w:qFormat/>
    <w:pPr>
      <w:ind w:left="135"/>
      <w:outlineLvl w:val="2"/>
    </w:pPr>
    <w:rPr>
      <w:i/>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846" w:hanging="72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hannelnews.com.au/exclusive-telstra-5g-struggles-to-get-past-5mbps/" TargetMode="External"/><Relationship Id="rId5" Type="http://schemas.openxmlformats.org/officeDocument/2006/relationships/footnotes" Target="footnotes.xml"/><Relationship Id="rId10" Type="http://schemas.openxmlformats.org/officeDocument/2006/relationships/hyperlink" Target="http://www.umlaut.com/uploads/documents/20191204_AUS_umlaut_Report_Certificate.pdf" TargetMode="External"/><Relationship Id="rId4" Type="http://schemas.openxmlformats.org/officeDocument/2006/relationships/webSettings" Target="webSettings.xml"/><Relationship Id="rId9" Type="http://schemas.openxmlformats.org/officeDocument/2006/relationships/hyperlink" Target="http://www.optus.com.au/about/media-centre/media-releases/2017/12/optus-mobile-network-nam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3173</Words>
  <Characters>18089</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Submission</vt:lpstr>
    </vt:vector>
  </TitlesOfParts>
  <Company>Department of Communications and the Arts</Company>
  <LinksUpToDate>false</LinksUpToDate>
  <CharactersWithSpaces>21220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Submission</dc:title>
  <dc:creator>Stafford, Caitlin</dc:creator>
  <cp:lastModifiedBy>Stafford, Caitlin</cp:lastModifiedBy>
  <cp:revision>2</cp:revision>
  <dcterms:created xsi:type="dcterms:W3CDTF">2021-07-27T01:03:00Z</dcterms:created>
  <dcterms:modified xsi:type="dcterms:W3CDTF">2021-07-27T01:03:00Z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2021-05-21T00:00:00Z</vt:filetime>
  </property>
  <property fmtid="{D5CDD505-2E9C-101B-9397-08002B2CF9AE}" pid="3" name="LastSaved">
    <vt:filetime>2021-07-27T00:00:00Z</vt:filetime>
  </property>
</Properties>
</file>