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FDCEF" w14:textId="36171E4A" w:rsidR="00FA354D" w:rsidRPr="005A7C0B" w:rsidRDefault="00FA354D" w:rsidP="00D20BC8">
      <w:pPr>
        <w:pStyle w:val="PartHeading-TOC"/>
      </w:pPr>
      <w:bookmarkStart w:id="0" w:name="_Toc165753276"/>
      <w:bookmarkStart w:id="1" w:name="_Toc166226389"/>
      <w:bookmarkStart w:id="2" w:name="_Toc165542145"/>
      <w:bookmarkStart w:id="3" w:name="_Toc190766151"/>
      <w:bookmarkStart w:id="4" w:name="_Toc444523519"/>
      <w:bookmarkStart w:id="5" w:name="_Toc65243503"/>
      <w:bookmarkStart w:id="6" w:name="_GoBack"/>
      <w:bookmarkEnd w:id="6"/>
      <w:r>
        <w:t>Infrastructure Australia</w:t>
      </w:r>
      <w:bookmarkEnd w:id="0"/>
      <w:bookmarkEnd w:id="1"/>
    </w:p>
    <w:p w14:paraId="6CBBB1DC" w14:textId="77777777" w:rsidR="00FA354D" w:rsidRDefault="00FA354D" w:rsidP="00FA354D">
      <w:pPr>
        <w:pStyle w:val="PartHeading"/>
      </w:pPr>
    </w:p>
    <w:p w14:paraId="77A33A7B" w14:textId="77777777" w:rsidR="00FA354D" w:rsidRDefault="00FA354D" w:rsidP="00125B54">
      <w:pPr>
        <w:pStyle w:val="PartHeading"/>
        <w:sectPr w:rsidR="00FA354D" w:rsidSect="004D6CFE">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285"/>
          <w:cols w:space="708"/>
          <w:vAlign w:val="center"/>
          <w:titlePg/>
          <w:docGrid w:linePitch="360"/>
        </w:sectPr>
      </w:pPr>
      <w:r>
        <w:t>Entity resources and planned performance</w:t>
      </w:r>
    </w:p>
    <w:p w14:paraId="4C0780BC" w14:textId="77777777" w:rsidR="00FA354D" w:rsidRPr="00E36F77" w:rsidRDefault="00FA354D" w:rsidP="00D20BC8">
      <w:pPr>
        <w:pStyle w:val="ContentsHeading"/>
        <w:jc w:val="center"/>
      </w:pPr>
      <w:r>
        <w:lastRenderedPageBreak/>
        <w:t xml:space="preserve">Infrastructure </w:t>
      </w:r>
      <w:r w:rsidRPr="00341157">
        <w:t>Australia</w:t>
      </w:r>
    </w:p>
    <w:p w14:paraId="7FCB2118" w14:textId="28826DFF" w:rsidR="00CE0E02" w:rsidRDefault="00FA354D">
      <w:pPr>
        <w:pStyle w:val="TOC1"/>
        <w:rPr>
          <w:rFonts w:asciiTheme="minorHAnsi" w:eastAsiaTheme="minorEastAsia" w:hAnsiTheme="minorHAnsi" w:cstheme="minorBidi"/>
          <w:b w:val="0"/>
          <w:caps w:val="0"/>
          <w:noProof/>
          <w:sz w:val="22"/>
          <w:szCs w:val="22"/>
        </w:rPr>
      </w:pPr>
      <w:r>
        <w:fldChar w:fldCharType="begin"/>
      </w:r>
      <w:r>
        <w:instrText xml:space="preserve"> TOC \h \z \t "Heading 2 - IA,1,Heading 3 - IA,2" </w:instrText>
      </w:r>
      <w:r>
        <w:fldChar w:fldCharType="separate"/>
      </w:r>
      <w:hyperlink w:anchor="_Toc165838202" w:history="1">
        <w:r w:rsidR="00CE0E02" w:rsidRPr="00C82044">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_Toc165838202 \h </w:instrText>
        </w:r>
        <w:r w:rsidR="00CE0E02">
          <w:rPr>
            <w:noProof/>
            <w:webHidden/>
          </w:rPr>
        </w:r>
        <w:r w:rsidR="00CE0E02">
          <w:rPr>
            <w:noProof/>
            <w:webHidden/>
          </w:rPr>
          <w:fldChar w:fldCharType="separate"/>
        </w:r>
        <w:r w:rsidR="003352C5">
          <w:rPr>
            <w:noProof/>
            <w:webHidden/>
          </w:rPr>
          <w:t>289</w:t>
        </w:r>
        <w:r w:rsidR="00CE0E02">
          <w:rPr>
            <w:noProof/>
            <w:webHidden/>
          </w:rPr>
          <w:fldChar w:fldCharType="end"/>
        </w:r>
      </w:hyperlink>
    </w:p>
    <w:p w14:paraId="2EC182BE" w14:textId="7BCD0BEC" w:rsidR="00CE0E02" w:rsidRDefault="00C16CC4">
      <w:pPr>
        <w:pStyle w:val="TOC2"/>
        <w:rPr>
          <w:rFonts w:asciiTheme="minorHAnsi" w:eastAsiaTheme="minorEastAsia" w:hAnsiTheme="minorHAnsi" w:cstheme="minorBidi"/>
          <w:noProof/>
          <w:sz w:val="22"/>
          <w:szCs w:val="22"/>
        </w:rPr>
      </w:pPr>
      <w:hyperlink w:anchor="_Toc165838203" w:history="1">
        <w:r w:rsidR="00CE0E02" w:rsidRPr="00C82044">
          <w:rPr>
            <w:rStyle w:val="Hyperlink"/>
            <w:noProof/>
          </w:rPr>
          <w:t>1.1</w:t>
        </w:r>
        <w:r w:rsidR="00CE0E02">
          <w:rPr>
            <w:rFonts w:asciiTheme="minorHAnsi" w:eastAsiaTheme="minorEastAsia" w:hAnsiTheme="minorHAnsi" w:cstheme="minorBidi"/>
            <w:noProof/>
            <w:sz w:val="22"/>
            <w:szCs w:val="22"/>
          </w:rPr>
          <w:tab/>
        </w:r>
        <w:r w:rsidR="00CE0E02" w:rsidRPr="00C82044">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_Toc165838203 \h </w:instrText>
        </w:r>
        <w:r w:rsidR="00CE0E02">
          <w:rPr>
            <w:noProof/>
            <w:webHidden/>
          </w:rPr>
        </w:r>
        <w:r w:rsidR="00CE0E02">
          <w:rPr>
            <w:noProof/>
            <w:webHidden/>
          </w:rPr>
          <w:fldChar w:fldCharType="separate"/>
        </w:r>
        <w:r w:rsidR="003352C5">
          <w:rPr>
            <w:noProof/>
            <w:webHidden/>
          </w:rPr>
          <w:t>289</w:t>
        </w:r>
        <w:r w:rsidR="00CE0E02">
          <w:rPr>
            <w:noProof/>
            <w:webHidden/>
          </w:rPr>
          <w:fldChar w:fldCharType="end"/>
        </w:r>
      </w:hyperlink>
    </w:p>
    <w:p w14:paraId="50C17196" w14:textId="722086C7" w:rsidR="00CE0E02" w:rsidRDefault="00C16CC4">
      <w:pPr>
        <w:pStyle w:val="TOC2"/>
        <w:rPr>
          <w:rFonts w:asciiTheme="minorHAnsi" w:eastAsiaTheme="minorEastAsia" w:hAnsiTheme="minorHAnsi" w:cstheme="minorBidi"/>
          <w:noProof/>
          <w:sz w:val="22"/>
          <w:szCs w:val="22"/>
        </w:rPr>
      </w:pPr>
      <w:hyperlink w:anchor="_Toc165838204" w:history="1">
        <w:r w:rsidR="00CE0E02" w:rsidRPr="00C82044">
          <w:rPr>
            <w:rStyle w:val="Hyperlink"/>
            <w:noProof/>
          </w:rPr>
          <w:t>1.2</w:t>
        </w:r>
        <w:r w:rsidR="00CE0E02">
          <w:rPr>
            <w:rFonts w:asciiTheme="minorHAnsi" w:eastAsiaTheme="minorEastAsia" w:hAnsiTheme="minorHAnsi" w:cstheme="minorBidi"/>
            <w:noProof/>
            <w:sz w:val="22"/>
            <w:szCs w:val="22"/>
          </w:rPr>
          <w:tab/>
        </w:r>
        <w:r w:rsidR="00CE0E02" w:rsidRPr="00C82044">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_Toc165838204 \h </w:instrText>
        </w:r>
        <w:r w:rsidR="00CE0E02">
          <w:rPr>
            <w:noProof/>
            <w:webHidden/>
          </w:rPr>
        </w:r>
        <w:r w:rsidR="00CE0E02">
          <w:rPr>
            <w:noProof/>
            <w:webHidden/>
          </w:rPr>
          <w:fldChar w:fldCharType="separate"/>
        </w:r>
        <w:r w:rsidR="003352C5">
          <w:rPr>
            <w:noProof/>
            <w:webHidden/>
          </w:rPr>
          <w:t>290</w:t>
        </w:r>
        <w:r w:rsidR="00CE0E02">
          <w:rPr>
            <w:noProof/>
            <w:webHidden/>
          </w:rPr>
          <w:fldChar w:fldCharType="end"/>
        </w:r>
      </w:hyperlink>
    </w:p>
    <w:p w14:paraId="282F7B09" w14:textId="6D48BA32" w:rsidR="00CE0E02" w:rsidRDefault="00C16CC4">
      <w:pPr>
        <w:pStyle w:val="TOC2"/>
        <w:rPr>
          <w:rFonts w:asciiTheme="minorHAnsi" w:eastAsiaTheme="minorEastAsia" w:hAnsiTheme="minorHAnsi" w:cstheme="minorBidi"/>
          <w:noProof/>
          <w:sz w:val="22"/>
          <w:szCs w:val="22"/>
        </w:rPr>
      </w:pPr>
      <w:hyperlink w:anchor="_Toc165838205" w:history="1">
        <w:r w:rsidR="00CE0E02" w:rsidRPr="00C82044">
          <w:rPr>
            <w:rStyle w:val="Hyperlink"/>
            <w:noProof/>
          </w:rPr>
          <w:t>1.3</w:t>
        </w:r>
        <w:r w:rsidR="00CE0E02">
          <w:rPr>
            <w:rFonts w:asciiTheme="minorHAnsi" w:eastAsiaTheme="minorEastAsia" w:hAnsiTheme="minorHAnsi" w:cstheme="minorBidi"/>
            <w:noProof/>
            <w:sz w:val="22"/>
            <w:szCs w:val="22"/>
          </w:rPr>
          <w:tab/>
        </w:r>
        <w:r w:rsidR="00CE0E02" w:rsidRPr="00C82044">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_Toc165838205 \h </w:instrText>
        </w:r>
        <w:r w:rsidR="00CE0E02">
          <w:rPr>
            <w:noProof/>
            <w:webHidden/>
          </w:rPr>
        </w:r>
        <w:r w:rsidR="00CE0E02">
          <w:rPr>
            <w:noProof/>
            <w:webHidden/>
          </w:rPr>
          <w:fldChar w:fldCharType="separate"/>
        </w:r>
        <w:r w:rsidR="003352C5">
          <w:rPr>
            <w:noProof/>
            <w:webHidden/>
          </w:rPr>
          <w:t>291</w:t>
        </w:r>
        <w:r w:rsidR="00CE0E02">
          <w:rPr>
            <w:noProof/>
            <w:webHidden/>
          </w:rPr>
          <w:fldChar w:fldCharType="end"/>
        </w:r>
      </w:hyperlink>
    </w:p>
    <w:p w14:paraId="408FBF31" w14:textId="3DB6059F" w:rsidR="00CE0E02" w:rsidRDefault="00C16CC4">
      <w:pPr>
        <w:pStyle w:val="TOC1"/>
        <w:rPr>
          <w:rFonts w:asciiTheme="minorHAnsi" w:eastAsiaTheme="minorEastAsia" w:hAnsiTheme="minorHAnsi" w:cstheme="minorBidi"/>
          <w:b w:val="0"/>
          <w:caps w:val="0"/>
          <w:noProof/>
          <w:sz w:val="22"/>
          <w:szCs w:val="22"/>
        </w:rPr>
      </w:pPr>
      <w:hyperlink w:anchor="_Toc165838206" w:history="1">
        <w:r w:rsidR="00CE0E02" w:rsidRPr="00C82044">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_Toc165838206 \h </w:instrText>
        </w:r>
        <w:r w:rsidR="00CE0E02">
          <w:rPr>
            <w:noProof/>
            <w:webHidden/>
          </w:rPr>
        </w:r>
        <w:r w:rsidR="00CE0E02">
          <w:rPr>
            <w:noProof/>
            <w:webHidden/>
          </w:rPr>
          <w:fldChar w:fldCharType="separate"/>
        </w:r>
        <w:r w:rsidR="003352C5">
          <w:rPr>
            <w:noProof/>
            <w:webHidden/>
          </w:rPr>
          <w:t>292</w:t>
        </w:r>
        <w:r w:rsidR="00CE0E02">
          <w:rPr>
            <w:noProof/>
            <w:webHidden/>
          </w:rPr>
          <w:fldChar w:fldCharType="end"/>
        </w:r>
      </w:hyperlink>
    </w:p>
    <w:p w14:paraId="65A69A1C" w14:textId="7B4F39A3" w:rsidR="00CE0E02" w:rsidRDefault="00C16CC4">
      <w:pPr>
        <w:pStyle w:val="TOC2"/>
        <w:rPr>
          <w:rFonts w:asciiTheme="minorHAnsi" w:eastAsiaTheme="minorEastAsia" w:hAnsiTheme="minorHAnsi" w:cstheme="minorBidi"/>
          <w:noProof/>
          <w:sz w:val="22"/>
          <w:szCs w:val="22"/>
        </w:rPr>
      </w:pPr>
      <w:hyperlink w:anchor="_Toc165838207" w:history="1">
        <w:r w:rsidR="00CE0E02" w:rsidRPr="00C82044">
          <w:rPr>
            <w:rStyle w:val="Hyperlink"/>
            <w:noProof/>
          </w:rPr>
          <w:t xml:space="preserve">2.1 </w:t>
        </w:r>
        <w:r w:rsidR="00CE0E02">
          <w:rPr>
            <w:rFonts w:asciiTheme="minorHAnsi" w:eastAsiaTheme="minorEastAsia" w:hAnsiTheme="minorHAnsi" w:cstheme="minorBidi"/>
            <w:noProof/>
            <w:sz w:val="22"/>
            <w:szCs w:val="22"/>
          </w:rPr>
          <w:tab/>
        </w:r>
        <w:r w:rsidR="00CE0E02" w:rsidRPr="00C82044">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_Toc165838207 \h </w:instrText>
        </w:r>
        <w:r w:rsidR="00CE0E02">
          <w:rPr>
            <w:noProof/>
            <w:webHidden/>
          </w:rPr>
        </w:r>
        <w:r w:rsidR="00CE0E02">
          <w:rPr>
            <w:noProof/>
            <w:webHidden/>
          </w:rPr>
          <w:fldChar w:fldCharType="separate"/>
        </w:r>
        <w:r w:rsidR="003352C5">
          <w:rPr>
            <w:noProof/>
            <w:webHidden/>
          </w:rPr>
          <w:t>293</w:t>
        </w:r>
        <w:r w:rsidR="00CE0E02">
          <w:rPr>
            <w:noProof/>
            <w:webHidden/>
          </w:rPr>
          <w:fldChar w:fldCharType="end"/>
        </w:r>
      </w:hyperlink>
    </w:p>
    <w:p w14:paraId="4372FFCF" w14:textId="5B7F90CB" w:rsidR="00CE0E02" w:rsidRDefault="00C16CC4">
      <w:pPr>
        <w:pStyle w:val="TOC1"/>
        <w:rPr>
          <w:rFonts w:asciiTheme="minorHAnsi" w:eastAsiaTheme="minorEastAsia" w:hAnsiTheme="minorHAnsi" w:cstheme="minorBidi"/>
          <w:b w:val="0"/>
          <w:caps w:val="0"/>
          <w:noProof/>
          <w:sz w:val="22"/>
          <w:szCs w:val="22"/>
        </w:rPr>
      </w:pPr>
      <w:hyperlink w:anchor="_Toc165838208" w:history="1">
        <w:r w:rsidR="00CE0E02" w:rsidRPr="00C82044">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_Toc165838208 \h </w:instrText>
        </w:r>
        <w:r w:rsidR="00CE0E02">
          <w:rPr>
            <w:noProof/>
            <w:webHidden/>
          </w:rPr>
        </w:r>
        <w:r w:rsidR="00CE0E02">
          <w:rPr>
            <w:noProof/>
            <w:webHidden/>
          </w:rPr>
          <w:fldChar w:fldCharType="separate"/>
        </w:r>
        <w:r w:rsidR="003352C5">
          <w:rPr>
            <w:noProof/>
            <w:webHidden/>
          </w:rPr>
          <w:t>295</w:t>
        </w:r>
        <w:r w:rsidR="00CE0E02">
          <w:rPr>
            <w:noProof/>
            <w:webHidden/>
          </w:rPr>
          <w:fldChar w:fldCharType="end"/>
        </w:r>
      </w:hyperlink>
    </w:p>
    <w:p w14:paraId="2DCC87A9" w14:textId="59D69592" w:rsidR="00CE0E02" w:rsidRDefault="00C16CC4">
      <w:pPr>
        <w:pStyle w:val="TOC2"/>
        <w:rPr>
          <w:rFonts w:asciiTheme="minorHAnsi" w:eastAsiaTheme="minorEastAsia" w:hAnsiTheme="minorHAnsi" w:cstheme="minorBidi"/>
          <w:noProof/>
          <w:sz w:val="22"/>
          <w:szCs w:val="22"/>
        </w:rPr>
      </w:pPr>
      <w:hyperlink w:anchor="_Toc165838209" w:history="1">
        <w:r w:rsidR="00CE0E02" w:rsidRPr="00C82044">
          <w:rPr>
            <w:rStyle w:val="Hyperlink"/>
            <w:noProof/>
          </w:rPr>
          <w:t>3.1</w:t>
        </w:r>
        <w:r w:rsidR="00CE0E02">
          <w:rPr>
            <w:rFonts w:asciiTheme="minorHAnsi" w:eastAsiaTheme="minorEastAsia" w:hAnsiTheme="minorHAnsi" w:cstheme="minorBidi"/>
            <w:noProof/>
            <w:sz w:val="22"/>
            <w:szCs w:val="22"/>
          </w:rPr>
          <w:tab/>
        </w:r>
        <w:r w:rsidR="00CE0E02" w:rsidRPr="00C82044">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_Toc165838209 \h </w:instrText>
        </w:r>
        <w:r w:rsidR="00CE0E02">
          <w:rPr>
            <w:noProof/>
            <w:webHidden/>
          </w:rPr>
        </w:r>
        <w:r w:rsidR="00CE0E02">
          <w:rPr>
            <w:noProof/>
            <w:webHidden/>
          </w:rPr>
          <w:fldChar w:fldCharType="separate"/>
        </w:r>
        <w:r w:rsidR="003352C5">
          <w:rPr>
            <w:noProof/>
            <w:webHidden/>
          </w:rPr>
          <w:t>295</w:t>
        </w:r>
        <w:r w:rsidR="00CE0E02">
          <w:rPr>
            <w:noProof/>
            <w:webHidden/>
          </w:rPr>
          <w:fldChar w:fldCharType="end"/>
        </w:r>
      </w:hyperlink>
    </w:p>
    <w:p w14:paraId="1A7D219C" w14:textId="3EB8FA5A" w:rsidR="00CE0E02" w:rsidRDefault="00C16CC4">
      <w:pPr>
        <w:pStyle w:val="TOC2"/>
        <w:rPr>
          <w:rFonts w:asciiTheme="minorHAnsi" w:eastAsiaTheme="minorEastAsia" w:hAnsiTheme="minorHAnsi" w:cstheme="minorBidi"/>
          <w:noProof/>
          <w:sz w:val="22"/>
          <w:szCs w:val="22"/>
        </w:rPr>
      </w:pPr>
      <w:hyperlink w:anchor="_Toc165838210" w:history="1">
        <w:r w:rsidR="00CE0E02" w:rsidRPr="00C82044">
          <w:rPr>
            <w:rStyle w:val="Hyperlink"/>
            <w:noProof/>
          </w:rPr>
          <w:t>3.2.</w:t>
        </w:r>
        <w:r w:rsidR="00CE0E02">
          <w:rPr>
            <w:rFonts w:asciiTheme="minorHAnsi" w:eastAsiaTheme="minorEastAsia" w:hAnsiTheme="minorHAnsi" w:cstheme="minorBidi"/>
            <w:noProof/>
            <w:sz w:val="22"/>
            <w:szCs w:val="22"/>
          </w:rPr>
          <w:tab/>
        </w:r>
        <w:r w:rsidR="00CE0E02" w:rsidRPr="00C82044">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_Toc165838210 \h </w:instrText>
        </w:r>
        <w:r w:rsidR="00CE0E02">
          <w:rPr>
            <w:noProof/>
            <w:webHidden/>
          </w:rPr>
        </w:r>
        <w:r w:rsidR="00CE0E02">
          <w:rPr>
            <w:noProof/>
            <w:webHidden/>
          </w:rPr>
          <w:fldChar w:fldCharType="separate"/>
        </w:r>
        <w:r w:rsidR="003352C5">
          <w:rPr>
            <w:noProof/>
            <w:webHidden/>
          </w:rPr>
          <w:t>295</w:t>
        </w:r>
        <w:r w:rsidR="00CE0E02">
          <w:rPr>
            <w:noProof/>
            <w:webHidden/>
          </w:rPr>
          <w:fldChar w:fldCharType="end"/>
        </w:r>
      </w:hyperlink>
    </w:p>
    <w:p w14:paraId="54E8BFAB" w14:textId="038AD2F1" w:rsidR="00FA354D" w:rsidRDefault="00FA354D" w:rsidP="00FA354D">
      <w:pPr>
        <w:sectPr w:rsidR="00FA354D" w:rsidSect="00AD2E8F">
          <w:headerReference w:type="first" r:id="rId18"/>
          <w:footerReference w:type="first" r:id="rId19"/>
          <w:type w:val="oddPage"/>
          <w:pgSz w:w="11906" w:h="16838" w:code="9"/>
          <w:pgMar w:top="2835" w:right="2098" w:bottom="2466" w:left="2098" w:header="1814" w:footer="1814" w:gutter="0"/>
          <w:cols w:space="708"/>
          <w:titlePg/>
          <w:docGrid w:linePitch="360"/>
        </w:sectPr>
      </w:pPr>
      <w:r>
        <w:fldChar w:fldCharType="end"/>
      </w:r>
    </w:p>
    <w:p w14:paraId="000DF17F" w14:textId="744724E1" w:rsidR="00FA354D" w:rsidRPr="00AC00B0" w:rsidRDefault="00FA354D" w:rsidP="00FA354D">
      <w:pPr>
        <w:pStyle w:val="Heading1-IA"/>
      </w:pPr>
      <w:bookmarkStart w:id="7" w:name="_Toc165750479"/>
      <w:bookmarkStart w:id="8" w:name="_Toc165751282"/>
      <w:bookmarkStart w:id="9" w:name="_Toc165837983"/>
      <w:bookmarkStart w:id="10" w:name="_Toc166226414"/>
      <w:r w:rsidRPr="00AC00B0">
        <w:lastRenderedPageBreak/>
        <w:t>Infrastructure</w:t>
      </w:r>
      <w:r>
        <w:t xml:space="preserve"> </w:t>
      </w:r>
      <w:r w:rsidRPr="00AC00B0">
        <w:t>Australia</w:t>
      </w:r>
      <w:bookmarkEnd w:id="7"/>
      <w:bookmarkEnd w:id="8"/>
      <w:bookmarkEnd w:id="9"/>
      <w:bookmarkEnd w:id="10"/>
    </w:p>
    <w:p w14:paraId="31F6379B" w14:textId="62A153A1" w:rsidR="00FA354D" w:rsidRPr="002C4D41" w:rsidRDefault="00FA354D" w:rsidP="00FA354D">
      <w:pPr>
        <w:pStyle w:val="Heading2-IA"/>
        <w:ind w:left="567" w:hanging="567"/>
      </w:pPr>
      <w:bookmarkStart w:id="11" w:name="_Toc165838202"/>
      <w:r w:rsidRPr="002C4D41">
        <w:t xml:space="preserve">Section 1: Entity overview and </w:t>
      </w:r>
      <w:r>
        <w:t>reso</w:t>
      </w:r>
      <w:r w:rsidRPr="002C4D41">
        <w:t>urces</w:t>
      </w:r>
      <w:bookmarkEnd w:id="11"/>
    </w:p>
    <w:p w14:paraId="4DBFFE11" w14:textId="25BA7F0D" w:rsidR="00FA354D" w:rsidRDefault="00FA354D" w:rsidP="00FA354D">
      <w:pPr>
        <w:pStyle w:val="Heading3-IA"/>
      </w:pPr>
      <w:bookmarkStart w:id="12" w:name="_Toc165838203"/>
      <w:r>
        <w:t>1.1</w:t>
      </w:r>
      <w:r>
        <w:tab/>
        <w:t>Strategic direction statement</w:t>
      </w:r>
      <w:bookmarkEnd w:id="12"/>
    </w:p>
    <w:p w14:paraId="5982A199" w14:textId="77777777" w:rsidR="00FA354D" w:rsidRPr="004C7942" w:rsidRDefault="00FA354D" w:rsidP="00FA354D">
      <w:pPr>
        <w:pStyle w:val="Exampletext"/>
        <w:spacing w:line="240" w:lineRule="auto"/>
        <w:rPr>
          <w:i w:val="0"/>
          <w:color w:val="auto"/>
          <w:sz w:val="20"/>
        </w:rPr>
      </w:pPr>
      <w:r w:rsidRPr="004C7942">
        <w:rPr>
          <w:i w:val="0"/>
          <w:color w:val="auto"/>
          <w:sz w:val="20"/>
        </w:rPr>
        <w:t xml:space="preserve">Infrastructure Australia (IA) is a Corporate Commonwealth Entity (CCE) established under the </w:t>
      </w:r>
      <w:r w:rsidRPr="004C7942">
        <w:rPr>
          <w:color w:val="auto"/>
          <w:sz w:val="20"/>
        </w:rPr>
        <w:t>Infrastructure Australia Act 2008</w:t>
      </w:r>
      <w:r w:rsidRPr="004C7942">
        <w:rPr>
          <w:i w:val="0"/>
          <w:color w:val="auto"/>
          <w:sz w:val="20"/>
        </w:rPr>
        <w:t>. IA's primary role is to be the Commonwealth Government’s independent adviser on nationally significant infrastructure investment planning and project prioritisation.</w:t>
      </w:r>
    </w:p>
    <w:p w14:paraId="037E591B" w14:textId="0E0C59F0" w:rsidR="00FA354D" w:rsidRPr="004C7942" w:rsidRDefault="00FA354D" w:rsidP="00FA354D">
      <w:pPr>
        <w:pStyle w:val="BodyText"/>
        <w:spacing w:before="240" w:after="240"/>
        <w:jc w:val="both"/>
        <w:rPr>
          <w:i/>
          <w:iCs/>
        </w:rPr>
      </w:pPr>
      <w:r w:rsidRPr="004C7942">
        <w:t xml:space="preserve">Following the </w:t>
      </w:r>
      <w:hyperlink r:id="rId20" w:tgtFrame="_blank" w:history="1">
        <w:r w:rsidRPr="004C7942">
          <w:rPr>
            <w:rStyle w:val="Hyperlink"/>
            <w:u w:val="none"/>
          </w:rPr>
          <w:t>Independent Review of Infrastructure Australia</w:t>
        </w:r>
      </w:hyperlink>
      <w:r w:rsidRPr="004C7942">
        <w:rPr>
          <w:rStyle w:val="Hyperlink"/>
          <w:u w:val="none"/>
        </w:rPr>
        <w:t xml:space="preserve"> (the Review)</w:t>
      </w:r>
      <w:r w:rsidRPr="004C7942">
        <w:t xml:space="preserve"> and </w:t>
      </w:r>
      <w:hyperlink r:id="rId21" w:history="1">
        <w:r w:rsidRPr="004C7942">
          <w:rPr>
            <w:rStyle w:val="Hyperlink"/>
            <w:u w:val="none"/>
          </w:rPr>
          <w:t>Government response</w:t>
        </w:r>
      </w:hyperlink>
      <w:r w:rsidRPr="004C7942">
        <w:t>, legislation</w:t>
      </w:r>
      <w:r w:rsidR="0025746A">
        <w:t xml:space="preserve"> </w:t>
      </w:r>
      <w:r w:rsidRPr="004C7942">
        <w:t xml:space="preserve">to amend the </w:t>
      </w:r>
      <w:r w:rsidRPr="0025746A">
        <w:rPr>
          <w:i/>
        </w:rPr>
        <w:t>Infrastructure Australia Act 200</w:t>
      </w:r>
      <w:r w:rsidR="000B51CC">
        <w:rPr>
          <w:i/>
        </w:rPr>
        <w:t xml:space="preserve">8 </w:t>
      </w:r>
      <w:r w:rsidR="000B51CC">
        <w:t>passed Parliament on 15</w:t>
      </w:r>
      <w:r w:rsidR="000B51CC" w:rsidRPr="000B51CC">
        <w:rPr>
          <w:vertAlign w:val="superscript"/>
        </w:rPr>
        <w:t>th</w:t>
      </w:r>
      <w:r w:rsidR="000B51CC">
        <w:t xml:space="preserve"> of December 2023,</w:t>
      </w:r>
      <w:r w:rsidRPr="004C7942">
        <w:t xml:space="preserve"> giving effect to the Government’s response to the Review. This included changing the Accountable Authority from a Board to a Commissioner model, revising our purpose and making several changes to our products and functions.</w:t>
      </w:r>
      <w:r w:rsidR="000B51CC">
        <w:t xml:space="preserve"> In October 2024, the Government appointed a Chief Commissioner and two Commissioners. </w:t>
      </w:r>
    </w:p>
    <w:p w14:paraId="212D1137" w14:textId="11FCD3B3" w:rsidR="00FA354D" w:rsidRPr="004C7942" w:rsidRDefault="00FA354D" w:rsidP="00FA354D">
      <w:pPr>
        <w:pStyle w:val="Exampletext"/>
        <w:spacing w:line="240" w:lineRule="auto"/>
        <w:rPr>
          <w:i w:val="0"/>
          <w:color w:val="auto"/>
          <w:sz w:val="20"/>
          <w:lang w:val="en-AU"/>
        </w:rPr>
      </w:pPr>
      <w:r w:rsidRPr="004C7942">
        <w:rPr>
          <w:i w:val="0"/>
          <w:color w:val="auto"/>
          <w:sz w:val="20"/>
        </w:rPr>
        <w:t>In 202</w:t>
      </w:r>
      <w:r w:rsidR="00993C07" w:rsidRPr="004C7942">
        <w:rPr>
          <w:i w:val="0"/>
          <w:color w:val="auto"/>
          <w:sz w:val="20"/>
          <w:lang w:val="en-US"/>
        </w:rPr>
        <w:t>5</w:t>
      </w:r>
      <w:r w:rsidR="00297670" w:rsidRPr="004C7942">
        <w:rPr>
          <w:i w:val="0"/>
          <w:color w:val="auto"/>
          <w:sz w:val="20"/>
          <w:lang w:val="en-US"/>
        </w:rPr>
        <w:t>–</w:t>
      </w:r>
      <w:r w:rsidRPr="004C7942">
        <w:rPr>
          <w:i w:val="0"/>
          <w:color w:val="auto"/>
          <w:sz w:val="20"/>
          <w:lang w:val="en-US"/>
        </w:rPr>
        <w:t>2</w:t>
      </w:r>
      <w:r w:rsidR="00993C07" w:rsidRPr="004C7942">
        <w:rPr>
          <w:i w:val="0"/>
          <w:color w:val="auto"/>
          <w:sz w:val="20"/>
          <w:lang w:val="en-US"/>
        </w:rPr>
        <w:t>6</w:t>
      </w:r>
      <w:r w:rsidRPr="004C7942">
        <w:rPr>
          <w:i w:val="0"/>
          <w:color w:val="auto"/>
          <w:sz w:val="20"/>
          <w:lang w:val="en-US"/>
        </w:rPr>
        <w:t xml:space="preserve"> </w:t>
      </w:r>
      <w:r w:rsidRPr="004C7942">
        <w:rPr>
          <w:i w:val="0"/>
          <w:color w:val="auto"/>
          <w:sz w:val="20"/>
        </w:rPr>
        <w:t>IA will</w:t>
      </w:r>
      <w:r w:rsidRPr="004C7942">
        <w:rPr>
          <w:i w:val="0"/>
          <w:color w:val="auto"/>
          <w:sz w:val="20"/>
          <w:lang w:val="en-AU"/>
        </w:rPr>
        <w:t>:</w:t>
      </w:r>
    </w:p>
    <w:p w14:paraId="74583C96" w14:textId="77777777" w:rsidR="004C7942" w:rsidRPr="00C4754B" w:rsidRDefault="004C7942" w:rsidP="00B43339">
      <w:pPr>
        <w:pStyle w:val="Exampletext"/>
        <w:numPr>
          <w:ilvl w:val="0"/>
          <w:numId w:val="58"/>
        </w:numPr>
        <w:spacing w:before="0" w:after="120" w:line="260" w:lineRule="exact"/>
        <w:ind w:left="284" w:hanging="284"/>
        <w:rPr>
          <w:i w:val="0"/>
          <w:color w:val="auto"/>
          <w:sz w:val="20"/>
          <w:lang w:val="en-AU"/>
        </w:rPr>
      </w:pPr>
      <w:r w:rsidRPr="00C4754B">
        <w:rPr>
          <w:i w:val="0"/>
          <w:color w:val="auto"/>
          <w:sz w:val="20"/>
          <w:lang w:val="en-AU"/>
        </w:rPr>
        <w:t>Continue to provide independent advice to the Australian Government on nationally significant infrastructure matters</w:t>
      </w:r>
    </w:p>
    <w:p w14:paraId="7819305D" w14:textId="77777777" w:rsidR="004C7942" w:rsidRPr="00C4754B" w:rsidRDefault="004C7942" w:rsidP="00B43339">
      <w:pPr>
        <w:pStyle w:val="Exampletext"/>
        <w:numPr>
          <w:ilvl w:val="0"/>
          <w:numId w:val="58"/>
        </w:numPr>
        <w:spacing w:before="0" w:after="120" w:line="260" w:lineRule="exact"/>
        <w:ind w:left="284" w:hanging="284"/>
        <w:rPr>
          <w:i w:val="0"/>
          <w:color w:val="auto"/>
          <w:sz w:val="20"/>
          <w:lang w:val="en-AU"/>
        </w:rPr>
      </w:pPr>
      <w:r w:rsidRPr="00C4754B">
        <w:rPr>
          <w:i w:val="0"/>
          <w:color w:val="auto"/>
          <w:sz w:val="20"/>
          <w:lang w:val="en-AU"/>
        </w:rPr>
        <w:t>Perform the necessary functions to meet legislative and Statement of Expectations’ requirements</w:t>
      </w:r>
    </w:p>
    <w:p w14:paraId="796152F2" w14:textId="77777777" w:rsidR="004C7942" w:rsidRPr="00C4754B" w:rsidRDefault="004C7942" w:rsidP="00B43339">
      <w:pPr>
        <w:pStyle w:val="Exampletext"/>
        <w:numPr>
          <w:ilvl w:val="0"/>
          <w:numId w:val="58"/>
        </w:numPr>
        <w:spacing w:before="0" w:after="120" w:line="260" w:lineRule="exact"/>
        <w:ind w:left="284" w:hanging="284"/>
        <w:rPr>
          <w:i w:val="0"/>
          <w:color w:val="auto"/>
          <w:sz w:val="20"/>
          <w:lang w:val="en-AU"/>
        </w:rPr>
      </w:pPr>
      <w:r w:rsidRPr="00C4754B">
        <w:rPr>
          <w:i w:val="0"/>
          <w:color w:val="auto"/>
          <w:sz w:val="20"/>
          <w:lang w:val="en-AU"/>
        </w:rPr>
        <w:t>Continue to develop revised or new products in line with the revised legislation and Governments response to the Review</w:t>
      </w:r>
    </w:p>
    <w:p w14:paraId="25B81529" w14:textId="77777777" w:rsidR="004C7942" w:rsidRPr="00C4754B" w:rsidRDefault="004C7942" w:rsidP="00B43339">
      <w:pPr>
        <w:pStyle w:val="Exampletext"/>
        <w:numPr>
          <w:ilvl w:val="0"/>
          <w:numId w:val="58"/>
        </w:numPr>
        <w:spacing w:before="0" w:after="120" w:line="260" w:lineRule="exact"/>
        <w:ind w:left="284" w:hanging="284"/>
        <w:rPr>
          <w:i w:val="0"/>
          <w:color w:val="auto"/>
          <w:sz w:val="20"/>
          <w:lang w:val="en-AU"/>
        </w:rPr>
      </w:pPr>
      <w:r w:rsidRPr="00C4754B">
        <w:rPr>
          <w:i w:val="0"/>
          <w:color w:val="auto"/>
          <w:sz w:val="20"/>
          <w:lang w:val="en-AU"/>
        </w:rPr>
        <w:t>Deliver products and advice, including an Annual Budget Statement, Annual Performance Statement and an Infrastructure Priority List that have regard to the Government’s Infrastructure Policy Statement and other stated priorities.</w:t>
      </w:r>
    </w:p>
    <w:p w14:paraId="094F8D0C" w14:textId="7E909CFB" w:rsidR="00FA354D" w:rsidRPr="00B219F6" w:rsidRDefault="00FA354D" w:rsidP="004C7942">
      <w:pPr>
        <w:pStyle w:val="Exampletext"/>
        <w:spacing w:before="120" w:after="120" w:line="240" w:lineRule="auto"/>
        <w:ind w:left="357"/>
        <w:rPr>
          <w:i w:val="0"/>
          <w:color w:val="auto"/>
          <w:sz w:val="20"/>
          <w:highlight w:val="yellow"/>
          <w:lang w:val="en-AU"/>
        </w:rPr>
        <w:sectPr w:rsidR="00FA354D" w:rsidRPr="00B219F6" w:rsidSect="00AD2E8F">
          <w:headerReference w:type="first" r:id="rId22"/>
          <w:footerReference w:type="first" r:id="rId23"/>
          <w:type w:val="oddPage"/>
          <w:pgSz w:w="11906" w:h="16838" w:code="9"/>
          <w:pgMar w:top="2835" w:right="2098" w:bottom="2466" w:left="2098" w:header="1814" w:footer="1814" w:gutter="0"/>
          <w:cols w:space="708"/>
          <w:titlePg/>
          <w:docGrid w:linePitch="360"/>
        </w:sectPr>
      </w:pPr>
    </w:p>
    <w:p w14:paraId="4BE2AC8C" w14:textId="0AEB58B7" w:rsidR="00FA354D" w:rsidRPr="00725311" w:rsidRDefault="00FA354D" w:rsidP="00FA354D">
      <w:pPr>
        <w:pStyle w:val="Heading3-IA"/>
        <w:rPr>
          <w:sz w:val="20"/>
        </w:rPr>
      </w:pPr>
      <w:bookmarkStart w:id="13" w:name="_Toc165838204"/>
      <w:r w:rsidRPr="00907E51">
        <w:lastRenderedPageBreak/>
        <w:t>1.2</w:t>
      </w:r>
      <w:r w:rsidRPr="00907E51">
        <w:tab/>
        <w:t>Entity resource statement</w:t>
      </w:r>
      <w:bookmarkEnd w:id="13"/>
    </w:p>
    <w:p w14:paraId="5202509F" w14:textId="77777777" w:rsidR="00FA354D" w:rsidRPr="004C7942" w:rsidRDefault="00FA354D" w:rsidP="00FA354D">
      <w:pPr>
        <w:rPr>
          <w:sz w:val="20"/>
        </w:rPr>
      </w:pPr>
      <w:r w:rsidRPr="004C7942">
        <w:rPr>
          <w:sz w:val="20"/>
        </w:rPr>
        <w:t>Table 1.1 shows the total resourcing from all sources available to Infrastructure Australia for its operations and to deliver programs and services on behalf of the Government.</w:t>
      </w:r>
    </w:p>
    <w:p w14:paraId="3DDBD4D4" w14:textId="28F128AC" w:rsidR="00FA354D" w:rsidRPr="004C7942" w:rsidRDefault="00FA354D" w:rsidP="00FA354D">
      <w:pPr>
        <w:rPr>
          <w:sz w:val="20"/>
        </w:rPr>
      </w:pPr>
      <w:r w:rsidRPr="004C7942">
        <w:rPr>
          <w:sz w:val="20"/>
        </w:rPr>
        <w:t xml:space="preserve">The table summarises how resources will be applied by outcome (government strategic policy objectives) and </w:t>
      </w:r>
      <w:r w:rsidR="003352C5">
        <w:rPr>
          <w:sz w:val="20"/>
        </w:rPr>
        <w:t>Departmental</w:t>
      </w:r>
      <w:r w:rsidRPr="004C7942">
        <w:rPr>
          <w:sz w:val="20"/>
        </w:rPr>
        <w:t xml:space="preserve"> (for </w:t>
      </w:r>
      <w:r w:rsidR="000B51CC">
        <w:rPr>
          <w:sz w:val="20"/>
        </w:rPr>
        <w:t xml:space="preserve">IA’s </w:t>
      </w:r>
      <w:r w:rsidRPr="004C7942">
        <w:rPr>
          <w:sz w:val="20"/>
        </w:rPr>
        <w:t>operations) classification.</w:t>
      </w:r>
    </w:p>
    <w:p w14:paraId="3580A687" w14:textId="77777777" w:rsidR="00FA354D" w:rsidRPr="004C7942" w:rsidRDefault="00FA354D" w:rsidP="00FA354D">
      <w:pPr>
        <w:rPr>
          <w:sz w:val="20"/>
        </w:rPr>
      </w:pPr>
      <w:r w:rsidRPr="004C7942">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238156E5" w14:textId="65136061" w:rsidR="00FA354D" w:rsidRPr="004C7942" w:rsidRDefault="00FA354D" w:rsidP="00FA354D">
      <w:pPr>
        <w:pStyle w:val="TableHeading"/>
      </w:pPr>
      <w:r w:rsidRPr="004C7942">
        <w:t>Table 1.1: Infrastructure Australia resource statement – Budget estimates for 202</w:t>
      </w:r>
      <w:r w:rsidR="00B219F6" w:rsidRPr="004C7942">
        <w:t>5</w:t>
      </w:r>
      <w:r w:rsidRPr="004C7942">
        <w:t>–2</w:t>
      </w:r>
      <w:r w:rsidR="00B219F6" w:rsidRPr="004C7942">
        <w:t>6</w:t>
      </w:r>
      <w:r w:rsidRPr="004C7942">
        <w:t xml:space="preserve"> as at Budget Ma</w:t>
      </w:r>
      <w:r w:rsidR="00B219F6" w:rsidRPr="004C7942">
        <w:t>rch</w:t>
      </w:r>
      <w:r w:rsidRPr="004C7942">
        <w:t xml:space="preserve"> 202</w:t>
      </w:r>
      <w:r w:rsidR="00B219F6" w:rsidRPr="004C7942">
        <w:t>5</w:t>
      </w:r>
    </w:p>
    <w:tbl>
      <w:tblPr>
        <w:tblW w:w="5000" w:type="pct"/>
        <w:tblLook w:val="04A0" w:firstRow="1" w:lastRow="0" w:firstColumn="1" w:lastColumn="0" w:noHBand="0" w:noVBand="1"/>
      </w:tblPr>
      <w:tblGrid>
        <w:gridCol w:w="5100"/>
        <w:gridCol w:w="1412"/>
        <w:gridCol w:w="1198"/>
      </w:tblGrid>
      <w:tr w:rsidR="00FA354D" w:rsidRPr="004C7942" w14:paraId="1874B2B4" w14:textId="77777777" w:rsidTr="00FA354D">
        <w:trPr>
          <w:trHeight w:val="204"/>
        </w:trPr>
        <w:tc>
          <w:tcPr>
            <w:tcW w:w="3307" w:type="pct"/>
            <w:tcBorders>
              <w:top w:val="single" w:sz="4" w:space="0" w:color="auto"/>
              <w:left w:val="nil"/>
              <w:bottom w:val="nil"/>
              <w:right w:val="nil"/>
            </w:tcBorders>
            <w:shd w:val="clear" w:color="000000" w:fill="FFFFFF"/>
            <w:noWrap/>
            <w:vAlign w:val="bottom"/>
            <w:hideMark/>
          </w:tcPr>
          <w:p w14:paraId="33EF5E77" w14:textId="77777777" w:rsidR="00FA354D" w:rsidRPr="004C7942" w:rsidRDefault="00FA354D" w:rsidP="00FA354D">
            <w:pPr>
              <w:spacing w:before="0" w:after="0" w:line="240" w:lineRule="auto"/>
              <w:rPr>
                <w:rFonts w:ascii="Arial" w:hAnsi="Arial" w:cs="Arial"/>
                <w:color w:val="000000"/>
                <w:sz w:val="16"/>
                <w:szCs w:val="16"/>
              </w:rPr>
            </w:pPr>
            <w:r w:rsidRPr="004C7942">
              <w:rPr>
                <w:rFonts w:ascii="Arial" w:hAnsi="Arial" w:cs="Arial"/>
                <w:color w:val="000000"/>
                <w:sz w:val="16"/>
                <w:szCs w:val="16"/>
              </w:rPr>
              <w:t> </w:t>
            </w:r>
          </w:p>
        </w:tc>
        <w:tc>
          <w:tcPr>
            <w:tcW w:w="916" w:type="pct"/>
            <w:tcBorders>
              <w:top w:val="single" w:sz="4" w:space="0" w:color="auto"/>
              <w:left w:val="nil"/>
              <w:bottom w:val="single" w:sz="4" w:space="0" w:color="auto"/>
              <w:right w:val="nil"/>
            </w:tcBorders>
            <w:shd w:val="clear" w:color="000000" w:fill="FFFFFF"/>
            <w:hideMark/>
          </w:tcPr>
          <w:p w14:paraId="0107DBD1" w14:textId="0F039D88" w:rsidR="00FA354D" w:rsidRPr="004C7942" w:rsidRDefault="00FA354D" w:rsidP="00FA354D">
            <w:pPr>
              <w:spacing w:before="0" w:after="0" w:line="240" w:lineRule="auto"/>
              <w:jc w:val="right"/>
              <w:rPr>
                <w:rFonts w:ascii="Arial" w:hAnsi="Arial" w:cs="Arial"/>
                <w:color w:val="000000"/>
                <w:sz w:val="16"/>
                <w:szCs w:val="16"/>
              </w:rPr>
            </w:pPr>
            <w:r w:rsidRPr="004C7942">
              <w:rPr>
                <w:rFonts w:ascii="Arial" w:hAnsi="Arial" w:cs="Arial"/>
                <w:color w:val="000000"/>
                <w:sz w:val="16"/>
                <w:szCs w:val="16"/>
              </w:rPr>
              <w:t>202</w:t>
            </w:r>
            <w:r w:rsidR="00B219F6" w:rsidRPr="004C7942">
              <w:rPr>
                <w:rFonts w:ascii="Arial" w:hAnsi="Arial" w:cs="Arial"/>
                <w:color w:val="000000"/>
                <w:sz w:val="16"/>
                <w:szCs w:val="16"/>
              </w:rPr>
              <w:t>4</w:t>
            </w:r>
            <w:r w:rsidRPr="004C7942">
              <w:rPr>
                <w:rFonts w:ascii="Arial" w:hAnsi="Arial" w:cs="Arial"/>
                <w:color w:val="000000"/>
                <w:sz w:val="16"/>
                <w:szCs w:val="16"/>
              </w:rPr>
              <w:t>-2</w:t>
            </w:r>
            <w:r w:rsidR="00B219F6" w:rsidRPr="004C7942">
              <w:rPr>
                <w:rFonts w:ascii="Arial" w:hAnsi="Arial" w:cs="Arial"/>
                <w:color w:val="000000"/>
                <w:sz w:val="16"/>
                <w:szCs w:val="16"/>
              </w:rPr>
              <w:t>5</w:t>
            </w:r>
            <w:r w:rsidRPr="004C7942">
              <w:rPr>
                <w:rFonts w:ascii="Arial" w:hAnsi="Arial" w:cs="Arial"/>
                <w:color w:val="000000"/>
                <w:sz w:val="16"/>
                <w:szCs w:val="16"/>
              </w:rPr>
              <w:t xml:space="preserve"> Estimated </w:t>
            </w:r>
          </w:p>
          <w:p w14:paraId="25889993" w14:textId="77777777" w:rsidR="00FA354D" w:rsidRPr="004C7942" w:rsidRDefault="00FA354D" w:rsidP="00FA354D">
            <w:pPr>
              <w:spacing w:before="0" w:after="0" w:line="240" w:lineRule="auto"/>
              <w:jc w:val="right"/>
              <w:rPr>
                <w:rFonts w:ascii="Arial" w:hAnsi="Arial" w:cs="Arial"/>
                <w:color w:val="000000"/>
                <w:sz w:val="16"/>
                <w:szCs w:val="16"/>
              </w:rPr>
            </w:pPr>
            <w:r w:rsidRPr="004C7942">
              <w:rPr>
                <w:rFonts w:ascii="Arial" w:hAnsi="Arial" w:cs="Arial"/>
                <w:color w:val="000000"/>
                <w:sz w:val="16"/>
                <w:szCs w:val="16"/>
              </w:rPr>
              <w:t>actual</w:t>
            </w:r>
            <w:r w:rsidRPr="004C7942">
              <w:rPr>
                <w:rFonts w:ascii="Arial" w:hAnsi="Arial" w:cs="Arial"/>
                <w:color w:val="000000"/>
                <w:sz w:val="16"/>
                <w:szCs w:val="16"/>
              </w:rPr>
              <w:br/>
              <w:t>$'000</w:t>
            </w:r>
          </w:p>
        </w:tc>
        <w:tc>
          <w:tcPr>
            <w:tcW w:w="777" w:type="pct"/>
            <w:tcBorders>
              <w:top w:val="single" w:sz="4" w:space="0" w:color="auto"/>
              <w:left w:val="nil"/>
              <w:bottom w:val="single" w:sz="4" w:space="0" w:color="auto"/>
              <w:right w:val="nil"/>
            </w:tcBorders>
            <w:shd w:val="clear" w:color="000000" w:fill="E6E6E6"/>
            <w:hideMark/>
          </w:tcPr>
          <w:p w14:paraId="04785C2C" w14:textId="40937DF1" w:rsidR="00FA354D" w:rsidRPr="004C7942" w:rsidRDefault="00FA354D" w:rsidP="00FA354D">
            <w:pPr>
              <w:spacing w:before="0" w:after="0" w:line="240" w:lineRule="auto"/>
              <w:jc w:val="right"/>
              <w:rPr>
                <w:rFonts w:ascii="Arial" w:hAnsi="Arial" w:cs="Arial"/>
                <w:color w:val="000000"/>
                <w:sz w:val="16"/>
                <w:szCs w:val="16"/>
              </w:rPr>
            </w:pPr>
            <w:r w:rsidRPr="004C7942">
              <w:rPr>
                <w:rFonts w:ascii="Arial" w:hAnsi="Arial" w:cs="Arial"/>
                <w:color w:val="000000"/>
                <w:sz w:val="16"/>
                <w:szCs w:val="16"/>
              </w:rPr>
              <w:t>202</w:t>
            </w:r>
            <w:r w:rsidR="00B219F6" w:rsidRPr="004C7942">
              <w:rPr>
                <w:rFonts w:ascii="Arial" w:hAnsi="Arial" w:cs="Arial"/>
                <w:color w:val="000000"/>
                <w:sz w:val="16"/>
                <w:szCs w:val="16"/>
              </w:rPr>
              <w:t>5</w:t>
            </w:r>
            <w:r w:rsidRPr="004C7942">
              <w:rPr>
                <w:rFonts w:ascii="Arial" w:hAnsi="Arial" w:cs="Arial"/>
                <w:color w:val="000000"/>
                <w:sz w:val="16"/>
                <w:szCs w:val="16"/>
              </w:rPr>
              <w:t>-2</w:t>
            </w:r>
            <w:r w:rsidR="00B219F6" w:rsidRPr="004C7942">
              <w:rPr>
                <w:rFonts w:ascii="Arial" w:hAnsi="Arial" w:cs="Arial"/>
                <w:color w:val="000000"/>
                <w:sz w:val="16"/>
                <w:szCs w:val="16"/>
              </w:rPr>
              <w:t>6</w:t>
            </w:r>
            <w:r w:rsidRPr="004C7942">
              <w:rPr>
                <w:rFonts w:ascii="Arial" w:hAnsi="Arial" w:cs="Arial"/>
                <w:color w:val="000000"/>
                <w:sz w:val="16"/>
                <w:szCs w:val="16"/>
              </w:rPr>
              <w:t xml:space="preserve"> Estimate</w:t>
            </w:r>
            <w:r w:rsidRPr="004C7942">
              <w:rPr>
                <w:rFonts w:ascii="Arial" w:hAnsi="Arial" w:cs="Arial"/>
                <w:color w:val="000000"/>
                <w:sz w:val="16"/>
                <w:szCs w:val="16"/>
              </w:rPr>
              <w:br/>
            </w:r>
            <w:r w:rsidRPr="004C7942">
              <w:rPr>
                <w:rFonts w:ascii="Arial" w:hAnsi="Arial" w:cs="Arial"/>
                <w:color w:val="000000"/>
                <w:sz w:val="16"/>
                <w:szCs w:val="16"/>
              </w:rPr>
              <w:br/>
              <w:t>$'000</w:t>
            </w:r>
          </w:p>
        </w:tc>
      </w:tr>
      <w:tr w:rsidR="004C7942" w:rsidRPr="004C7942" w14:paraId="2247B42B" w14:textId="77777777" w:rsidTr="00FA354D">
        <w:trPr>
          <w:trHeight w:val="204"/>
        </w:trPr>
        <w:tc>
          <w:tcPr>
            <w:tcW w:w="3307" w:type="pct"/>
            <w:tcBorders>
              <w:top w:val="nil"/>
              <w:left w:val="nil"/>
              <w:bottom w:val="nil"/>
              <w:right w:val="nil"/>
            </w:tcBorders>
            <w:shd w:val="clear" w:color="000000" w:fill="FFFFFF"/>
            <w:noWrap/>
            <w:vAlign w:val="bottom"/>
            <w:hideMark/>
          </w:tcPr>
          <w:p w14:paraId="4FF873C0"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Opening balance/cash reserves at 1 July</w:t>
            </w:r>
          </w:p>
        </w:tc>
        <w:tc>
          <w:tcPr>
            <w:tcW w:w="916" w:type="pct"/>
            <w:tcBorders>
              <w:top w:val="nil"/>
              <w:left w:val="nil"/>
              <w:bottom w:val="single" w:sz="4" w:space="0" w:color="auto"/>
              <w:right w:val="nil"/>
            </w:tcBorders>
            <w:shd w:val="clear" w:color="000000" w:fill="FFFFFF"/>
            <w:noWrap/>
            <w:vAlign w:val="bottom"/>
            <w:hideMark/>
          </w:tcPr>
          <w:p w14:paraId="097D7278" w14:textId="62D0FA07" w:rsidR="004C7942" w:rsidRPr="004C7942" w:rsidRDefault="004C7942" w:rsidP="004C7942">
            <w:pPr>
              <w:spacing w:before="0" w:after="0" w:line="240" w:lineRule="auto"/>
              <w:jc w:val="right"/>
              <w:rPr>
                <w:rFonts w:ascii="Arial" w:hAnsi="Arial" w:cs="Arial"/>
                <w:b/>
                <w:color w:val="000000"/>
                <w:sz w:val="16"/>
                <w:szCs w:val="16"/>
              </w:rPr>
            </w:pPr>
            <w:r w:rsidRPr="002908B1">
              <w:rPr>
                <w:rFonts w:ascii="Arial" w:hAnsi="Arial" w:cs="Arial"/>
                <w:b/>
                <w:iCs/>
                <w:color w:val="000000" w:themeColor="text1"/>
                <w:sz w:val="16"/>
                <w:szCs w:val="16"/>
              </w:rPr>
              <w:t xml:space="preserve">4,482 </w:t>
            </w:r>
          </w:p>
        </w:tc>
        <w:tc>
          <w:tcPr>
            <w:tcW w:w="777" w:type="pct"/>
            <w:tcBorders>
              <w:top w:val="nil"/>
              <w:left w:val="nil"/>
              <w:bottom w:val="single" w:sz="4" w:space="0" w:color="auto"/>
              <w:right w:val="nil"/>
            </w:tcBorders>
            <w:shd w:val="clear" w:color="000000" w:fill="E6E6E6"/>
            <w:noWrap/>
            <w:vAlign w:val="bottom"/>
            <w:hideMark/>
          </w:tcPr>
          <w:p w14:paraId="2C9D1BFE" w14:textId="691CA93F" w:rsidR="004C7942" w:rsidRPr="004C7942" w:rsidRDefault="004C7942" w:rsidP="004C7942">
            <w:pPr>
              <w:spacing w:before="0" w:after="0" w:line="240" w:lineRule="auto"/>
              <w:jc w:val="right"/>
              <w:rPr>
                <w:rFonts w:ascii="Arial" w:hAnsi="Arial" w:cs="Arial"/>
                <w:b/>
                <w:color w:val="000000"/>
                <w:sz w:val="16"/>
                <w:szCs w:val="16"/>
              </w:rPr>
            </w:pPr>
            <w:r w:rsidRPr="002908B1">
              <w:rPr>
                <w:rFonts w:ascii="Arial" w:hAnsi="Arial" w:cs="Arial"/>
                <w:b/>
                <w:color w:val="000000" w:themeColor="text1"/>
                <w:sz w:val="16"/>
                <w:szCs w:val="16"/>
              </w:rPr>
              <w:t xml:space="preserve">4,997 </w:t>
            </w:r>
          </w:p>
        </w:tc>
      </w:tr>
      <w:tr w:rsidR="004C7942" w:rsidRPr="004C7942" w14:paraId="2D05942C" w14:textId="77777777" w:rsidTr="00FA354D">
        <w:trPr>
          <w:trHeight w:val="204"/>
        </w:trPr>
        <w:tc>
          <w:tcPr>
            <w:tcW w:w="3307" w:type="pct"/>
            <w:tcBorders>
              <w:top w:val="nil"/>
              <w:left w:val="nil"/>
              <w:bottom w:val="nil"/>
              <w:right w:val="nil"/>
            </w:tcBorders>
            <w:shd w:val="clear" w:color="000000" w:fill="FFFFFF"/>
            <w:vAlign w:val="bottom"/>
            <w:hideMark/>
          </w:tcPr>
          <w:p w14:paraId="33D7A7BE"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Funds from Government</w:t>
            </w:r>
          </w:p>
        </w:tc>
        <w:tc>
          <w:tcPr>
            <w:tcW w:w="916" w:type="pct"/>
            <w:tcBorders>
              <w:top w:val="nil"/>
              <w:left w:val="nil"/>
              <w:bottom w:val="nil"/>
              <w:right w:val="nil"/>
            </w:tcBorders>
            <w:shd w:val="clear" w:color="000000" w:fill="FFFFFF"/>
            <w:noWrap/>
            <w:vAlign w:val="bottom"/>
            <w:hideMark/>
          </w:tcPr>
          <w:p w14:paraId="734B00DB" w14:textId="0B95BDBE"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w:t>
            </w:r>
          </w:p>
        </w:tc>
        <w:tc>
          <w:tcPr>
            <w:tcW w:w="777" w:type="pct"/>
            <w:tcBorders>
              <w:top w:val="nil"/>
              <w:left w:val="nil"/>
              <w:bottom w:val="nil"/>
              <w:right w:val="nil"/>
            </w:tcBorders>
            <w:shd w:val="clear" w:color="000000" w:fill="E6E6E6"/>
            <w:noWrap/>
            <w:vAlign w:val="bottom"/>
            <w:hideMark/>
          </w:tcPr>
          <w:p w14:paraId="1F6CD3C9" w14:textId="0A9CCC10" w:rsidR="004C7942" w:rsidRPr="004C7942" w:rsidRDefault="004C7942" w:rsidP="004C7942">
            <w:pPr>
              <w:spacing w:before="0" w:after="0" w:line="240" w:lineRule="auto"/>
              <w:jc w:val="right"/>
              <w:rPr>
                <w:rFonts w:ascii="Arial" w:hAnsi="Arial" w:cs="Arial"/>
                <w:color w:val="000000"/>
                <w:sz w:val="16"/>
                <w:szCs w:val="16"/>
              </w:rPr>
            </w:pPr>
            <w:r w:rsidRPr="00A35586">
              <w:rPr>
                <w:rFonts w:ascii="Arial" w:hAnsi="Arial" w:cs="Arial"/>
                <w:color w:val="000000" w:themeColor="text1"/>
                <w:sz w:val="16"/>
                <w:szCs w:val="16"/>
              </w:rPr>
              <w:t> </w:t>
            </w:r>
          </w:p>
        </w:tc>
      </w:tr>
      <w:tr w:rsidR="004C7942" w:rsidRPr="004C7942" w14:paraId="24BA17BF" w14:textId="77777777" w:rsidTr="004C7942">
        <w:trPr>
          <w:trHeight w:val="204"/>
        </w:trPr>
        <w:tc>
          <w:tcPr>
            <w:tcW w:w="3307" w:type="pct"/>
            <w:tcBorders>
              <w:top w:val="nil"/>
              <w:left w:val="nil"/>
              <w:bottom w:val="nil"/>
              <w:right w:val="nil"/>
            </w:tcBorders>
            <w:shd w:val="clear" w:color="000000" w:fill="FFFFFF"/>
            <w:vAlign w:val="bottom"/>
            <w:hideMark/>
          </w:tcPr>
          <w:p w14:paraId="4A1220C5" w14:textId="77777777" w:rsidR="004C7942" w:rsidRPr="004C7942" w:rsidRDefault="004C7942" w:rsidP="004C7942">
            <w:pPr>
              <w:spacing w:before="0" w:after="0" w:line="240" w:lineRule="auto"/>
              <w:rPr>
                <w:rFonts w:ascii="Arial" w:hAnsi="Arial" w:cs="Arial"/>
                <w:color w:val="000000"/>
                <w:sz w:val="16"/>
                <w:szCs w:val="16"/>
              </w:rPr>
            </w:pPr>
            <w:r w:rsidRPr="004C7942">
              <w:rPr>
                <w:rFonts w:ascii="Arial" w:hAnsi="Arial" w:cs="Arial"/>
                <w:color w:val="000000"/>
                <w:sz w:val="16"/>
                <w:szCs w:val="16"/>
              </w:rPr>
              <w:t>Annual appropriations - ordinary annual services</w:t>
            </w:r>
            <w:r w:rsidRPr="004C7942">
              <w:rPr>
                <w:rFonts w:ascii="Arial" w:hAnsi="Arial" w:cs="Arial"/>
                <w:color w:val="000000"/>
                <w:sz w:val="16"/>
                <w:szCs w:val="16"/>
                <w:vertAlign w:val="superscript"/>
              </w:rPr>
              <w:t>(a)</w:t>
            </w:r>
          </w:p>
        </w:tc>
        <w:tc>
          <w:tcPr>
            <w:tcW w:w="916" w:type="pct"/>
            <w:tcBorders>
              <w:top w:val="nil"/>
              <w:left w:val="nil"/>
              <w:bottom w:val="nil"/>
              <w:right w:val="nil"/>
            </w:tcBorders>
            <w:shd w:val="clear" w:color="000000" w:fill="FFFFFF"/>
            <w:noWrap/>
            <w:vAlign w:val="center"/>
            <w:hideMark/>
          </w:tcPr>
          <w:p w14:paraId="347FF5AA" w14:textId="3C4D3178"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w:t>
            </w:r>
          </w:p>
        </w:tc>
        <w:tc>
          <w:tcPr>
            <w:tcW w:w="777" w:type="pct"/>
            <w:tcBorders>
              <w:top w:val="nil"/>
              <w:left w:val="nil"/>
              <w:bottom w:val="nil"/>
              <w:right w:val="nil"/>
            </w:tcBorders>
            <w:shd w:val="clear" w:color="000000" w:fill="E6E6E6"/>
            <w:noWrap/>
            <w:vAlign w:val="center"/>
            <w:hideMark/>
          </w:tcPr>
          <w:p w14:paraId="2C005B44" w14:textId="786F9026" w:rsidR="004C7942" w:rsidRPr="004C7942" w:rsidRDefault="004C7942" w:rsidP="004C7942">
            <w:pPr>
              <w:spacing w:before="0" w:after="0" w:line="240" w:lineRule="auto"/>
              <w:jc w:val="right"/>
              <w:rPr>
                <w:rFonts w:ascii="Arial" w:hAnsi="Arial" w:cs="Arial"/>
                <w:color w:val="000000"/>
                <w:sz w:val="16"/>
                <w:szCs w:val="16"/>
              </w:rPr>
            </w:pPr>
            <w:r w:rsidRPr="00A35586">
              <w:rPr>
                <w:rFonts w:ascii="Arial" w:hAnsi="Arial" w:cs="Arial"/>
                <w:color w:val="000000" w:themeColor="text1"/>
                <w:sz w:val="16"/>
                <w:szCs w:val="16"/>
              </w:rPr>
              <w:t> </w:t>
            </w:r>
          </w:p>
        </w:tc>
      </w:tr>
      <w:tr w:rsidR="004C7942" w:rsidRPr="004C7942" w14:paraId="5C55E552" w14:textId="77777777" w:rsidTr="004C7942">
        <w:trPr>
          <w:trHeight w:val="204"/>
        </w:trPr>
        <w:tc>
          <w:tcPr>
            <w:tcW w:w="3307" w:type="pct"/>
            <w:tcBorders>
              <w:top w:val="nil"/>
              <w:left w:val="nil"/>
              <w:bottom w:val="nil"/>
              <w:right w:val="nil"/>
            </w:tcBorders>
            <w:shd w:val="clear" w:color="000000" w:fill="FFFFFF"/>
            <w:vAlign w:val="bottom"/>
            <w:hideMark/>
          </w:tcPr>
          <w:p w14:paraId="122DBE46" w14:textId="77777777" w:rsidR="004C7942" w:rsidRPr="004C7942" w:rsidRDefault="004C7942" w:rsidP="004C7942">
            <w:pPr>
              <w:spacing w:before="0" w:after="0" w:line="240" w:lineRule="auto"/>
              <w:ind w:left="113"/>
              <w:rPr>
                <w:rFonts w:ascii="Arial" w:hAnsi="Arial" w:cs="Arial"/>
                <w:color w:val="000000"/>
                <w:sz w:val="16"/>
                <w:szCs w:val="16"/>
              </w:rPr>
            </w:pPr>
            <w:r w:rsidRPr="004C7942">
              <w:rPr>
                <w:rFonts w:ascii="Arial" w:hAnsi="Arial" w:cs="Arial"/>
                <w:color w:val="000000"/>
                <w:sz w:val="16"/>
                <w:szCs w:val="16"/>
              </w:rPr>
              <w:t>Outcome 1</w:t>
            </w:r>
          </w:p>
        </w:tc>
        <w:tc>
          <w:tcPr>
            <w:tcW w:w="916" w:type="pct"/>
            <w:tcBorders>
              <w:top w:val="nil"/>
              <w:left w:val="nil"/>
              <w:bottom w:val="nil"/>
              <w:right w:val="nil"/>
            </w:tcBorders>
            <w:shd w:val="clear" w:color="000000" w:fill="FFFFFF"/>
            <w:noWrap/>
            <w:vAlign w:val="center"/>
            <w:hideMark/>
          </w:tcPr>
          <w:p w14:paraId="7FE94CA2" w14:textId="111B1BDB"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xml:space="preserve">13,247 </w:t>
            </w:r>
          </w:p>
        </w:tc>
        <w:tc>
          <w:tcPr>
            <w:tcW w:w="777" w:type="pct"/>
            <w:tcBorders>
              <w:top w:val="nil"/>
              <w:left w:val="nil"/>
              <w:bottom w:val="nil"/>
              <w:right w:val="nil"/>
            </w:tcBorders>
            <w:shd w:val="clear" w:color="000000" w:fill="E6E6E6"/>
            <w:noWrap/>
            <w:vAlign w:val="center"/>
            <w:hideMark/>
          </w:tcPr>
          <w:p w14:paraId="342DCE73" w14:textId="567501EF" w:rsidR="004C7942" w:rsidRPr="004C7942" w:rsidRDefault="004C7942" w:rsidP="004C7942">
            <w:pPr>
              <w:spacing w:before="0" w:after="0" w:line="240" w:lineRule="auto"/>
              <w:jc w:val="right"/>
              <w:rPr>
                <w:rFonts w:ascii="Arial" w:hAnsi="Arial" w:cs="Arial"/>
                <w:color w:val="000000"/>
                <w:sz w:val="16"/>
                <w:szCs w:val="16"/>
              </w:rPr>
            </w:pPr>
            <w:r w:rsidRPr="00A35586">
              <w:rPr>
                <w:rFonts w:ascii="Arial" w:hAnsi="Arial" w:cs="Arial"/>
                <w:color w:val="000000" w:themeColor="text1"/>
                <w:sz w:val="16"/>
                <w:szCs w:val="16"/>
              </w:rPr>
              <w:t xml:space="preserve">13,395 </w:t>
            </w:r>
          </w:p>
        </w:tc>
      </w:tr>
      <w:tr w:rsidR="004C7942" w:rsidRPr="004C7942" w14:paraId="7A3F91B1" w14:textId="77777777" w:rsidTr="004C7942">
        <w:trPr>
          <w:trHeight w:val="204"/>
        </w:trPr>
        <w:tc>
          <w:tcPr>
            <w:tcW w:w="3307" w:type="pct"/>
            <w:tcBorders>
              <w:top w:val="nil"/>
              <w:left w:val="nil"/>
              <w:bottom w:val="nil"/>
              <w:right w:val="nil"/>
            </w:tcBorders>
            <w:shd w:val="clear" w:color="000000" w:fill="FFFFFF"/>
            <w:vAlign w:val="bottom"/>
            <w:hideMark/>
          </w:tcPr>
          <w:p w14:paraId="664B68EE" w14:textId="77777777" w:rsidR="004C7942" w:rsidRPr="004C7942" w:rsidRDefault="004C7942" w:rsidP="004C7942">
            <w:pPr>
              <w:spacing w:before="0" w:after="0" w:line="240" w:lineRule="auto"/>
              <w:rPr>
                <w:rFonts w:ascii="Arial" w:hAnsi="Arial" w:cs="Arial"/>
                <w:color w:val="000000"/>
                <w:sz w:val="16"/>
                <w:szCs w:val="16"/>
              </w:rPr>
            </w:pPr>
            <w:r w:rsidRPr="004C7942">
              <w:rPr>
                <w:rFonts w:ascii="Arial" w:hAnsi="Arial" w:cs="Arial"/>
                <w:color w:val="000000"/>
                <w:sz w:val="16"/>
                <w:szCs w:val="16"/>
              </w:rPr>
              <w:t>Total annual appropriations</w:t>
            </w:r>
          </w:p>
        </w:tc>
        <w:tc>
          <w:tcPr>
            <w:tcW w:w="916" w:type="pct"/>
            <w:tcBorders>
              <w:top w:val="single" w:sz="4" w:space="0" w:color="auto"/>
              <w:left w:val="nil"/>
              <w:bottom w:val="single" w:sz="4" w:space="0" w:color="auto"/>
              <w:right w:val="nil"/>
            </w:tcBorders>
            <w:shd w:val="clear" w:color="000000" w:fill="FFFFFF"/>
            <w:noWrap/>
            <w:vAlign w:val="center"/>
            <w:hideMark/>
          </w:tcPr>
          <w:p w14:paraId="7605731C" w14:textId="3B25EE57"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xml:space="preserve">13,247 </w:t>
            </w:r>
          </w:p>
        </w:tc>
        <w:tc>
          <w:tcPr>
            <w:tcW w:w="777" w:type="pct"/>
            <w:tcBorders>
              <w:top w:val="single" w:sz="4" w:space="0" w:color="auto"/>
              <w:left w:val="nil"/>
              <w:bottom w:val="single" w:sz="4" w:space="0" w:color="auto"/>
              <w:right w:val="nil"/>
            </w:tcBorders>
            <w:shd w:val="clear" w:color="000000" w:fill="E6E6E6"/>
            <w:noWrap/>
            <w:vAlign w:val="center"/>
            <w:hideMark/>
          </w:tcPr>
          <w:p w14:paraId="4A1DF4A7" w14:textId="4CE950C7" w:rsidR="004C7942" w:rsidRPr="004C7942" w:rsidRDefault="004C7942" w:rsidP="004C7942">
            <w:pPr>
              <w:spacing w:before="0" w:after="0" w:line="240" w:lineRule="auto"/>
              <w:jc w:val="right"/>
              <w:rPr>
                <w:rFonts w:ascii="Arial" w:hAnsi="Arial" w:cs="Arial"/>
                <w:color w:val="000000"/>
                <w:sz w:val="16"/>
                <w:szCs w:val="16"/>
              </w:rPr>
            </w:pPr>
            <w:r w:rsidRPr="004C7942">
              <w:rPr>
                <w:rFonts w:ascii="Arial" w:hAnsi="Arial" w:cs="Arial"/>
                <w:iCs/>
                <w:color w:val="000000" w:themeColor="text1"/>
                <w:sz w:val="16"/>
                <w:szCs w:val="16"/>
              </w:rPr>
              <w:t xml:space="preserve">13,395 </w:t>
            </w:r>
          </w:p>
        </w:tc>
      </w:tr>
      <w:tr w:rsidR="004C7942" w:rsidRPr="004C7942" w14:paraId="68E38F80" w14:textId="77777777" w:rsidTr="00FA354D">
        <w:trPr>
          <w:trHeight w:val="204"/>
        </w:trPr>
        <w:tc>
          <w:tcPr>
            <w:tcW w:w="3307" w:type="pct"/>
            <w:tcBorders>
              <w:top w:val="nil"/>
              <w:left w:val="nil"/>
              <w:bottom w:val="nil"/>
              <w:right w:val="nil"/>
            </w:tcBorders>
            <w:shd w:val="clear" w:color="000000" w:fill="FFFFFF"/>
            <w:noWrap/>
            <w:vAlign w:val="bottom"/>
            <w:hideMark/>
          </w:tcPr>
          <w:p w14:paraId="73C52A22"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Total funds from Government</w:t>
            </w:r>
          </w:p>
        </w:tc>
        <w:tc>
          <w:tcPr>
            <w:tcW w:w="916" w:type="pct"/>
            <w:tcBorders>
              <w:top w:val="nil"/>
              <w:left w:val="nil"/>
              <w:bottom w:val="single" w:sz="4" w:space="0" w:color="auto"/>
              <w:right w:val="nil"/>
            </w:tcBorders>
            <w:shd w:val="clear" w:color="000000" w:fill="FFFFFF"/>
            <w:noWrap/>
            <w:vAlign w:val="bottom"/>
            <w:hideMark/>
          </w:tcPr>
          <w:p w14:paraId="6DEE5DD9" w14:textId="235CEA63" w:rsidR="004C7942" w:rsidRPr="004C7942" w:rsidRDefault="004C7942" w:rsidP="004C7942">
            <w:pPr>
              <w:spacing w:before="0" w:after="0" w:line="240" w:lineRule="auto"/>
              <w:jc w:val="right"/>
              <w:rPr>
                <w:rFonts w:ascii="Arial" w:hAnsi="Arial" w:cs="Arial"/>
                <w:b/>
                <w:color w:val="000000"/>
                <w:sz w:val="16"/>
                <w:szCs w:val="16"/>
              </w:rPr>
            </w:pPr>
            <w:r w:rsidRPr="00D92D8D">
              <w:rPr>
                <w:rFonts w:ascii="Arial" w:hAnsi="Arial" w:cs="Arial"/>
                <w:b/>
                <w:bCs/>
                <w:iCs/>
                <w:color w:val="000000" w:themeColor="text1"/>
                <w:sz w:val="16"/>
                <w:szCs w:val="16"/>
              </w:rPr>
              <w:t xml:space="preserve">13,247 </w:t>
            </w:r>
          </w:p>
        </w:tc>
        <w:tc>
          <w:tcPr>
            <w:tcW w:w="777" w:type="pct"/>
            <w:tcBorders>
              <w:top w:val="nil"/>
              <w:left w:val="nil"/>
              <w:bottom w:val="single" w:sz="4" w:space="0" w:color="auto"/>
              <w:right w:val="nil"/>
            </w:tcBorders>
            <w:shd w:val="clear" w:color="000000" w:fill="E6E6E6"/>
            <w:noWrap/>
            <w:vAlign w:val="bottom"/>
            <w:hideMark/>
          </w:tcPr>
          <w:p w14:paraId="6C9345A4" w14:textId="7F01AA82" w:rsidR="004C7942" w:rsidRPr="004C7942" w:rsidRDefault="004C7942" w:rsidP="004C7942">
            <w:pPr>
              <w:spacing w:before="0" w:after="0" w:line="240" w:lineRule="auto"/>
              <w:jc w:val="right"/>
              <w:rPr>
                <w:rFonts w:ascii="Arial" w:hAnsi="Arial" w:cs="Arial"/>
                <w:b/>
                <w:color w:val="000000"/>
                <w:sz w:val="16"/>
                <w:szCs w:val="16"/>
              </w:rPr>
            </w:pPr>
            <w:r w:rsidRPr="004E542E">
              <w:rPr>
                <w:rFonts w:ascii="Arial" w:hAnsi="Arial" w:cs="Arial"/>
                <w:b/>
                <w:bCs/>
                <w:color w:val="000000" w:themeColor="text1"/>
                <w:sz w:val="16"/>
                <w:szCs w:val="16"/>
              </w:rPr>
              <w:t xml:space="preserve">13,395 </w:t>
            </w:r>
          </w:p>
        </w:tc>
      </w:tr>
      <w:tr w:rsidR="004C7942" w:rsidRPr="004C7942" w14:paraId="3F5D7121" w14:textId="77777777" w:rsidTr="00FA354D">
        <w:trPr>
          <w:trHeight w:val="204"/>
        </w:trPr>
        <w:tc>
          <w:tcPr>
            <w:tcW w:w="3307" w:type="pct"/>
            <w:tcBorders>
              <w:top w:val="nil"/>
              <w:left w:val="nil"/>
              <w:bottom w:val="nil"/>
              <w:right w:val="nil"/>
            </w:tcBorders>
            <w:shd w:val="clear" w:color="000000" w:fill="FFFFFF"/>
            <w:vAlign w:val="bottom"/>
            <w:hideMark/>
          </w:tcPr>
          <w:p w14:paraId="7D050321"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Funds from other sources</w:t>
            </w:r>
          </w:p>
        </w:tc>
        <w:tc>
          <w:tcPr>
            <w:tcW w:w="916" w:type="pct"/>
            <w:tcBorders>
              <w:top w:val="nil"/>
              <w:left w:val="nil"/>
              <w:bottom w:val="nil"/>
              <w:right w:val="nil"/>
            </w:tcBorders>
            <w:shd w:val="clear" w:color="000000" w:fill="FFFFFF"/>
            <w:noWrap/>
            <w:vAlign w:val="bottom"/>
            <w:hideMark/>
          </w:tcPr>
          <w:p w14:paraId="4455FCD4" w14:textId="7DF74BA9" w:rsidR="004C7942" w:rsidRPr="004C7942" w:rsidRDefault="004C7942" w:rsidP="004C7942">
            <w:pPr>
              <w:spacing w:before="0" w:after="0" w:line="240" w:lineRule="auto"/>
              <w:jc w:val="right"/>
              <w:rPr>
                <w:rFonts w:ascii="Arial" w:hAnsi="Arial" w:cs="Arial"/>
                <w:b/>
                <w:color w:val="000000"/>
                <w:sz w:val="16"/>
                <w:szCs w:val="16"/>
              </w:rPr>
            </w:pPr>
            <w:r w:rsidRPr="00D92D8D">
              <w:rPr>
                <w:rFonts w:ascii="Arial" w:hAnsi="Arial" w:cs="Arial"/>
                <w:iCs/>
                <w:color w:val="000000" w:themeColor="text1"/>
                <w:sz w:val="16"/>
                <w:szCs w:val="16"/>
              </w:rPr>
              <w:t> </w:t>
            </w:r>
          </w:p>
        </w:tc>
        <w:tc>
          <w:tcPr>
            <w:tcW w:w="777" w:type="pct"/>
            <w:tcBorders>
              <w:top w:val="nil"/>
              <w:left w:val="nil"/>
              <w:bottom w:val="nil"/>
              <w:right w:val="nil"/>
            </w:tcBorders>
            <w:shd w:val="clear" w:color="000000" w:fill="E6E6E6"/>
            <w:noWrap/>
            <w:vAlign w:val="bottom"/>
            <w:hideMark/>
          </w:tcPr>
          <w:p w14:paraId="31D123F6" w14:textId="131E9E24" w:rsidR="004C7942" w:rsidRPr="004C7942" w:rsidRDefault="004C7942" w:rsidP="004C7942">
            <w:pPr>
              <w:spacing w:before="0" w:after="0" w:line="240" w:lineRule="auto"/>
              <w:jc w:val="right"/>
              <w:rPr>
                <w:rFonts w:ascii="Arial" w:hAnsi="Arial" w:cs="Arial"/>
                <w:b/>
                <w:color w:val="000000"/>
                <w:sz w:val="16"/>
                <w:szCs w:val="16"/>
              </w:rPr>
            </w:pPr>
            <w:r w:rsidRPr="00A35586">
              <w:rPr>
                <w:rFonts w:ascii="Arial" w:hAnsi="Arial" w:cs="Arial"/>
                <w:color w:val="000000" w:themeColor="text1"/>
                <w:sz w:val="16"/>
                <w:szCs w:val="16"/>
              </w:rPr>
              <w:t> </w:t>
            </w:r>
          </w:p>
        </w:tc>
      </w:tr>
      <w:tr w:rsidR="004C7942" w:rsidRPr="004C7942" w14:paraId="4E936A5C" w14:textId="77777777" w:rsidTr="004C7942">
        <w:trPr>
          <w:trHeight w:val="204"/>
        </w:trPr>
        <w:tc>
          <w:tcPr>
            <w:tcW w:w="3307" w:type="pct"/>
            <w:tcBorders>
              <w:top w:val="nil"/>
              <w:left w:val="nil"/>
              <w:bottom w:val="nil"/>
              <w:right w:val="nil"/>
            </w:tcBorders>
            <w:shd w:val="clear" w:color="000000" w:fill="FFFFFF"/>
            <w:vAlign w:val="bottom"/>
            <w:hideMark/>
          </w:tcPr>
          <w:p w14:paraId="7EC9D3E1" w14:textId="77777777" w:rsidR="004C7942" w:rsidRPr="004C7942" w:rsidRDefault="004C7942" w:rsidP="004C7942">
            <w:pPr>
              <w:spacing w:before="0" w:after="0" w:line="240" w:lineRule="auto"/>
              <w:ind w:left="113"/>
              <w:rPr>
                <w:rFonts w:ascii="Arial" w:hAnsi="Arial" w:cs="Arial"/>
                <w:color w:val="000000"/>
                <w:sz w:val="16"/>
                <w:szCs w:val="16"/>
              </w:rPr>
            </w:pPr>
            <w:r w:rsidRPr="004C7942">
              <w:rPr>
                <w:rFonts w:ascii="Arial" w:hAnsi="Arial" w:cs="Arial"/>
                <w:color w:val="000000"/>
                <w:sz w:val="16"/>
                <w:szCs w:val="16"/>
              </w:rPr>
              <w:t>Interest</w:t>
            </w:r>
          </w:p>
        </w:tc>
        <w:tc>
          <w:tcPr>
            <w:tcW w:w="916" w:type="pct"/>
            <w:tcBorders>
              <w:top w:val="nil"/>
              <w:left w:val="nil"/>
              <w:bottom w:val="nil"/>
              <w:right w:val="nil"/>
            </w:tcBorders>
            <w:shd w:val="clear" w:color="000000" w:fill="FFFFFF"/>
            <w:noWrap/>
            <w:vAlign w:val="center"/>
            <w:hideMark/>
          </w:tcPr>
          <w:p w14:paraId="1FD2573A" w14:textId="1E962F0A"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xml:space="preserve">746 </w:t>
            </w:r>
          </w:p>
        </w:tc>
        <w:tc>
          <w:tcPr>
            <w:tcW w:w="777" w:type="pct"/>
            <w:tcBorders>
              <w:top w:val="nil"/>
              <w:left w:val="nil"/>
              <w:bottom w:val="nil"/>
              <w:right w:val="nil"/>
            </w:tcBorders>
            <w:shd w:val="clear" w:color="000000" w:fill="E6E6E6"/>
            <w:noWrap/>
            <w:vAlign w:val="center"/>
            <w:hideMark/>
          </w:tcPr>
          <w:p w14:paraId="6369028B" w14:textId="00F36BA4" w:rsidR="004C7942" w:rsidRPr="004C7942" w:rsidRDefault="004C7942" w:rsidP="004C7942">
            <w:pPr>
              <w:spacing w:before="0" w:after="0" w:line="240" w:lineRule="auto"/>
              <w:jc w:val="right"/>
              <w:rPr>
                <w:rFonts w:ascii="Arial" w:hAnsi="Arial" w:cs="Arial"/>
                <w:color w:val="000000"/>
                <w:sz w:val="16"/>
                <w:szCs w:val="16"/>
              </w:rPr>
            </w:pPr>
            <w:r w:rsidRPr="00A35586">
              <w:rPr>
                <w:rFonts w:ascii="Arial" w:hAnsi="Arial" w:cs="Arial"/>
                <w:color w:val="000000" w:themeColor="text1"/>
                <w:sz w:val="16"/>
                <w:szCs w:val="16"/>
              </w:rPr>
              <w:t xml:space="preserve">458 </w:t>
            </w:r>
          </w:p>
        </w:tc>
      </w:tr>
      <w:tr w:rsidR="004C7942" w:rsidRPr="004C7942" w14:paraId="0E5DCDE1" w14:textId="77777777" w:rsidTr="00FA354D">
        <w:trPr>
          <w:trHeight w:val="204"/>
        </w:trPr>
        <w:tc>
          <w:tcPr>
            <w:tcW w:w="3307" w:type="pct"/>
            <w:tcBorders>
              <w:top w:val="nil"/>
              <w:left w:val="nil"/>
              <w:bottom w:val="nil"/>
              <w:right w:val="nil"/>
            </w:tcBorders>
            <w:shd w:val="clear" w:color="000000" w:fill="FFFFFF"/>
            <w:vAlign w:val="bottom"/>
            <w:hideMark/>
          </w:tcPr>
          <w:p w14:paraId="0864196D" w14:textId="77777777" w:rsidR="004C7942" w:rsidRPr="004C7942" w:rsidRDefault="004C7942" w:rsidP="004C7942">
            <w:pPr>
              <w:spacing w:before="0" w:after="0" w:line="240" w:lineRule="auto"/>
              <w:ind w:left="113"/>
              <w:rPr>
                <w:rFonts w:ascii="Arial" w:hAnsi="Arial" w:cs="Arial"/>
                <w:color w:val="000000"/>
                <w:sz w:val="16"/>
                <w:szCs w:val="16"/>
              </w:rPr>
            </w:pPr>
            <w:r w:rsidRPr="004C7942">
              <w:rPr>
                <w:rFonts w:ascii="Arial" w:hAnsi="Arial" w:cs="Arial"/>
                <w:color w:val="000000"/>
                <w:sz w:val="16"/>
                <w:szCs w:val="16"/>
              </w:rPr>
              <w:t>Other</w:t>
            </w:r>
          </w:p>
        </w:tc>
        <w:tc>
          <w:tcPr>
            <w:tcW w:w="916" w:type="pct"/>
            <w:tcBorders>
              <w:top w:val="nil"/>
              <w:left w:val="nil"/>
              <w:bottom w:val="nil"/>
              <w:right w:val="nil"/>
            </w:tcBorders>
            <w:shd w:val="clear" w:color="000000" w:fill="FFFFFF"/>
            <w:noWrap/>
            <w:vAlign w:val="bottom"/>
            <w:hideMark/>
          </w:tcPr>
          <w:p w14:paraId="03302173" w14:textId="494A9AE0" w:rsidR="004C7942" w:rsidRPr="004C7942" w:rsidRDefault="004C7942" w:rsidP="004C7942">
            <w:pPr>
              <w:spacing w:before="0" w:after="0" w:line="240" w:lineRule="auto"/>
              <w:jc w:val="right"/>
              <w:rPr>
                <w:rFonts w:ascii="Arial" w:hAnsi="Arial" w:cs="Arial"/>
                <w:color w:val="000000"/>
                <w:sz w:val="16"/>
                <w:szCs w:val="16"/>
              </w:rPr>
            </w:pPr>
            <w:r w:rsidRPr="00D92D8D">
              <w:rPr>
                <w:rFonts w:ascii="Arial" w:hAnsi="Arial" w:cs="Arial"/>
                <w:iCs/>
                <w:color w:val="000000" w:themeColor="text1"/>
                <w:sz w:val="16"/>
                <w:szCs w:val="16"/>
              </w:rPr>
              <w:t xml:space="preserve"> </w:t>
            </w:r>
          </w:p>
        </w:tc>
        <w:tc>
          <w:tcPr>
            <w:tcW w:w="777" w:type="pct"/>
            <w:tcBorders>
              <w:top w:val="nil"/>
              <w:left w:val="nil"/>
              <w:bottom w:val="nil"/>
              <w:right w:val="nil"/>
            </w:tcBorders>
            <w:shd w:val="clear" w:color="000000" w:fill="E6E6E6"/>
            <w:noWrap/>
            <w:vAlign w:val="bottom"/>
            <w:hideMark/>
          </w:tcPr>
          <w:p w14:paraId="687FEAC1" w14:textId="66EC801C" w:rsidR="004C7942" w:rsidRPr="004C7942" w:rsidRDefault="004C7942" w:rsidP="004C7942">
            <w:pPr>
              <w:spacing w:before="0" w:after="0" w:line="240" w:lineRule="auto"/>
              <w:jc w:val="right"/>
              <w:rPr>
                <w:rFonts w:ascii="Arial" w:hAnsi="Arial" w:cs="Arial"/>
                <w:color w:val="000000"/>
                <w:sz w:val="16"/>
                <w:szCs w:val="16"/>
              </w:rPr>
            </w:pPr>
            <w:r w:rsidRPr="00A35586">
              <w:rPr>
                <w:rFonts w:ascii="Arial" w:hAnsi="Arial" w:cs="Arial"/>
                <w:color w:val="000000" w:themeColor="text1"/>
                <w:sz w:val="16"/>
                <w:szCs w:val="16"/>
              </w:rPr>
              <w:t> </w:t>
            </w:r>
          </w:p>
        </w:tc>
      </w:tr>
      <w:tr w:rsidR="004C7942" w:rsidRPr="004C7942" w14:paraId="6EFE5D4C" w14:textId="77777777" w:rsidTr="00FA354D">
        <w:trPr>
          <w:trHeight w:val="204"/>
        </w:trPr>
        <w:tc>
          <w:tcPr>
            <w:tcW w:w="3307" w:type="pct"/>
            <w:tcBorders>
              <w:top w:val="nil"/>
              <w:left w:val="nil"/>
              <w:bottom w:val="nil"/>
              <w:right w:val="nil"/>
            </w:tcBorders>
            <w:shd w:val="clear" w:color="000000" w:fill="FFFFFF"/>
            <w:noWrap/>
            <w:vAlign w:val="bottom"/>
            <w:hideMark/>
          </w:tcPr>
          <w:p w14:paraId="3FAFDA19"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Total funds from other sources</w:t>
            </w:r>
          </w:p>
        </w:tc>
        <w:tc>
          <w:tcPr>
            <w:tcW w:w="916" w:type="pct"/>
            <w:tcBorders>
              <w:top w:val="single" w:sz="4" w:space="0" w:color="auto"/>
              <w:left w:val="nil"/>
              <w:bottom w:val="single" w:sz="4" w:space="0" w:color="auto"/>
              <w:right w:val="nil"/>
            </w:tcBorders>
            <w:shd w:val="clear" w:color="000000" w:fill="FFFFFF"/>
            <w:noWrap/>
            <w:vAlign w:val="bottom"/>
            <w:hideMark/>
          </w:tcPr>
          <w:p w14:paraId="584ED51C" w14:textId="67E87F31" w:rsidR="004C7942" w:rsidRPr="004C7942" w:rsidRDefault="004C7942" w:rsidP="004C7942">
            <w:pPr>
              <w:spacing w:before="0" w:after="0" w:line="240" w:lineRule="auto"/>
              <w:jc w:val="right"/>
              <w:rPr>
                <w:rFonts w:ascii="Arial" w:hAnsi="Arial" w:cs="Arial"/>
                <w:b/>
                <w:color w:val="000000"/>
                <w:sz w:val="16"/>
                <w:szCs w:val="16"/>
              </w:rPr>
            </w:pPr>
            <w:r w:rsidRPr="00D92D8D">
              <w:rPr>
                <w:rFonts w:ascii="Arial" w:hAnsi="Arial" w:cs="Arial"/>
                <w:b/>
                <w:bCs/>
                <w:iCs/>
                <w:color w:val="000000" w:themeColor="text1"/>
                <w:sz w:val="16"/>
                <w:szCs w:val="16"/>
              </w:rPr>
              <w:t xml:space="preserve">746 </w:t>
            </w:r>
          </w:p>
        </w:tc>
        <w:tc>
          <w:tcPr>
            <w:tcW w:w="777" w:type="pct"/>
            <w:tcBorders>
              <w:top w:val="single" w:sz="4" w:space="0" w:color="auto"/>
              <w:left w:val="nil"/>
              <w:bottom w:val="single" w:sz="4" w:space="0" w:color="auto"/>
              <w:right w:val="nil"/>
            </w:tcBorders>
            <w:shd w:val="clear" w:color="000000" w:fill="E6E6E6"/>
            <w:noWrap/>
            <w:vAlign w:val="bottom"/>
            <w:hideMark/>
          </w:tcPr>
          <w:p w14:paraId="63527FD1" w14:textId="70152675" w:rsidR="004C7942" w:rsidRPr="004C7942" w:rsidRDefault="004C7942" w:rsidP="004C7942">
            <w:pPr>
              <w:spacing w:before="0" w:after="0" w:line="240" w:lineRule="auto"/>
              <w:jc w:val="right"/>
              <w:rPr>
                <w:rFonts w:ascii="Arial" w:hAnsi="Arial" w:cs="Arial"/>
                <w:b/>
                <w:color w:val="000000"/>
                <w:sz w:val="16"/>
                <w:szCs w:val="16"/>
              </w:rPr>
            </w:pPr>
            <w:r w:rsidRPr="00A35586">
              <w:rPr>
                <w:rFonts w:ascii="Arial" w:hAnsi="Arial" w:cs="Arial"/>
                <w:b/>
                <w:bCs/>
                <w:color w:val="000000" w:themeColor="text1"/>
                <w:sz w:val="16"/>
                <w:szCs w:val="16"/>
              </w:rPr>
              <w:t xml:space="preserve">458 </w:t>
            </w:r>
          </w:p>
        </w:tc>
      </w:tr>
      <w:tr w:rsidR="004C7942" w:rsidRPr="004C7942" w14:paraId="3006AE4D" w14:textId="77777777" w:rsidTr="00FA354D">
        <w:trPr>
          <w:trHeight w:val="204"/>
        </w:trPr>
        <w:tc>
          <w:tcPr>
            <w:tcW w:w="3307" w:type="pct"/>
            <w:tcBorders>
              <w:top w:val="nil"/>
              <w:left w:val="nil"/>
              <w:bottom w:val="single" w:sz="4" w:space="0" w:color="auto"/>
              <w:right w:val="nil"/>
            </w:tcBorders>
            <w:shd w:val="clear" w:color="000000" w:fill="FFFFFF"/>
            <w:noWrap/>
            <w:vAlign w:val="bottom"/>
            <w:hideMark/>
          </w:tcPr>
          <w:p w14:paraId="2F4E2DC9" w14:textId="77777777" w:rsidR="004C7942" w:rsidRPr="004C7942" w:rsidRDefault="004C7942" w:rsidP="004C7942">
            <w:pPr>
              <w:spacing w:before="0" w:after="0" w:line="240" w:lineRule="auto"/>
              <w:rPr>
                <w:rFonts w:ascii="Arial" w:hAnsi="Arial" w:cs="Arial"/>
                <w:b/>
                <w:color w:val="000000"/>
                <w:sz w:val="16"/>
                <w:szCs w:val="16"/>
              </w:rPr>
            </w:pPr>
            <w:r w:rsidRPr="004C7942">
              <w:rPr>
                <w:rFonts w:ascii="Arial" w:hAnsi="Arial" w:cs="Arial"/>
                <w:b/>
                <w:color w:val="000000"/>
                <w:sz w:val="16"/>
                <w:szCs w:val="16"/>
              </w:rPr>
              <w:t>Total net resourcing for Infrastructure Australia</w:t>
            </w:r>
          </w:p>
        </w:tc>
        <w:tc>
          <w:tcPr>
            <w:tcW w:w="916" w:type="pct"/>
            <w:tcBorders>
              <w:top w:val="nil"/>
              <w:left w:val="nil"/>
              <w:bottom w:val="single" w:sz="4" w:space="0" w:color="auto"/>
              <w:right w:val="nil"/>
            </w:tcBorders>
            <w:shd w:val="clear" w:color="000000" w:fill="FFFFFF"/>
            <w:noWrap/>
            <w:vAlign w:val="bottom"/>
            <w:hideMark/>
          </w:tcPr>
          <w:p w14:paraId="653F578D" w14:textId="759F497F" w:rsidR="004C7942" w:rsidRPr="004C7942" w:rsidRDefault="004C7942" w:rsidP="004C7942">
            <w:pPr>
              <w:spacing w:before="0" w:after="0" w:line="240" w:lineRule="auto"/>
              <w:jc w:val="right"/>
              <w:rPr>
                <w:rFonts w:ascii="Arial" w:hAnsi="Arial" w:cs="Arial"/>
                <w:b/>
                <w:color w:val="000000"/>
                <w:sz w:val="16"/>
                <w:szCs w:val="16"/>
              </w:rPr>
            </w:pPr>
            <w:r w:rsidRPr="00D92D8D">
              <w:rPr>
                <w:rFonts w:ascii="Arial" w:hAnsi="Arial" w:cs="Arial"/>
                <w:b/>
                <w:bCs/>
                <w:iCs/>
                <w:color w:val="000000" w:themeColor="text1"/>
                <w:sz w:val="16"/>
                <w:szCs w:val="16"/>
              </w:rPr>
              <w:t xml:space="preserve">18,475 </w:t>
            </w:r>
          </w:p>
        </w:tc>
        <w:tc>
          <w:tcPr>
            <w:tcW w:w="777" w:type="pct"/>
            <w:tcBorders>
              <w:top w:val="nil"/>
              <w:left w:val="nil"/>
              <w:bottom w:val="single" w:sz="4" w:space="0" w:color="auto"/>
              <w:right w:val="nil"/>
            </w:tcBorders>
            <w:shd w:val="clear" w:color="000000" w:fill="E6E6E6"/>
            <w:noWrap/>
            <w:vAlign w:val="bottom"/>
            <w:hideMark/>
          </w:tcPr>
          <w:p w14:paraId="4A0EACC4" w14:textId="1CE2C265" w:rsidR="004C7942" w:rsidRPr="004C7942" w:rsidRDefault="004C7942" w:rsidP="004C7942">
            <w:pPr>
              <w:spacing w:before="0" w:after="0" w:line="240" w:lineRule="auto"/>
              <w:jc w:val="right"/>
              <w:rPr>
                <w:rFonts w:ascii="Arial" w:hAnsi="Arial" w:cs="Arial"/>
                <w:b/>
                <w:color w:val="000000"/>
                <w:sz w:val="16"/>
                <w:szCs w:val="16"/>
              </w:rPr>
            </w:pPr>
            <w:r w:rsidRPr="00A35586">
              <w:rPr>
                <w:rFonts w:ascii="Arial" w:hAnsi="Arial" w:cs="Arial"/>
                <w:b/>
                <w:bCs/>
                <w:color w:val="000000" w:themeColor="text1"/>
                <w:sz w:val="16"/>
                <w:szCs w:val="16"/>
              </w:rPr>
              <w:t xml:space="preserve">18,850 </w:t>
            </w:r>
          </w:p>
        </w:tc>
      </w:tr>
    </w:tbl>
    <w:p w14:paraId="0B598450" w14:textId="77777777" w:rsidR="00FA354D" w:rsidRPr="004C7942" w:rsidRDefault="00FA354D" w:rsidP="00FA354D">
      <w:pPr>
        <w:pStyle w:val="ChartandTableFootnote"/>
        <w:contextualSpacing/>
        <w:rPr>
          <w:rFonts w:cs="Arial"/>
        </w:rPr>
      </w:pPr>
    </w:p>
    <w:tbl>
      <w:tblPr>
        <w:tblW w:w="5000" w:type="pct"/>
        <w:tblLook w:val="04A0" w:firstRow="1" w:lastRow="0" w:firstColumn="1" w:lastColumn="0" w:noHBand="0" w:noVBand="1"/>
      </w:tblPr>
      <w:tblGrid>
        <w:gridCol w:w="5100"/>
        <w:gridCol w:w="1412"/>
        <w:gridCol w:w="1198"/>
      </w:tblGrid>
      <w:tr w:rsidR="00FA354D" w:rsidRPr="004C7942" w14:paraId="250C1E9C" w14:textId="77777777" w:rsidTr="00FA354D">
        <w:trPr>
          <w:trHeight w:val="204"/>
        </w:trPr>
        <w:tc>
          <w:tcPr>
            <w:tcW w:w="3307" w:type="pct"/>
            <w:tcBorders>
              <w:top w:val="single" w:sz="4" w:space="0" w:color="auto"/>
              <w:left w:val="nil"/>
              <w:bottom w:val="nil"/>
              <w:right w:val="nil"/>
            </w:tcBorders>
            <w:shd w:val="clear" w:color="000000" w:fill="FFFFFF"/>
            <w:noWrap/>
            <w:vAlign w:val="bottom"/>
            <w:hideMark/>
          </w:tcPr>
          <w:p w14:paraId="0435975B" w14:textId="77777777" w:rsidR="00FA354D" w:rsidRPr="004C7942" w:rsidRDefault="00FA354D" w:rsidP="00FA354D">
            <w:pPr>
              <w:spacing w:before="0" w:after="0" w:line="240" w:lineRule="auto"/>
              <w:rPr>
                <w:rFonts w:ascii="Arial" w:hAnsi="Arial" w:cs="Arial"/>
                <w:color w:val="000000"/>
                <w:sz w:val="16"/>
                <w:szCs w:val="16"/>
              </w:rPr>
            </w:pPr>
            <w:r w:rsidRPr="004C7942">
              <w:rPr>
                <w:rFonts w:ascii="Arial" w:hAnsi="Arial" w:cs="Arial"/>
                <w:color w:val="000000"/>
                <w:sz w:val="16"/>
                <w:szCs w:val="16"/>
              </w:rPr>
              <w:t> </w:t>
            </w:r>
          </w:p>
        </w:tc>
        <w:tc>
          <w:tcPr>
            <w:tcW w:w="916" w:type="pct"/>
            <w:tcBorders>
              <w:top w:val="single" w:sz="4" w:space="0" w:color="auto"/>
              <w:left w:val="nil"/>
              <w:bottom w:val="single" w:sz="4" w:space="0" w:color="auto"/>
              <w:right w:val="nil"/>
            </w:tcBorders>
            <w:shd w:val="clear" w:color="000000" w:fill="FFFFFF"/>
            <w:vAlign w:val="bottom"/>
            <w:hideMark/>
          </w:tcPr>
          <w:p w14:paraId="16FC2A92" w14:textId="649A298B" w:rsidR="00FA354D" w:rsidRPr="004C7942" w:rsidRDefault="00FA354D" w:rsidP="00FA354D">
            <w:pPr>
              <w:spacing w:before="0" w:after="0" w:line="240" w:lineRule="auto"/>
              <w:jc w:val="right"/>
              <w:rPr>
                <w:rFonts w:ascii="Arial" w:hAnsi="Arial" w:cs="Arial"/>
                <w:color w:val="000000"/>
                <w:sz w:val="16"/>
                <w:szCs w:val="16"/>
              </w:rPr>
            </w:pPr>
            <w:r w:rsidRPr="004C7942">
              <w:rPr>
                <w:rFonts w:ascii="Arial" w:hAnsi="Arial" w:cs="Arial"/>
                <w:color w:val="000000"/>
                <w:sz w:val="16"/>
                <w:szCs w:val="16"/>
              </w:rPr>
              <w:t>202</w:t>
            </w:r>
            <w:r w:rsidR="00B219F6" w:rsidRPr="004C7942">
              <w:rPr>
                <w:rFonts w:ascii="Arial" w:hAnsi="Arial" w:cs="Arial"/>
                <w:color w:val="000000"/>
                <w:sz w:val="16"/>
                <w:szCs w:val="16"/>
              </w:rPr>
              <w:t>4</w:t>
            </w:r>
            <w:r w:rsidRPr="004C7942">
              <w:rPr>
                <w:rFonts w:ascii="Arial" w:hAnsi="Arial" w:cs="Arial"/>
                <w:color w:val="000000"/>
                <w:sz w:val="16"/>
                <w:szCs w:val="16"/>
              </w:rPr>
              <w:t>-2</w:t>
            </w:r>
            <w:r w:rsidR="00B219F6" w:rsidRPr="004C7942">
              <w:rPr>
                <w:rFonts w:ascii="Arial" w:hAnsi="Arial" w:cs="Arial"/>
                <w:color w:val="000000"/>
                <w:sz w:val="16"/>
                <w:szCs w:val="16"/>
              </w:rPr>
              <w:t>5</w:t>
            </w:r>
          </w:p>
        </w:tc>
        <w:tc>
          <w:tcPr>
            <w:tcW w:w="777" w:type="pct"/>
            <w:tcBorders>
              <w:top w:val="single" w:sz="4" w:space="0" w:color="auto"/>
              <w:left w:val="nil"/>
              <w:bottom w:val="single" w:sz="4" w:space="0" w:color="auto"/>
              <w:right w:val="nil"/>
            </w:tcBorders>
            <w:shd w:val="clear" w:color="000000" w:fill="E6E6E6"/>
            <w:vAlign w:val="bottom"/>
            <w:hideMark/>
          </w:tcPr>
          <w:p w14:paraId="62F9D278" w14:textId="4F3FC8CB" w:rsidR="00FA354D" w:rsidRPr="004C7942" w:rsidRDefault="00FA354D" w:rsidP="00FA354D">
            <w:pPr>
              <w:spacing w:before="0" w:after="0" w:line="240" w:lineRule="auto"/>
              <w:jc w:val="right"/>
              <w:rPr>
                <w:rFonts w:ascii="Arial" w:hAnsi="Arial" w:cs="Arial"/>
                <w:color w:val="000000"/>
                <w:sz w:val="16"/>
                <w:szCs w:val="16"/>
              </w:rPr>
            </w:pPr>
            <w:r w:rsidRPr="004C7942">
              <w:rPr>
                <w:rFonts w:ascii="Arial" w:hAnsi="Arial" w:cs="Arial"/>
                <w:color w:val="000000"/>
                <w:sz w:val="16"/>
                <w:szCs w:val="16"/>
              </w:rPr>
              <w:t>202</w:t>
            </w:r>
            <w:r w:rsidR="00B219F6" w:rsidRPr="004C7942">
              <w:rPr>
                <w:rFonts w:ascii="Arial" w:hAnsi="Arial" w:cs="Arial"/>
                <w:color w:val="000000"/>
                <w:sz w:val="16"/>
                <w:szCs w:val="16"/>
              </w:rPr>
              <w:t>5</w:t>
            </w:r>
            <w:r w:rsidRPr="004C7942">
              <w:rPr>
                <w:rFonts w:ascii="Arial" w:hAnsi="Arial" w:cs="Arial"/>
                <w:color w:val="000000"/>
                <w:sz w:val="16"/>
                <w:szCs w:val="16"/>
              </w:rPr>
              <w:t>-2</w:t>
            </w:r>
            <w:r w:rsidR="00B219F6" w:rsidRPr="004C7942">
              <w:rPr>
                <w:rFonts w:ascii="Arial" w:hAnsi="Arial" w:cs="Arial"/>
                <w:color w:val="000000"/>
                <w:sz w:val="16"/>
                <w:szCs w:val="16"/>
              </w:rPr>
              <w:t>6</w:t>
            </w:r>
          </w:p>
        </w:tc>
      </w:tr>
      <w:tr w:rsidR="00FA354D" w:rsidRPr="004C7942" w14:paraId="04566044" w14:textId="77777777" w:rsidTr="00FA354D">
        <w:trPr>
          <w:trHeight w:val="204"/>
        </w:trPr>
        <w:tc>
          <w:tcPr>
            <w:tcW w:w="3307" w:type="pct"/>
            <w:tcBorders>
              <w:top w:val="nil"/>
              <w:left w:val="nil"/>
              <w:bottom w:val="single" w:sz="4" w:space="0" w:color="auto"/>
              <w:right w:val="nil"/>
            </w:tcBorders>
            <w:shd w:val="clear" w:color="000000" w:fill="FFFFFF"/>
            <w:noWrap/>
            <w:vAlign w:val="bottom"/>
            <w:hideMark/>
          </w:tcPr>
          <w:p w14:paraId="5CFF186B" w14:textId="77777777" w:rsidR="00FA354D" w:rsidRPr="004C7942" w:rsidRDefault="00FA354D" w:rsidP="00FA354D">
            <w:pPr>
              <w:spacing w:before="0" w:after="0" w:line="240" w:lineRule="auto"/>
              <w:rPr>
                <w:rFonts w:ascii="Arial" w:hAnsi="Arial" w:cs="Arial"/>
                <w:b/>
                <w:color w:val="000000"/>
                <w:sz w:val="16"/>
                <w:szCs w:val="16"/>
              </w:rPr>
            </w:pPr>
            <w:r w:rsidRPr="004C7942">
              <w:rPr>
                <w:rFonts w:ascii="Arial" w:hAnsi="Arial" w:cs="Arial"/>
                <w:b/>
                <w:color w:val="000000"/>
                <w:sz w:val="16"/>
                <w:szCs w:val="16"/>
              </w:rPr>
              <w:t>Average staffing level (number)</w:t>
            </w:r>
          </w:p>
        </w:tc>
        <w:tc>
          <w:tcPr>
            <w:tcW w:w="916" w:type="pct"/>
            <w:tcBorders>
              <w:top w:val="nil"/>
              <w:left w:val="nil"/>
              <w:bottom w:val="single" w:sz="4" w:space="0" w:color="auto"/>
              <w:right w:val="nil"/>
            </w:tcBorders>
            <w:shd w:val="clear" w:color="000000" w:fill="FFFFFF"/>
            <w:noWrap/>
            <w:vAlign w:val="bottom"/>
            <w:hideMark/>
          </w:tcPr>
          <w:p w14:paraId="4158A13B" w14:textId="6314D408" w:rsidR="00FA354D" w:rsidRPr="004C7942" w:rsidRDefault="004C794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39</w:t>
            </w:r>
          </w:p>
        </w:tc>
        <w:tc>
          <w:tcPr>
            <w:tcW w:w="777" w:type="pct"/>
            <w:tcBorders>
              <w:top w:val="nil"/>
              <w:left w:val="nil"/>
              <w:bottom w:val="single" w:sz="4" w:space="0" w:color="auto"/>
              <w:right w:val="nil"/>
            </w:tcBorders>
            <w:shd w:val="clear" w:color="000000" w:fill="E6E6E6"/>
            <w:noWrap/>
            <w:vAlign w:val="bottom"/>
            <w:hideMark/>
          </w:tcPr>
          <w:p w14:paraId="002E1E8B" w14:textId="2CD09F5D" w:rsidR="00FA354D" w:rsidRPr="004C7942" w:rsidRDefault="004C794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41</w:t>
            </w:r>
          </w:p>
        </w:tc>
      </w:tr>
    </w:tbl>
    <w:p w14:paraId="00B7B2CD" w14:textId="77777777" w:rsidR="00FA354D" w:rsidRPr="004C7942" w:rsidRDefault="00FA354D" w:rsidP="00FA354D">
      <w:pPr>
        <w:pStyle w:val="ChartandTableFootnote"/>
        <w:contextualSpacing/>
      </w:pPr>
      <w:r w:rsidRPr="004C7942">
        <w:t>All figures shown above are GST exclusive – these may not match figures in the cash flow statement.</w:t>
      </w:r>
    </w:p>
    <w:p w14:paraId="225316C3" w14:textId="2D875828" w:rsidR="00FA354D" w:rsidRPr="004C7942" w:rsidRDefault="00FA354D" w:rsidP="00B43339">
      <w:pPr>
        <w:pStyle w:val="ChartandTableFootnoteAlpha"/>
        <w:numPr>
          <w:ilvl w:val="0"/>
          <w:numId w:val="111"/>
        </w:numPr>
        <w:ind w:left="357" w:hanging="357"/>
        <w:jc w:val="both"/>
        <w:rPr>
          <w:rFonts w:cs="Arial"/>
          <w:szCs w:val="16"/>
        </w:rPr>
      </w:pPr>
      <w:r w:rsidRPr="004C7942">
        <w:rPr>
          <w:rFonts w:cs="Arial"/>
          <w:szCs w:val="16"/>
        </w:rPr>
        <w:t xml:space="preserve">Appropriation Bill (No. 1) </w:t>
      </w:r>
      <w:r w:rsidR="004C7942" w:rsidRPr="00DE202D">
        <w:rPr>
          <w:rFonts w:cs="Arial"/>
          <w:szCs w:val="16"/>
        </w:rPr>
        <w:t>2025-2026</w:t>
      </w:r>
      <w:r w:rsidR="004C7942">
        <w:rPr>
          <w:rFonts w:cs="Arial"/>
          <w:szCs w:val="16"/>
        </w:rPr>
        <w:t xml:space="preserve"> and Supply Bill (</w:t>
      </w:r>
      <w:r w:rsidR="00326326">
        <w:rPr>
          <w:rFonts w:cs="Arial"/>
          <w:szCs w:val="16"/>
        </w:rPr>
        <w:t>No. 1</w:t>
      </w:r>
      <w:r w:rsidR="004C7942">
        <w:rPr>
          <w:rFonts w:cs="Arial"/>
          <w:szCs w:val="16"/>
        </w:rPr>
        <w:t>) 2025-26</w:t>
      </w:r>
    </w:p>
    <w:p w14:paraId="689CF18D" w14:textId="3B600E39" w:rsidR="009524E5" w:rsidRDefault="00FA354D" w:rsidP="00FA354D">
      <w:pPr>
        <w:spacing w:before="120" w:line="240" w:lineRule="auto"/>
        <w:jc w:val="both"/>
        <w:rPr>
          <w:rFonts w:ascii="Arial" w:hAnsi="Arial" w:cs="Arial"/>
          <w:sz w:val="16"/>
          <w:szCs w:val="16"/>
        </w:rPr>
      </w:pPr>
      <w:r w:rsidRPr="004C7942">
        <w:rPr>
          <w:rFonts w:ascii="Arial" w:hAnsi="Arial" w:cs="Arial"/>
          <w:sz w:val="16"/>
          <w:szCs w:val="16"/>
        </w:rPr>
        <w:t>I</w:t>
      </w:r>
      <w:r w:rsidR="009524E5" w:rsidRPr="004C7942">
        <w:rPr>
          <w:rFonts w:ascii="Arial" w:hAnsi="Arial" w:cs="Arial"/>
          <w:sz w:val="16"/>
          <w:szCs w:val="16"/>
        </w:rPr>
        <w:t xml:space="preserve">nfrastructure </w:t>
      </w:r>
      <w:r w:rsidRPr="004C7942">
        <w:rPr>
          <w:rFonts w:ascii="Arial" w:hAnsi="Arial" w:cs="Arial"/>
          <w:sz w:val="16"/>
          <w:szCs w:val="16"/>
        </w:rPr>
        <w:t>A</w:t>
      </w:r>
      <w:r w:rsidR="009524E5" w:rsidRPr="004C7942">
        <w:rPr>
          <w:rFonts w:ascii="Arial" w:hAnsi="Arial" w:cs="Arial"/>
          <w:sz w:val="16"/>
          <w:szCs w:val="16"/>
        </w:rPr>
        <w:t>ustralia</w:t>
      </w:r>
      <w:r w:rsidRPr="004C7942">
        <w:rPr>
          <w:rFonts w:ascii="Arial" w:hAnsi="Arial" w:cs="Arial"/>
          <w:sz w:val="16"/>
          <w:szCs w:val="16"/>
        </w:rPr>
        <w:t xml:space="preserve"> is not directly appropriated as it is a </w:t>
      </w:r>
      <w:r w:rsidR="00751DF5">
        <w:rPr>
          <w:rFonts w:ascii="Arial" w:hAnsi="Arial" w:cs="Arial"/>
          <w:sz w:val="16"/>
          <w:szCs w:val="16"/>
        </w:rPr>
        <w:t>c</w:t>
      </w:r>
      <w:r w:rsidRPr="004C7942">
        <w:rPr>
          <w:rFonts w:ascii="Arial" w:hAnsi="Arial" w:cs="Arial"/>
          <w:sz w:val="16"/>
          <w:szCs w:val="16"/>
        </w:rPr>
        <w:t xml:space="preserve">orporate Commonwealth </w:t>
      </w:r>
      <w:r w:rsidR="00751DF5">
        <w:rPr>
          <w:rFonts w:ascii="Arial" w:hAnsi="Arial" w:cs="Arial"/>
          <w:sz w:val="16"/>
          <w:szCs w:val="16"/>
        </w:rPr>
        <w:t>e</w:t>
      </w:r>
      <w:r w:rsidRPr="004C7942">
        <w:rPr>
          <w:rFonts w:ascii="Arial" w:hAnsi="Arial" w:cs="Arial"/>
          <w:sz w:val="16"/>
          <w:szCs w:val="16"/>
        </w:rPr>
        <w:t xml:space="preserve">ntity. Appropriations are made to the </w:t>
      </w:r>
      <w:r w:rsidR="00BF663D">
        <w:rPr>
          <w:rFonts w:ascii="Arial" w:hAnsi="Arial" w:cs="Arial"/>
          <w:sz w:val="16"/>
          <w:szCs w:val="16"/>
        </w:rPr>
        <w:t>Department</w:t>
      </w:r>
      <w:r w:rsidRPr="004C7942">
        <w:rPr>
          <w:rFonts w:ascii="Arial" w:hAnsi="Arial" w:cs="Arial"/>
          <w:sz w:val="16"/>
          <w:szCs w:val="16"/>
        </w:rPr>
        <w:t xml:space="preserve"> of Infrastructure, Transport, Regional Development and Communications and the Arts, which are then paid to I</w:t>
      </w:r>
      <w:r w:rsidR="009524E5" w:rsidRPr="004C7942">
        <w:rPr>
          <w:rFonts w:ascii="Arial" w:hAnsi="Arial" w:cs="Arial"/>
          <w:sz w:val="16"/>
          <w:szCs w:val="16"/>
        </w:rPr>
        <w:t xml:space="preserve">nfrastructure </w:t>
      </w:r>
      <w:r w:rsidRPr="004C7942">
        <w:rPr>
          <w:rFonts w:ascii="Arial" w:hAnsi="Arial" w:cs="Arial"/>
          <w:sz w:val="16"/>
          <w:szCs w:val="16"/>
        </w:rPr>
        <w:t>A</w:t>
      </w:r>
      <w:r w:rsidR="009524E5" w:rsidRPr="004C7942">
        <w:rPr>
          <w:rFonts w:ascii="Arial" w:hAnsi="Arial" w:cs="Arial"/>
          <w:sz w:val="16"/>
          <w:szCs w:val="16"/>
        </w:rPr>
        <w:t>ustralia</w:t>
      </w:r>
      <w:r w:rsidRPr="004C7942">
        <w:rPr>
          <w:rFonts w:ascii="Arial" w:hAnsi="Arial" w:cs="Arial"/>
          <w:sz w:val="16"/>
          <w:szCs w:val="16"/>
        </w:rPr>
        <w:t xml:space="preserve"> and are considered ‘</w:t>
      </w:r>
      <w:r w:rsidR="003352C5">
        <w:rPr>
          <w:rFonts w:ascii="Arial" w:hAnsi="Arial" w:cs="Arial"/>
          <w:sz w:val="16"/>
          <w:szCs w:val="16"/>
        </w:rPr>
        <w:t>Departmental</w:t>
      </w:r>
      <w:r w:rsidRPr="004C7942">
        <w:rPr>
          <w:rFonts w:ascii="Arial" w:hAnsi="Arial" w:cs="Arial"/>
          <w:sz w:val="16"/>
          <w:szCs w:val="16"/>
        </w:rPr>
        <w:t>’ for all purposes.</w:t>
      </w:r>
    </w:p>
    <w:p w14:paraId="7217B080" w14:textId="77777777" w:rsidR="009524E5" w:rsidRDefault="009524E5">
      <w:pPr>
        <w:spacing w:before="0" w:after="0" w:line="240" w:lineRule="auto"/>
        <w:rPr>
          <w:rFonts w:ascii="Arial" w:hAnsi="Arial" w:cs="Arial"/>
          <w:sz w:val="16"/>
          <w:szCs w:val="16"/>
        </w:rPr>
      </w:pPr>
      <w:r>
        <w:rPr>
          <w:rFonts w:ascii="Arial" w:hAnsi="Arial" w:cs="Arial"/>
          <w:sz w:val="16"/>
          <w:szCs w:val="16"/>
        </w:rPr>
        <w:br w:type="page"/>
      </w:r>
    </w:p>
    <w:p w14:paraId="67EB941F" w14:textId="2E7C7057" w:rsidR="00FA354D" w:rsidRPr="00640BD2" w:rsidRDefault="00FA354D" w:rsidP="00497492">
      <w:pPr>
        <w:pStyle w:val="Heading3-IA"/>
        <w:spacing w:before="360"/>
        <w:ind w:left="567" w:hanging="567"/>
      </w:pPr>
      <w:bookmarkStart w:id="14" w:name="_Toc165838205"/>
      <w:r w:rsidRPr="00640BD2">
        <w:lastRenderedPageBreak/>
        <w:t>1.3</w:t>
      </w:r>
      <w:r w:rsidRPr="00640BD2">
        <w:tab/>
        <w:t>Budget measures</w:t>
      </w:r>
      <w:bookmarkEnd w:id="14"/>
    </w:p>
    <w:p w14:paraId="0F04688D" w14:textId="0F729203" w:rsidR="009524E5" w:rsidRPr="004C7942" w:rsidRDefault="009524E5" w:rsidP="009524E5">
      <w:pPr>
        <w:pStyle w:val="EndnoteText"/>
        <w:rPr>
          <w:sz w:val="20"/>
        </w:rPr>
      </w:pPr>
      <w:r w:rsidRPr="004C7942">
        <w:rPr>
          <w:sz w:val="20"/>
        </w:rPr>
        <w:t>Budget measures in Part 1 relating to the Infrastructure Australia are detailed in the Budget Paper No. 2 and are summarised below.</w:t>
      </w:r>
    </w:p>
    <w:p w14:paraId="372B9F06" w14:textId="571FC65E" w:rsidR="009524E5" w:rsidRPr="004C7942" w:rsidRDefault="009524E5" w:rsidP="009524E5">
      <w:pPr>
        <w:pStyle w:val="TableHeading"/>
      </w:pPr>
      <w:r w:rsidRPr="004C7942">
        <w:t>Table 1.2: Infrastructure Australia 202</w:t>
      </w:r>
      <w:r w:rsidR="00B219F6" w:rsidRPr="004C7942">
        <w:t>5</w:t>
      </w:r>
      <w:r w:rsidRPr="004C7942">
        <w:t>–2</w:t>
      </w:r>
      <w:r w:rsidR="00B219F6" w:rsidRPr="004C7942">
        <w:t>6</w:t>
      </w:r>
      <w:r w:rsidRPr="004C7942">
        <w:t xml:space="preserve"> Budget measures</w:t>
      </w:r>
    </w:p>
    <w:p w14:paraId="1F806CB1" w14:textId="539D0FBD" w:rsidR="009524E5" w:rsidRPr="004C7942" w:rsidRDefault="009524E5" w:rsidP="009524E5">
      <w:pPr>
        <w:spacing w:before="120" w:after="20" w:line="240" w:lineRule="auto"/>
        <w:rPr>
          <w:rFonts w:ascii="Arial Bold" w:hAnsi="Arial Bold"/>
          <w:b/>
        </w:rPr>
      </w:pPr>
      <w:r w:rsidRPr="004C7942">
        <w:rPr>
          <w:rFonts w:ascii="Arial Bold" w:hAnsi="Arial Bold"/>
          <w:b/>
        </w:rPr>
        <w:t>Part 1: Measures announced since the 202</w:t>
      </w:r>
      <w:r w:rsidR="00B219F6" w:rsidRPr="004C7942">
        <w:rPr>
          <w:rFonts w:ascii="Arial Bold" w:hAnsi="Arial Bold"/>
          <w:b/>
        </w:rPr>
        <w:t>4</w:t>
      </w:r>
      <w:r w:rsidRPr="004C7942">
        <w:rPr>
          <w:rFonts w:ascii="Arial Bold" w:hAnsi="Arial Bold"/>
          <w:b/>
        </w:rPr>
        <w:t>–2</w:t>
      </w:r>
      <w:r w:rsidR="00B219F6" w:rsidRPr="004C7942">
        <w:rPr>
          <w:rFonts w:ascii="Arial Bold" w:hAnsi="Arial Bold"/>
          <w:b/>
        </w:rPr>
        <w:t>5</w:t>
      </w:r>
      <w:r w:rsidRPr="004C7942">
        <w:rPr>
          <w:rFonts w:ascii="Arial Bold" w:hAnsi="Arial Bold"/>
          <w:b/>
        </w:rPr>
        <w:t xml:space="preserve">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B219F6" w:rsidRPr="004C7942" w14:paraId="0547716E" w14:textId="77777777" w:rsidTr="00B219F6">
        <w:trPr>
          <w:trHeight w:val="204"/>
        </w:trPr>
        <w:tc>
          <w:tcPr>
            <w:tcW w:w="2608" w:type="dxa"/>
            <w:tcBorders>
              <w:top w:val="single" w:sz="4" w:space="0" w:color="auto"/>
              <w:left w:val="nil"/>
              <w:bottom w:val="nil"/>
              <w:right w:val="nil"/>
            </w:tcBorders>
            <w:shd w:val="clear" w:color="auto" w:fill="auto"/>
            <w:noWrap/>
            <w:vAlign w:val="bottom"/>
            <w:hideMark/>
          </w:tcPr>
          <w:p w14:paraId="1CD68F08" w14:textId="77777777" w:rsidR="00B219F6" w:rsidRPr="004C7942" w:rsidRDefault="00B219F6" w:rsidP="00B219F6">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14:paraId="6E39D961" w14:textId="77777777" w:rsidR="00B219F6" w:rsidRPr="004C7942" w:rsidRDefault="00B219F6" w:rsidP="00B219F6">
            <w:pPr>
              <w:spacing w:before="0" w:after="0" w:line="240" w:lineRule="auto"/>
              <w:rPr>
                <w:rFonts w:ascii="Arial" w:hAnsi="Arial" w:cs="Arial"/>
                <w:sz w:val="16"/>
                <w:szCs w:val="16"/>
              </w:rPr>
            </w:pPr>
            <w:r w:rsidRPr="004C7942">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3C555646" w14:textId="765D3FC8" w:rsidR="00B219F6" w:rsidRPr="004C7942" w:rsidRDefault="00B219F6" w:rsidP="00B219F6">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tcPr>
          <w:p w14:paraId="30DB94F8" w14:textId="7264E4B3" w:rsidR="00B219F6" w:rsidRPr="004C7942" w:rsidRDefault="00B219F6" w:rsidP="00B219F6">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tcPr>
          <w:p w14:paraId="72EECA41" w14:textId="23A68969" w:rsidR="00B219F6" w:rsidRPr="004C7942" w:rsidRDefault="00B219F6" w:rsidP="00B219F6">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tcPr>
          <w:p w14:paraId="4DD2097D" w14:textId="46F247A7" w:rsidR="00B219F6" w:rsidRPr="004C7942" w:rsidRDefault="00B219F6" w:rsidP="00B219F6">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tcPr>
          <w:p w14:paraId="0DC2CD37" w14:textId="2C5705F8" w:rsidR="00B219F6" w:rsidRPr="004C7942" w:rsidRDefault="00B219F6" w:rsidP="00B219F6">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$'000</w:t>
            </w:r>
          </w:p>
        </w:tc>
      </w:tr>
      <w:tr w:rsidR="00B219F6" w:rsidRPr="004C7942" w14:paraId="0FD4C294" w14:textId="77777777" w:rsidTr="00410692">
        <w:trPr>
          <w:trHeight w:val="204"/>
        </w:trPr>
        <w:tc>
          <w:tcPr>
            <w:tcW w:w="2608" w:type="dxa"/>
            <w:tcBorders>
              <w:top w:val="nil"/>
              <w:left w:val="nil"/>
              <w:bottom w:val="nil"/>
              <w:right w:val="nil"/>
            </w:tcBorders>
            <w:shd w:val="clear" w:color="auto" w:fill="auto"/>
            <w:noWrap/>
            <w:vAlign w:val="bottom"/>
            <w:hideMark/>
          </w:tcPr>
          <w:p w14:paraId="20D73027" w14:textId="77777777" w:rsidR="00B219F6" w:rsidRPr="004C7942" w:rsidRDefault="00B219F6" w:rsidP="00B219F6">
            <w:pPr>
              <w:spacing w:before="0" w:after="0" w:line="240" w:lineRule="auto"/>
              <w:rPr>
                <w:rFonts w:ascii="Arial" w:hAnsi="Arial" w:cs="Arial"/>
                <w:b/>
                <w:bCs/>
                <w:sz w:val="16"/>
                <w:szCs w:val="16"/>
              </w:rPr>
            </w:pPr>
            <w:r w:rsidRPr="004C7942">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14:paraId="7A5EFB91" w14:textId="77777777" w:rsidR="00B219F6" w:rsidRPr="004C7942" w:rsidRDefault="00B219F6" w:rsidP="00B219F6">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8E5DABF"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505889D"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0569D7E"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5E4B5ED"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224260F" w14:textId="77777777" w:rsidR="00B219F6" w:rsidRPr="004C7942" w:rsidRDefault="00B219F6" w:rsidP="00B219F6">
            <w:pPr>
              <w:spacing w:before="0" w:after="0" w:line="240" w:lineRule="auto"/>
              <w:jc w:val="right"/>
              <w:rPr>
                <w:rFonts w:ascii="Arial" w:hAnsi="Arial" w:cs="Arial"/>
                <w:sz w:val="16"/>
                <w:szCs w:val="16"/>
              </w:rPr>
            </w:pPr>
          </w:p>
        </w:tc>
      </w:tr>
      <w:tr w:rsidR="00B219F6" w:rsidRPr="004C7942" w14:paraId="0B6713F0" w14:textId="77777777" w:rsidTr="00410692">
        <w:trPr>
          <w:trHeight w:val="204"/>
        </w:trPr>
        <w:tc>
          <w:tcPr>
            <w:tcW w:w="2608" w:type="dxa"/>
            <w:tcBorders>
              <w:top w:val="nil"/>
              <w:left w:val="nil"/>
              <w:bottom w:val="nil"/>
              <w:right w:val="nil"/>
            </w:tcBorders>
            <w:shd w:val="clear" w:color="auto" w:fill="auto"/>
            <w:noWrap/>
            <w:vAlign w:val="bottom"/>
          </w:tcPr>
          <w:p w14:paraId="703952EC" w14:textId="2EF1E411" w:rsidR="00B219F6" w:rsidRPr="004C7942" w:rsidRDefault="00B219F6" w:rsidP="00B219F6">
            <w:pPr>
              <w:spacing w:before="0" w:after="0" w:line="240" w:lineRule="auto"/>
              <w:rPr>
                <w:rFonts w:ascii="Arial" w:hAnsi="Arial" w:cs="Arial"/>
                <w:bCs/>
                <w:sz w:val="16"/>
                <w:szCs w:val="16"/>
              </w:rPr>
            </w:pPr>
            <w:r w:rsidRPr="004C7942">
              <w:rPr>
                <w:rFonts w:ascii="Arial" w:hAnsi="Arial" w:cs="Arial"/>
                <w:bCs/>
                <w:sz w:val="16"/>
                <w:szCs w:val="16"/>
              </w:rPr>
              <w:t>Savings from External Labour - extension</w:t>
            </w:r>
            <w:r w:rsidRPr="004C7942">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14:paraId="622F198C" w14:textId="6C23EE88" w:rsidR="00B219F6" w:rsidRPr="004C7942" w:rsidRDefault="00B219F6" w:rsidP="00B219F6">
            <w:pPr>
              <w:spacing w:before="0" w:after="0" w:line="240" w:lineRule="auto"/>
              <w:jc w:val="center"/>
              <w:rPr>
                <w:rFonts w:ascii="Arial" w:hAnsi="Arial" w:cs="Arial"/>
                <w:bCs/>
                <w:sz w:val="16"/>
                <w:szCs w:val="16"/>
              </w:rPr>
            </w:pPr>
            <w:r w:rsidRPr="004C7942">
              <w:rPr>
                <w:rFonts w:ascii="Arial" w:hAnsi="Arial" w:cs="Arial"/>
                <w:bCs/>
                <w:sz w:val="16"/>
                <w:szCs w:val="16"/>
              </w:rPr>
              <w:t>1.1</w:t>
            </w:r>
          </w:p>
        </w:tc>
        <w:tc>
          <w:tcPr>
            <w:tcW w:w="850" w:type="dxa"/>
            <w:tcBorders>
              <w:left w:val="nil"/>
              <w:bottom w:val="nil"/>
              <w:right w:val="nil"/>
            </w:tcBorders>
            <w:shd w:val="clear" w:color="000000" w:fill="E6E6E6"/>
            <w:noWrap/>
            <w:vAlign w:val="bottom"/>
          </w:tcPr>
          <w:p w14:paraId="43F40CC4"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049A8D2E"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3826C63F"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429042FE" w14:textId="77777777" w:rsidR="00B219F6" w:rsidRPr="004C7942" w:rsidRDefault="00B219F6" w:rsidP="00B219F6">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3366D787" w14:textId="77777777" w:rsidR="00B219F6" w:rsidRPr="004C7942" w:rsidRDefault="00B219F6" w:rsidP="00B219F6">
            <w:pPr>
              <w:spacing w:before="0" w:after="0" w:line="240" w:lineRule="auto"/>
              <w:jc w:val="right"/>
              <w:rPr>
                <w:rFonts w:ascii="Arial" w:hAnsi="Arial" w:cs="Arial"/>
                <w:sz w:val="16"/>
                <w:szCs w:val="16"/>
              </w:rPr>
            </w:pPr>
          </w:p>
        </w:tc>
      </w:tr>
      <w:tr w:rsidR="004C7942" w:rsidRPr="004C7942" w14:paraId="387AE68A" w14:textId="77777777" w:rsidTr="00410692">
        <w:trPr>
          <w:trHeight w:val="204"/>
        </w:trPr>
        <w:tc>
          <w:tcPr>
            <w:tcW w:w="2608" w:type="dxa"/>
            <w:tcBorders>
              <w:top w:val="nil"/>
              <w:left w:val="nil"/>
              <w:bottom w:val="nil"/>
              <w:right w:val="nil"/>
            </w:tcBorders>
            <w:shd w:val="clear" w:color="auto" w:fill="auto"/>
            <w:noWrap/>
            <w:vAlign w:val="bottom"/>
          </w:tcPr>
          <w:p w14:paraId="0C749304" w14:textId="176F3654" w:rsidR="004C7942" w:rsidRPr="004C7942" w:rsidRDefault="003352C5" w:rsidP="004C7942">
            <w:pPr>
              <w:spacing w:before="0" w:after="0" w:line="240" w:lineRule="auto"/>
              <w:ind w:left="113"/>
              <w:rPr>
                <w:rFonts w:ascii="Arial" w:hAnsi="Arial" w:cs="Arial"/>
                <w:bCs/>
                <w:sz w:val="16"/>
                <w:szCs w:val="16"/>
              </w:rPr>
            </w:pPr>
            <w:r>
              <w:rPr>
                <w:rFonts w:ascii="Arial" w:hAnsi="Arial" w:cs="Arial"/>
                <w:color w:val="000000"/>
                <w:sz w:val="16"/>
                <w:szCs w:val="16"/>
              </w:rPr>
              <w:t>Departmental</w:t>
            </w:r>
            <w:r w:rsidR="004C7942" w:rsidRPr="004C7942">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6F38B619" w14:textId="77777777" w:rsidR="004C7942" w:rsidRPr="004C7942" w:rsidRDefault="004C7942" w:rsidP="004C7942">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6DAEDF61" w14:textId="77777777"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left w:val="nil"/>
              <w:bottom w:val="nil"/>
              <w:right w:val="nil"/>
            </w:tcBorders>
            <w:shd w:val="clear" w:color="auto" w:fill="auto"/>
            <w:noWrap/>
            <w:vAlign w:val="bottom"/>
          </w:tcPr>
          <w:p w14:paraId="68BC87A5" w14:textId="1DC510CF"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left w:val="nil"/>
              <w:bottom w:val="nil"/>
              <w:right w:val="nil"/>
            </w:tcBorders>
            <w:shd w:val="clear" w:color="000000" w:fill="E6E6E6"/>
            <w:noWrap/>
            <w:vAlign w:val="bottom"/>
          </w:tcPr>
          <w:p w14:paraId="23ACA514" w14:textId="1EDBE739"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left w:val="nil"/>
              <w:bottom w:val="nil"/>
              <w:right w:val="nil"/>
            </w:tcBorders>
            <w:shd w:val="clear" w:color="auto" w:fill="auto"/>
            <w:noWrap/>
            <w:vAlign w:val="bottom"/>
          </w:tcPr>
          <w:p w14:paraId="3145A577" w14:textId="32EA3CA3"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left w:val="nil"/>
              <w:bottom w:val="nil"/>
              <w:right w:val="nil"/>
            </w:tcBorders>
            <w:shd w:val="clear" w:color="000000" w:fill="E6E6E6"/>
            <w:noWrap/>
            <w:vAlign w:val="bottom"/>
          </w:tcPr>
          <w:p w14:paraId="57E99EB8" w14:textId="3A39E39B"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(183)</w:t>
            </w:r>
          </w:p>
        </w:tc>
      </w:tr>
      <w:tr w:rsidR="004C7942" w:rsidRPr="004C7942" w14:paraId="3D138CA6" w14:textId="77777777" w:rsidTr="00410692">
        <w:trPr>
          <w:trHeight w:val="204"/>
        </w:trPr>
        <w:tc>
          <w:tcPr>
            <w:tcW w:w="2608" w:type="dxa"/>
            <w:tcBorders>
              <w:top w:val="nil"/>
              <w:left w:val="nil"/>
              <w:bottom w:val="nil"/>
              <w:right w:val="nil"/>
            </w:tcBorders>
            <w:shd w:val="clear" w:color="auto" w:fill="auto"/>
            <w:noWrap/>
            <w:vAlign w:val="bottom"/>
          </w:tcPr>
          <w:p w14:paraId="5DEB12F9"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14:paraId="1E43C84E" w14:textId="77777777" w:rsidR="004C7942" w:rsidRPr="004C7942" w:rsidRDefault="004C7942" w:rsidP="004C7942">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296816C1" w14:textId="77777777"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left w:val="nil"/>
              <w:bottom w:val="nil"/>
              <w:right w:val="nil"/>
            </w:tcBorders>
            <w:shd w:val="clear" w:color="auto" w:fill="auto"/>
            <w:noWrap/>
            <w:vAlign w:val="bottom"/>
          </w:tcPr>
          <w:p w14:paraId="193DA95B" w14:textId="47715D86"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left w:val="nil"/>
              <w:bottom w:val="nil"/>
              <w:right w:val="nil"/>
            </w:tcBorders>
            <w:shd w:val="clear" w:color="000000" w:fill="E6E6E6"/>
            <w:noWrap/>
            <w:vAlign w:val="bottom"/>
          </w:tcPr>
          <w:p w14:paraId="6D96C738" w14:textId="097CFBDB"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left w:val="nil"/>
              <w:bottom w:val="nil"/>
              <w:right w:val="nil"/>
            </w:tcBorders>
            <w:shd w:val="clear" w:color="auto" w:fill="auto"/>
            <w:noWrap/>
            <w:vAlign w:val="bottom"/>
          </w:tcPr>
          <w:p w14:paraId="4C65B444" w14:textId="2CC60CD8"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left w:val="nil"/>
              <w:bottom w:val="nil"/>
              <w:right w:val="nil"/>
            </w:tcBorders>
            <w:shd w:val="clear" w:color="000000" w:fill="E6E6E6"/>
            <w:noWrap/>
            <w:vAlign w:val="bottom"/>
          </w:tcPr>
          <w:p w14:paraId="74C17788" w14:textId="5CEE9820"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(183)</w:t>
            </w:r>
          </w:p>
        </w:tc>
      </w:tr>
      <w:tr w:rsidR="004C7942" w:rsidRPr="004C7942" w14:paraId="0A940972" w14:textId="77777777" w:rsidTr="00410692">
        <w:trPr>
          <w:trHeight w:val="204"/>
        </w:trPr>
        <w:tc>
          <w:tcPr>
            <w:tcW w:w="2608" w:type="dxa"/>
            <w:tcBorders>
              <w:top w:val="nil"/>
              <w:left w:val="nil"/>
              <w:bottom w:val="nil"/>
              <w:right w:val="nil"/>
            </w:tcBorders>
            <w:shd w:val="clear" w:color="auto" w:fill="auto"/>
            <w:vAlign w:val="bottom"/>
          </w:tcPr>
          <w:p w14:paraId="32079A0B" w14:textId="77777777" w:rsidR="004C7942" w:rsidRPr="004C7942" w:rsidRDefault="004C7942" w:rsidP="004C7942">
            <w:pPr>
              <w:spacing w:before="0" w:after="0" w:line="240" w:lineRule="auto"/>
              <w:rPr>
                <w:rFonts w:ascii="Arial" w:hAnsi="Arial" w:cs="Arial"/>
                <w:b/>
                <w:sz w:val="16"/>
                <w:szCs w:val="16"/>
              </w:rPr>
            </w:pPr>
            <w:r w:rsidRPr="004C7942">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14:paraId="68AD5463" w14:textId="77777777" w:rsidR="004C7942" w:rsidRPr="004C7942" w:rsidRDefault="004C7942" w:rsidP="004C7942">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5C8B433D" w14:textId="77777777" w:rsidR="004C7942" w:rsidRPr="004C7942" w:rsidRDefault="004C7942" w:rsidP="004C794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59F5CDD" w14:textId="77777777" w:rsidR="004C7942" w:rsidRPr="004C7942" w:rsidRDefault="004C7942" w:rsidP="004C794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2DBA8518" w14:textId="77777777" w:rsidR="004C7942" w:rsidRPr="004C7942" w:rsidRDefault="004C7942" w:rsidP="004C794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6790B864" w14:textId="77777777" w:rsidR="004C7942" w:rsidRPr="004C7942" w:rsidRDefault="004C7942" w:rsidP="004C794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5FEC9E4" w14:textId="77777777" w:rsidR="004C7942" w:rsidRPr="004C7942" w:rsidRDefault="004C7942" w:rsidP="004C7942">
            <w:pPr>
              <w:spacing w:before="0" w:after="0" w:line="240" w:lineRule="auto"/>
              <w:jc w:val="right"/>
              <w:rPr>
                <w:rFonts w:ascii="Arial" w:hAnsi="Arial" w:cs="Arial"/>
                <w:sz w:val="16"/>
                <w:szCs w:val="16"/>
              </w:rPr>
            </w:pPr>
          </w:p>
        </w:tc>
      </w:tr>
      <w:tr w:rsidR="004C7942" w:rsidRPr="004C7942" w14:paraId="5675F563" w14:textId="77777777" w:rsidTr="00410692">
        <w:trPr>
          <w:trHeight w:val="204"/>
        </w:trPr>
        <w:tc>
          <w:tcPr>
            <w:tcW w:w="2608" w:type="dxa"/>
            <w:tcBorders>
              <w:top w:val="nil"/>
              <w:left w:val="nil"/>
              <w:bottom w:val="nil"/>
              <w:right w:val="nil"/>
            </w:tcBorders>
            <w:shd w:val="clear" w:color="auto" w:fill="auto"/>
            <w:vAlign w:val="bottom"/>
            <w:hideMark/>
          </w:tcPr>
          <w:p w14:paraId="6C3B172E" w14:textId="03C31AC5" w:rsidR="004C7942" w:rsidRPr="004C7942" w:rsidRDefault="003352C5" w:rsidP="004C7942">
            <w:pPr>
              <w:spacing w:before="0" w:after="0" w:line="240" w:lineRule="auto"/>
              <w:ind w:left="113"/>
              <w:rPr>
                <w:rFonts w:ascii="Arial" w:hAnsi="Arial" w:cs="Arial"/>
                <w:sz w:val="16"/>
                <w:szCs w:val="16"/>
              </w:rPr>
            </w:pPr>
            <w:r>
              <w:rPr>
                <w:rFonts w:ascii="Arial" w:hAnsi="Arial" w:cs="Arial"/>
                <w:color w:val="000000"/>
                <w:sz w:val="16"/>
                <w:szCs w:val="16"/>
              </w:rPr>
              <w:t>Departmental</w:t>
            </w:r>
            <w:r w:rsidR="004C7942" w:rsidRPr="004C7942">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1F52577" w14:textId="77777777" w:rsidR="004C7942" w:rsidRPr="004C7942" w:rsidRDefault="004C7942" w:rsidP="004C7942">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4AB137C" w14:textId="77777777"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21739F0" w14:textId="05B75F43"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60168760" w14:textId="3CBC6CCD"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B5449E3" w14:textId="02A77295"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4BA36567" w14:textId="5E2B67E6"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(183)</w:t>
            </w:r>
          </w:p>
        </w:tc>
      </w:tr>
      <w:tr w:rsidR="004C7942" w:rsidRPr="004C7942" w14:paraId="28C07F13" w14:textId="77777777" w:rsidTr="00410692">
        <w:trPr>
          <w:trHeight w:val="204"/>
        </w:trPr>
        <w:tc>
          <w:tcPr>
            <w:tcW w:w="2608" w:type="dxa"/>
            <w:tcBorders>
              <w:top w:val="nil"/>
              <w:left w:val="nil"/>
              <w:bottom w:val="single" w:sz="4" w:space="0" w:color="auto"/>
              <w:right w:val="nil"/>
            </w:tcBorders>
            <w:shd w:val="clear" w:color="auto" w:fill="auto"/>
            <w:noWrap/>
            <w:vAlign w:val="bottom"/>
            <w:hideMark/>
          </w:tcPr>
          <w:p w14:paraId="0653B00F"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14:paraId="5395E1CD" w14:textId="77777777" w:rsidR="004C7942" w:rsidRPr="004C7942" w:rsidRDefault="004C7942" w:rsidP="004C7942">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380451B6" w14:textId="77777777"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18BF7D99" w14:textId="0EEA6283"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05421F31" w14:textId="4F237D4E"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54B34EA6" w14:textId="6D5ECF69"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7DDD2AD1" w14:textId="0DA941DE" w:rsidR="004C7942" w:rsidRPr="004C7942" w:rsidRDefault="004C7942" w:rsidP="004C7942">
            <w:pPr>
              <w:spacing w:before="0" w:after="0" w:line="240" w:lineRule="auto"/>
              <w:jc w:val="right"/>
              <w:rPr>
                <w:rFonts w:ascii="Arial" w:hAnsi="Arial" w:cs="Arial"/>
                <w:b/>
                <w:sz w:val="16"/>
                <w:szCs w:val="16"/>
              </w:rPr>
            </w:pPr>
            <w:r w:rsidRPr="004C7942">
              <w:rPr>
                <w:rFonts w:ascii="Arial" w:hAnsi="Arial" w:cs="Arial"/>
                <w:b/>
                <w:sz w:val="16"/>
                <w:szCs w:val="16"/>
              </w:rPr>
              <w:t>(183)</w:t>
            </w:r>
          </w:p>
        </w:tc>
      </w:tr>
    </w:tbl>
    <w:p w14:paraId="7BD7CC26" w14:textId="427F6790" w:rsidR="009524E5" w:rsidRPr="004C7942" w:rsidRDefault="009524E5" w:rsidP="009524E5">
      <w:pPr>
        <w:spacing w:before="30" w:after="0" w:line="240" w:lineRule="auto"/>
        <w:rPr>
          <w:rFonts w:ascii="Arial" w:hAnsi="Arial" w:cs="Arial"/>
          <w:sz w:val="16"/>
          <w:szCs w:val="16"/>
        </w:rPr>
      </w:pPr>
      <w:r w:rsidRPr="004C7942">
        <w:rPr>
          <w:rFonts w:ascii="Arial" w:hAnsi="Arial" w:cs="Arial"/>
          <w:sz w:val="16"/>
          <w:szCs w:val="16"/>
        </w:rPr>
        <w:t>Prepared on a Government Finance Statistics (Underlying Cash) basis. Figures displayed as a negative (</w:t>
      </w:r>
      <w:r w:rsidRPr="004C7942">
        <w:rPr>
          <w:rFonts w:ascii="Arial" w:hAnsi="Arial" w:cs="Arial"/>
          <w:sz w:val="16"/>
          <w:szCs w:val="16"/>
        </w:rPr>
        <w:noBreakHyphen/>
        <w:t>) represent a decrease in funds and a positive (+) represent an increase in funds.</w:t>
      </w:r>
    </w:p>
    <w:p w14:paraId="5746405E" w14:textId="77777777" w:rsidR="001B736E" w:rsidRPr="004C7942" w:rsidRDefault="001B736E" w:rsidP="00B43339">
      <w:pPr>
        <w:pStyle w:val="ListParagraph"/>
        <w:numPr>
          <w:ilvl w:val="0"/>
          <w:numId w:val="166"/>
        </w:numPr>
        <w:spacing w:before="30" w:after="0" w:line="240" w:lineRule="auto"/>
        <w:ind w:left="360"/>
        <w:rPr>
          <w:rFonts w:ascii="Arial" w:hAnsi="Arial" w:cs="Arial"/>
          <w:color w:val="000000"/>
          <w:sz w:val="16"/>
          <w:szCs w:val="16"/>
        </w:rPr>
      </w:pPr>
      <w:r w:rsidRPr="004C7942">
        <w:rPr>
          <w:rFonts w:ascii="Arial" w:hAnsi="Arial" w:cs="Arial"/>
          <w:sz w:val="16"/>
          <w:szCs w:val="16"/>
        </w:rPr>
        <w:t>This is a cross portfolio measure. The full measure description and package details appear in the Budget Paper No. 2 as ‘various agencies’ under the cross portfolio section.</w:t>
      </w:r>
    </w:p>
    <w:p w14:paraId="2CB4DCC0" w14:textId="77777777" w:rsidR="001B736E" w:rsidRPr="00706A65" w:rsidRDefault="001B736E" w:rsidP="009524E5">
      <w:pPr>
        <w:spacing w:before="30" w:after="0" w:line="240" w:lineRule="auto"/>
        <w:rPr>
          <w:rFonts w:ascii="Arial" w:hAnsi="Arial" w:cs="Arial"/>
          <w:color w:val="000000"/>
          <w:sz w:val="16"/>
          <w:szCs w:val="16"/>
        </w:rPr>
      </w:pPr>
    </w:p>
    <w:p w14:paraId="7F6EC9D4" w14:textId="77777777" w:rsidR="00FA354D" w:rsidRDefault="00FA354D" w:rsidP="00FA354D">
      <w:pPr>
        <w:spacing w:before="0" w:after="0" w:line="240" w:lineRule="auto"/>
        <w:rPr>
          <w:rFonts w:eastAsia="Book Antiqua" w:cs="Book Antiqua"/>
          <w:szCs w:val="19"/>
          <w:lang w:val="en-US" w:eastAsia="en-US"/>
        </w:rPr>
      </w:pPr>
      <w:r>
        <w:rPr>
          <w:i/>
          <w:iCs/>
        </w:rPr>
        <w:br w:type="page"/>
      </w:r>
    </w:p>
    <w:p w14:paraId="5841D48F" w14:textId="3E86436E" w:rsidR="00FA354D" w:rsidRPr="00810C6A" w:rsidRDefault="00FA354D" w:rsidP="00FA354D">
      <w:pPr>
        <w:pStyle w:val="Heading2-IA"/>
      </w:pPr>
      <w:bookmarkStart w:id="15" w:name="_Toc165838206"/>
      <w:r w:rsidRPr="00810C6A">
        <w:lastRenderedPageBreak/>
        <w:t>Section 2: Outcomes and planned performance</w:t>
      </w:r>
      <w:bookmarkEnd w:id="15"/>
    </w:p>
    <w:p w14:paraId="7084463E" w14:textId="77777777" w:rsidR="00FA354D" w:rsidRPr="004C7942" w:rsidRDefault="00FA354D" w:rsidP="00FA354D">
      <w:pPr>
        <w:rPr>
          <w:sz w:val="20"/>
        </w:rPr>
      </w:pPr>
      <w:r w:rsidRPr="004C7942">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D879FA1" w14:textId="77777777" w:rsidR="00FA354D" w:rsidRPr="004C7942" w:rsidRDefault="00FA354D" w:rsidP="00FA354D">
      <w:pPr>
        <w:rPr>
          <w:i/>
          <w:sz w:val="20"/>
        </w:rPr>
      </w:pPr>
      <w:r w:rsidRPr="004C7942">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FA354D" w:rsidRPr="001C6402" w14:paraId="46D1D753" w14:textId="77777777" w:rsidTr="00FA354D">
        <w:tc>
          <w:tcPr>
            <w:tcW w:w="7700" w:type="dxa"/>
            <w:shd w:val="clear" w:color="auto" w:fill="auto"/>
          </w:tcPr>
          <w:p w14:paraId="77039490" w14:textId="77777777" w:rsidR="00FA354D" w:rsidRPr="004C7942" w:rsidRDefault="00FA354D" w:rsidP="00FA354D">
            <w:pPr>
              <w:spacing w:before="120" w:after="120" w:line="240" w:lineRule="auto"/>
              <w:jc w:val="both"/>
              <w:rPr>
                <w:b/>
              </w:rPr>
            </w:pPr>
            <w:r w:rsidRPr="004C7942">
              <w:rPr>
                <w:b/>
              </w:rPr>
              <w:t>Note:</w:t>
            </w:r>
          </w:p>
          <w:p w14:paraId="5F67578A" w14:textId="77777777" w:rsidR="00FA354D" w:rsidRPr="004C7942" w:rsidRDefault="00FA354D" w:rsidP="00FA354D">
            <w:pPr>
              <w:rPr>
                <w:sz w:val="20"/>
              </w:rPr>
            </w:pPr>
            <w:r w:rsidRPr="004C7942">
              <w:rPr>
                <w:sz w:val="20"/>
              </w:rPr>
              <w:t xml:space="preserve">Performance reporting requirements in the Portfolio Budget Statements are part of the Commonwealth performance framework established by the </w:t>
            </w:r>
            <w:r w:rsidRPr="004C7942">
              <w:rPr>
                <w:i/>
                <w:sz w:val="20"/>
              </w:rPr>
              <w:t>Public Governance, Performance and Accountability Act 2013</w:t>
            </w:r>
            <w:r w:rsidRPr="004C7942">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7BB08E8" w14:textId="0AE2FB79" w:rsidR="004C7942" w:rsidRPr="00E916B6" w:rsidRDefault="004C7942" w:rsidP="004C7942">
            <w:pPr>
              <w:rPr>
                <w:sz w:val="20"/>
              </w:rPr>
            </w:pPr>
            <w:r w:rsidRPr="00E916B6">
              <w:rPr>
                <w:sz w:val="20"/>
              </w:rPr>
              <w:t xml:space="preserve">The most recent corporate plan for IA can be found at: </w:t>
            </w:r>
            <w:hyperlink r:id="rId24" w:history="1">
              <w:r w:rsidRPr="00E916B6">
                <w:rPr>
                  <w:rStyle w:val="Hyperlink"/>
                  <w:sz w:val="20"/>
                </w:rPr>
                <w:t>https://www.infrastructureaustralia.gov.au/corporate-plan</w:t>
              </w:r>
            </w:hyperlink>
          </w:p>
          <w:p w14:paraId="0F40DFAE" w14:textId="40D5F5AC" w:rsidR="00FA354D" w:rsidRPr="001C6402" w:rsidRDefault="004C7942" w:rsidP="004C7942">
            <w:r w:rsidRPr="00E916B6">
              <w:rPr>
                <w:sz w:val="20"/>
              </w:rPr>
              <w:t xml:space="preserve">The most recent annual performance statement can be found at: </w:t>
            </w:r>
            <w:hyperlink r:id="rId25" w:history="1">
              <w:r w:rsidRPr="00E916B6">
                <w:rPr>
                  <w:rStyle w:val="Hyperlink"/>
                  <w:sz w:val="20"/>
                </w:rPr>
                <w:t>https://www.infrastructureaustralia.gov.au/annual-reports</w:t>
              </w:r>
            </w:hyperlink>
          </w:p>
        </w:tc>
      </w:tr>
    </w:tbl>
    <w:p w14:paraId="7B3E5F12" w14:textId="77777777" w:rsidR="00FA354D" w:rsidRDefault="00FA354D" w:rsidP="00FA354D">
      <w:pPr>
        <w:spacing w:before="0" w:after="0" w:line="240" w:lineRule="auto"/>
        <w:rPr>
          <w:rFonts w:ascii="Arial Bold" w:hAnsi="Arial Bold"/>
          <w:sz w:val="22"/>
          <w:highlight w:val="yellow"/>
        </w:rPr>
      </w:pPr>
      <w:r>
        <w:rPr>
          <w:b/>
          <w:highlight w:val="yellow"/>
        </w:rPr>
        <w:br w:type="page"/>
      </w:r>
    </w:p>
    <w:p w14:paraId="22D2202A" w14:textId="097EA875" w:rsidR="00FA354D" w:rsidRPr="00831489" w:rsidRDefault="00FA354D" w:rsidP="00FA354D">
      <w:pPr>
        <w:pStyle w:val="Heading3-IA"/>
        <w:spacing w:after="240"/>
      </w:pPr>
      <w:bookmarkStart w:id="16" w:name="_Toc165838207"/>
      <w:r>
        <w:lastRenderedPageBreak/>
        <w:t>2.1</w:t>
      </w:r>
      <w:r w:rsidRPr="00F743D8">
        <w:t xml:space="preserve"> </w:t>
      </w:r>
      <w:r w:rsidRPr="00F743D8">
        <w:tab/>
        <w:t xml:space="preserve">Budgeted expenses and performance for Outcome </w:t>
      </w:r>
      <w:r>
        <w:t>1</w:t>
      </w:r>
      <w:bookmarkEnd w:id="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FA354D" w:rsidRPr="004C7942" w14:paraId="1E1BC46A" w14:textId="77777777" w:rsidTr="00FA354D">
        <w:tc>
          <w:tcPr>
            <w:tcW w:w="7713" w:type="dxa"/>
            <w:shd w:val="clear" w:color="auto" w:fill="E6E6E6"/>
          </w:tcPr>
          <w:p w14:paraId="7228B103" w14:textId="77777777" w:rsidR="00FA354D" w:rsidRPr="004C7942" w:rsidRDefault="00FA354D" w:rsidP="00FA354D">
            <w:pPr>
              <w:pStyle w:val="TableColumnHeadingLeft"/>
              <w:rPr>
                <w:sz w:val="20"/>
              </w:rPr>
            </w:pPr>
            <w:r w:rsidRPr="004C7942">
              <w:rPr>
                <w:rFonts w:ascii="Arial" w:hAnsi="Arial" w:cs="Arial"/>
                <w:sz w:val="20"/>
              </w:rPr>
              <w:t>Outcome 1: 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2A4AE7F5" w14:textId="77777777" w:rsidR="00FA354D" w:rsidRPr="004C7942" w:rsidRDefault="00FA354D" w:rsidP="006302CC">
      <w:pPr>
        <w:rPr>
          <w:rFonts w:ascii="Arial Bold" w:hAnsi="Arial Bold" w:cs="Arial"/>
          <w:b/>
          <w:sz w:val="20"/>
        </w:rPr>
      </w:pPr>
      <w:r w:rsidRPr="004C7942">
        <w:rPr>
          <w:rFonts w:ascii="Arial Bold" w:hAnsi="Arial Bold" w:cs="Arial"/>
          <w:b/>
          <w:sz w:val="20"/>
        </w:rPr>
        <w:t>Budgeted expenses for Outcome 1</w:t>
      </w:r>
    </w:p>
    <w:p w14:paraId="16B1667E" w14:textId="77777777" w:rsidR="00FA354D" w:rsidRPr="004C7942" w:rsidRDefault="00FA354D" w:rsidP="00FA354D">
      <w:pPr>
        <w:rPr>
          <w:sz w:val="20"/>
        </w:rPr>
      </w:pPr>
      <w:r w:rsidRPr="004C7942">
        <w:rPr>
          <w:sz w:val="20"/>
        </w:rPr>
        <w:t>This table shows how much IA intends to spend (on an accrual basis) on achieving the outcome, broken down by program.</w:t>
      </w:r>
    </w:p>
    <w:p w14:paraId="2EB5A400" w14:textId="77777777" w:rsidR="00FA354D" w:rsidRPr="004C7942" w:rsidRDefault="00FA354D" w:rsidP="00FA354D">
      <w:pPr>
        <w:pStyle w:val="TableHeading"/>
        <w:spacing w:before="240" w:after="120"/>
      </w:pPr>
      <w:r w:rsidRPr="004C7942">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603CF4" w:rsidRPr="004C7942" w14:paraId="116CB34C" w14:textId="77777777" w:rsidTr="00B219F6">
        <w:trPr>
          <w:trHeight w:val="204"/>
        </w:trPr>
        <w:tc>
          <w:tcPr>
            <w:tcW w:w="2100" w:type="pct"/>
            <w:tcBorders>
              <w:top w:val="single" w:sz="4" w:space="0" w:color="auto"/>
              <w:left w:val="nil"/>
              <w:bottom w:val="nil"/>
              <w:right w:val="nil"/>
            </w:tcBorders>
            <w:shd w:val="clear" w:color="auto" w:fill="auto"/>
            <w:vAlign w:val="center"/>
            <w:hideMark/>
          </w:tcPr>
          <w:p w14:paraId="09615EA2" w14:textId="77777777" w:rsidR="00603CF4" w:rsidRPr="004C7942" w:rsidRDefault="00603CF4" w:rsidP="00603CF4">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7781D07" w14:textId="6AB19C5C"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Estimated</w:t>
            </w:r>
            <w:r w:rsidRPr="004C7942">
              <w:rPr>
                <w:rFonts w:ascii="Arial" w:hAnsi="Arial" w:cs="Arial"/>
                <w:sz w:val="16"/>
                <w:szCs w:val="16"/>
              </w:rPr>
              <w:br/>
              <w:t>actual</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55FE8DE0" w14:textId="338C9861"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Budget</w:t>
            </w:r>
            <w:r w:rsidRPr="004C7942">
              <w:rPr>
                <w:rFonts w:ascii="Arial" w:hAnsi="Arial" w:cs="Arial"/>
                <w:sz w:val="16"/>
                <w:szCs w:val="16"/>
              </w:rPr>
              <w:br/>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195BFCA" w14:textId="3366F365"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8EB7410" w14:textId="437446A9"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4BD04ED2" w14:textId="290B9072"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r>
      <w:tr w:rsidR="00FA354D" w:rsidRPr="004C7942" w14:paraId="00DF8D7F"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2271865" w14:textId="77777777"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Program 1.1: Infrastructure Australia</w:t>
            </w:r>
          </w:p>
        </w:tc>
      </w:tr>
      <w:tr w:rsidR="00FA354D" w:rsidRPr="004C7942" w14:paraId="378E7AA6" w14:textId="77777777" w:rsidTr="00FA354D">
        <w:trPr>
          <w:trHeight w:val="204"/>
        </w:trPr>
        <w:tc>
          <w:tcPr>
            <w:tcW w:w="2100" w:type="pct"/>
            <w:tcBorders>
              <w:top w:val="nil"/>
              <w:left w:val="nil"/>
              <w:bottom w:val="nil"/>
              <w:right w:val="nil"/>
            </w:tcBorders>
            <w:shd w:val="clear" w:color="auto" w:fill="auto"/>
            <w:noWrap/>
            <w:vAlign w:val="center"/>
            <w:hideMark/>
          </w:tcPr>
          <w:p w14:paraId="1B43FA76" w14:textId="77777777" w:rsidR="00FA354D" w:rsidRPr="004C7942" w:rsidRDefault="00FA354D" w:rsidP="00FA354D">
            <w:pPr>
              <w:spacing w:before="0" w:after="0" w:line="240" w:lineRule="auto"/>
              <w:rPr>
                <w:rFonts w:ascii="Arial" w:hAnsi="Arial" w:cs="Arial"/>
                <w:sz w:val="16"/>
                <w:szCs w:val="16"/>
              </w:rPr>
            </w:pPr>
            <w:r w:rsidRPr="004C7942">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19EC32A0"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55ED41F"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1FC56A1"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8944ADE"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C09304A" w14:textId="77777777" w:rsidR="00FA354D" w:rsidRPr="004C7942" w:rsidRDefault="00FA354D" w:rsidP="00FA354D">
            <w:pPr>
              <w:spacing w:before="0" w:after="0" w:line="240" w:lineRule="auto"/>
              <w:jc w:val="right"/>
              <w:rPr>
                <w:rFonts w:ascii="Times New Roman" w:hAnsi="Times New Roman"/>
                <w:sz w:val="20"/>
              </w:rPr>
            </w:pPr>
          </w:p>
        </w:tc>
      </w:tr>
      <w:tr w:rsidR="004C7942" w:rsidRPr="004C7942" w14:paraId="20C87F10" w14:textId="77777777" w:rsidTr="00FA354D">
        <w:trPr>
          <w:trHeight w:val="204"/>
        </w:trPr>
        <w:tc>
          <w:tcPr>
            <w:tcW w:w="2100" w:type="pct"/>
            <w:tcBorders>
              <w:top w:val="nil"/>
              <w:left w:val="nil"/>
              <w:bottom w:val="nil"/>
              <w:right w:val="nil"/>
            </w:tcBorders>
            <w:shd w:val="clear" w:color="auto" w:fill="auto"/>
            <w:vAlign w:val="center"/>
            <w:hideMark/>
          </w:tcPr>
          <w:p w14:paraId="7003FE34" w14:textId="0BDE90A0"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Ordinary</w:t>
            </w:r>
            <w:r w:rsidRPr="004C7942">
              <w:rPr>
                <w:rFonts w:ascii="Arial" w:hAnsi="Arial" w:cs="Arial"/>
                <w:sz w:val="16"/>
                <w:szCs w:val="16"/>
              </w:rPr>
              <w:t xml:space="preserve"> annual services (Appropriation Bill </w:t>
            </w:r>
            <w:r>
              <w:rPr>
                <w:rFonts w:ascii="Arial" w:hAnsi="Arial" w:cs="Arial"/>
                <w:sz w:val="16"/>
                <w:szCs w:val="16"/>
              </w:rPr>
              <w:t>(</w:t>
            </w:r>
            <w:r w:rsidRPr="004C7942">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r w:rsidRPr="00493064">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643C112A" w14:textId="1BCC9A42" w:rsidR="004C7942" w:rsidRPr="004C7942" w:rsidRDefault="004C7942" w:rsidP="004C7942">
            <w:pPr>
              <w:spacing w:before="0" w:after="0" w:line="240" w:lineRule="auto"/>
              <w:jc w:val="right"/>
              <w:rPr>
                <w:rFonts w:ascii="Arial" w:hAnsi="Arial" w:cs="Arial"/>
                <w:color w:val="000000"/>
                <w:sz w:val="16"/>
                <w:szCs w:val="16"/>
              </w:rPr>
            </w:pPr>
            <w:r w:rsidRPr="00493064">
              <w:rPr>
                <w:rFonts w:ascii="Arial" w:hAnsi="Arial" w:cs="Arial"/>
                <w:color w:val="000000"/>
                <w:sz w:val="16"/>
                <w:szCs w:val="16"/>
              </w:rPr>
              <w:t>13,247</w:t>
            </w:r>
          </w:p>
        </w:tc>
        <w:tc>
          <w:tcPr>
            <w:tcW w:w="574" w:type="pct"/>
            <w:tcBorders>
              <w:top w:val="nil"/>
              <w:left w:val="nil"/>
              <w:bottom w:val="nil"/>
              <w:right w:val="nil"/>
            </w:tcBorders>
            <w:shd w:val="clear" w:color="000000" w:fill="E6E6E6"/>
            <w:noWrap/>
            <w:vAlign w:val="bottom"/>
            <w:hideMark/>
          </w:tcPr>
          <w:p w14:paraId="6F6B7742" w14:textId="134694B2"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13,395</w:t>
            </w:r>
          </w:p>
        </w:tc>
        <w:tc>
          <w:tcPr>
            <w:tcW w:w="574" w:type="pct"/>
            <w:tcBorders>
              <w:top w:val="nil"/>
              <w:left w:val="nil"/>
              <w:bottom w:val="nil"/>
              <w:right w:val="nil"/>
            </w:tcBorders>
            <w:shd w:val="clear" w:color="auto" w:fill="auto"/>
            <w:noWrap/>
            <w:vAlign w:val="bottom"/>
            <w:hideMark/>
          </w:tcPr>
          <w:p w14:paraId="08CB1A9D" w14:textId="15C3256B"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13,612</w:t>
            </w:r>
          </w:p>
        </w:tc>
        <w:tc>
          <w:tcPr>
            <w:tcW w:w="574" w:type="pct"/>
            <w:tcBorders>
              <w:top w:val="nil"/>
              <w:left w:val="nil"/>
              <w:bottom w:val="nil"/>
              <w:right w:val="nil"/>
            </w:tcBorders>
            <w:shd w:val="clear" w:color="auto" w:fill="auto"/>
            <w:noWrap/>
            <w:vAlign w:val="bottom"/>
            <w:hideMark/>
          </w:tcPr>
          <w:p w14:paraId="72C8A16B" w14:textId="7A7F288C"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13,784</w:t>
            </w:r>
          </w:p>
        </w:tc>
        <w:tc>
          <w:tcPr>
            <w:tcW w:w="573" w:type="pct"/>
            <w:tcBorders>
              <w:top w:val="nil"/>
              <w:left w:val="nil"/>
              <w:bottom w:val="nil"/>
              <w:right w:val="nil"/>
            </w:tcBorders>
            <w:shd w:val="clear" w:color="auto" w:fill="auto"/>
            <w:noWrap/>
            <w:vAlign w:val="bottom"/>
            <w:hideMark/>
          </w:tcPr>
          <w:p w14:paraId="15E58268" w14:textId="7B438947" w:rsidR="004C7942" w:rsidRPr="004C7942" w:rsidRDefault="004C7942" w:rsidP="004C7942">
            <w:pPr>
              <w:spacing w:before="0" w:after="0" w:line="240" w:lineRule="auto"/>
              <w:jc w:val="right"/>
              <w:rPr>
                <w:rFonts w:ascii="Arial" w:hAnsi="Arial" w:cs="Arial"/>
                <w:sz w:val="16"/>
                <w:szCs w:val="16"/>
              </w:rPr>
            </w:pPr>
            <w:r>
              <w:rPr>
                <w:rFonts w:ascii="Arial" w:hAnsi="Arial" w:cs="Arial"/>
                <w:sz w:val="16"/>
                <w:szCs w:val="16"/>
              </w:rPr>
              <w:t>13,768</w:t>
            </w:r>
          </w:p>
        </w:tc>
      </w:tr>
      <w:tr w:rsidR="004C7942" w:rsidRPr="004C7942" w14:paraId="32767C21" w14:textId="77777777" w:rsidTr="00FA354D">
        <w:trPr>
          <w:trHeight w:val="204"/>
        </w:trPr>
        <w:tc>
          <w:tcPr>
            <w:tcW w:w="2100" w:type="pct"/>
            <w:tcBorders>
              <w:top w:val="nil"/>
              <w:left w:val="nil"/>
              <w:bottom w:val="nil"/>
              <w:right w:val="nil"/>
            </w:tcBorders>
            <w:shd w:val="clear" w:color="auto" w:fill="auto"/>
            <w:vAlign w:val="center"/>
            <w:hideMark/>
          </w:tcPr>
          <w:p w14:paraId="46BF53E4" w14:textId="77777777" w:rsidR="004C7942" w:rsidRPr="004C7942" w:rsidRDefault="004C7942" w:rsidP="004C7942">
            <w:pPr>
              <w:spacing w:before="0" w:after="0" w:line="240" w:lineRule="auto"/>
              <w:rPr>
                <w:rFonts w:ascii="Arial" w:hAnsi="Arial" w:cs="Arial"/>
                <w:sz w:val="16"/>
                <w:szCs w:val="16"/>
              </w:rPr>
            </w:pPr>
            <w:r w:rsidRPr="004C7942">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35022BD1" w14:textId="7951C7A8" w:rsidR="004C7942" w:rsidRPr="004C7942" w:rsidRDefault="004C7942" w:rsidP="004C7942">
            <w:pPr>
              <w:spacing w:before="0" w:after="0" w:line="240" w:lineRule="auto"/>
              <w:jc w:val="right"/>
              <w:rPr>
                <w:rFonts w:ascii="Arial" w:hAnsi="Arial" w:cs="Arial"/>
                <w:color w:val="000000"/>
                <w:sz w:val="16"/>
                <w:szCs w:val="16"/>
              </w:rPr>
            </w:pPr>
            <w:r w:rsidRPr="00493064">
              <w:rPr>
                <w:rFonts w:ascii="Arial" w:hAnsi="Arial" w:cs="Arial"/>
                <w:color w:val="000000"/>
                <w:sz w:val="16"/>
                <w:szCs w:val="16"/>
              </w:rPr>
              <w:t>746</w:t>
            </w:r>
          </w:p>
        </w:tc>
        <w:tc>
          <w:tcPr>
            <w:tcW w:w="574" w:type="pct"/>
            <w:tcBorders>
              <w:top w:val="nil"/>
              <w:left w:val="nil"/>
              <w:bottom w:val="nil"/>
              <w:right w:val="nil"/>
            </w:tcBorders>
            <w:shd w:val="clear" w:color="000000" w:fill="E6E6E6"/>
            <w:noWrap/>
            <w:vAlign w:val="bottom"/>
            <w:hideMark/>
          </w:tcPr>
          <w:p w14:paraId="2F57D089" w14:textId="68F663E6"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4" w:type="pct"/>
            <w:tcBorders>
              <w:top w:val="nil"/>
              <w:left w:val="nil"/>
              <w:bottom w:val="nil"/>
              <w:right w:val="nil"/>
            </w:tcBorders>
            <w:shd w:val="clear" w:color="auto" w:fill="auto"/>
            <w:noWrap/>
            <w:vAlign w:val="bottom"/>
            <w:hideMark/>
          </w:tcPr>
          <w:p w14:paraId="56E7E8EA" w14:textId="4F63592D"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4" w:type="pct"/>
            <w:tcBorders>
              <w:top w:val="nil"/>
              <w:left w:val="nil"/>
              <w:bottom w:val="nil"/>
              <w:right w:val="nil"/>
            </w:tcBorders>
            <w:shd w:val="clear" w:color="auto" w:fill="auto"/>
            <w:noWrap/>
            <w:vAlign w:val="bottom"/>
            <w:hideMark/>
          </w:tcPr>
          <w:p w14:paraId="19DF4E59" w14:textId="3160FF65"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3" w:type="pct"/>
            <w:tcBorders>
              <w:top w:val="nil"/>
              <w:left w:val="nil"/>
              <w:bottom w:val="nil"/>
              <w:right w:val="nil"/>
            </w:tcBorders>
            <w:shd w:val="clear" w:color="auto" w:fill="auto"/>
            <w:noWrap/>
            <w:vAlign w:val="bottom"/>
            <w:hideMark/>
          </w:tcPr>
          <w:p w14:paraId="26CD710B" w14:textId="71329CAE"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r>
      <w:tr w:rsidR="004C7942" w:rsidRPr="004C7942" w14:paraId="26D13129" w14:textId="77777777" w:rsidTr="00FA354D">
        <w:trPr>
          <w:trHeight w:val="204"/>
        </w:trPr>
        <w:tc>
          <w:tcPr>
            <w:tcW w:w="2100" w:type="pct"/>
            <w:tcBorders>
              <w:top w:val="nil"/>
              <w:left w:val="nil"/>
              <w:bottom w:val="nil"/>
              <w:right w:val="nil"/>
            </w:tcBorders>
            <w:shd w:val="clear" w:color="auto" w:fill="auto"/>
            <w:noWrap/>
            <w:vAlign w:val="center"/>
            <w:hideMark/>
          </w:tcPr>
          <w:p w14:paraId="58E7BA18"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4CDB0B27" w14:textId="3DB1BAFE" w:rsidR="004C7942" w:rsidRPr="004C7942" w:rsidRDefault="004C7942" w:rsidP="004C7942">
            <w:pPr>
              <w:spacing w:before="0" w:after="0" w:line="240" w:lineRule="auto"/>
              <w:jc w:val="right"/>
              <w:rPr>
                <w:rFonts w:ascii="Arial" w:hAnsi="Arial" w:cs="Arial"/>
                <w:b/>
                <w:bCs/>
                <w:color w:val="000000"/>
                <w:sz w:val="16"/>
                <w:szCs w:val="16"/>
              </w:rPr>
            </w:pPr>
            <w:r w:rsidRPr="00493064">
              <w:rPr>
                <w:rFonts w:ascii="Arial" w:hAnsi="Arial" w:cs="Arial"/>
                <w:b/>
                <w:bCs/>
                <w:color w:val="000000"/>
                <w:sz w:val="16"/>
                <w:szCs w:val="16"/>
              </w:rPr>
              <w:t>13,993</w:t>
            </w:r>
          </w:p>
        </w:tc>
        <w:tc>
          <w:tcPr>
            <w:tcW w:w="574" w:type="pct"/>
            <w:tcBorders>
              <w:top w:val="single" w:sz="4" w:space="0" w:color="auto"/>
              <w:left w:val="nil"/>
              <w:bottom w:val="single" w:sz="4" w:space="0" w:color="auto"/>
              <w:right w:val="nil"/>
            </w:tcBorders>
            <w:shd w:val="clear" w:color="000000" w:fill="E6E6E6"/>
            <w:noWrap/>
            <w:vAlign w:val="bottom"/>
            <w:hideMark/>
          </w:tcPr>
          <w:p w14:paraId="0A47A83E" w14:textId="665F7ECF" w:rsidR="004C7942" w:rsidRPr="004C7942" w:rsidRDefault="004C7942" w:rsidP="004C7942">
            <w:pPr>
              <w:spacing w:before="0" w:after="0" w:line="240" w:lineRule="auto"/>
              <w:jc w:val="right"/>
              <w:rPr>
                <w:rFonts w:ascii="Arial" w:hAnsi="Arial" w:cs="Arial"/>
                <w:b/>
                <w:bCs/>
                <w:color w:val="000000"/>
                <w:sz w:val="16"/>
                <w:szCs w:val="16"/>
              </w:rPr>
            </w:pPr>
            <w:r w:rsidRPr="00493064">
              <w:rPr>
                <w:rFonts w:ascii="Arial" w:hAnsi="Arial" w:cs="Arial"/>
                <w:b/>
                <w:bCs/>
                <w:color w:val="000000"/>
                <w:sz w:val="16"/>
                <w:szCs w:val="16"/>
              </w:rPr>
              <w:t>13,853</w:t>
            </w:r>
          </w:p>
        </w:tc>
        <w:tc>
          <w:tcPr>
            <w:tcW w:w="574" w:type="pct"/>
            <w:tcBorders>
              <w:top w:val="single" w:sz="4" w:space="0" w:color="auto"/>
              <w:left w:val="nil"/>
              <w:bottom w:val="single" w:sz="4" w:space="0" w:color="auto"/>
              <w:right w:val="nil"/>
            </w:tcBorders>
            <w:shd w:val="clear" w:color="auto" w:fill="auto"/>
            <w:noWrap/>
            <w:vAlign w:val="bottom"/>
            <w:hideMark/>
          </w:tcPr>
          <w:p w14:paraId="7A0E1A87" w14:textId="7890B18C" w:rsidR="004C7942" w:rsidRPr="004C7942" w:rsidRDefault="004C7942" w:rsidP="004C7942">
            <w:pPr>
              <w:spacing w:before="0" w:after="0" w:line="240" w:lineRule="auto"/>
              <w:jc w:val="right"/>
              <w:rPr>
                <w:rFonts w:ascii="Arial" w:hAnsi="Arial" w:cs="Arial"/>
                <w:b/>
                <w:bCs/>
                <w:sz w:val="16"/>
                <w:szCs w:val="16"/>
              </w:rPr>
            </w:pPr>
            <w:r w:rsidRPr="00493064">
              <w:rPr>
                <w:rFonts w:ascii="Arial" w:hAnsi="Arial" w:cs="Arial"/>
                <w:b/>
                <w:bCs/>
                <w:sz w:val="16"/>
                <w:szCs w:val="16"/>
              </w:rPr>
              <w:t>14,070</w:t>
            </w:r>
          </w:p>
        </w:tc>
        <w:tc>
          <w:tcPr>
            <w:tcW w:w="574" w:type="pct"/>
            <w:tcBorders>
              <w:top w:val="single" w:sz="4" w:space="0" w:color="auto"/>
              <w:left w:val="nil"/>
              <w:bottom w:val="single" w:sz="4" w:space="0" w:color="auto"/>
              <w:right w:val="nil"/>
            </w:tcBorders>
            <w:shd w:val="clear" w:color="auto" w:fill="auto"/>
            <w:noWrap/>
            <w:vAlign w:val="bottom"/>
            <w:hideMark/>
          </w:tcPr>
          <w:p w14:paraId="0A1C9C3D" w14:textId="61F84CB5" w:rsidR="004C7942" w:rsidRPr="004C7942" w:rsidRDefault="004C7942" w:rsidP="004C7942">
            <w:pPr>
              <w:spacing w:before="0" w:after="0" w:line="240" w:lineRule="auto"/>
              <w:jc w:val="right"/>
              <w:rPr>
                <w:rFonts w:ascii="Arial" w:hAnsi="Arial" w:cs="Arial"/>
                <w:b/>
                <w:bCs/>
                <w:sz w:val="16"/>
                <w:szCs w:val="16"/>
              </w:rPr>
            </w:pPr>
            <w:r w:rsidRPr="00493064">
              <w:rPr>
                <w:rFonts w:ascii="Arial" w:hAnsi="Arial" w:cs="Arial"/>
                <w:b/>
                <w:bCs/>
                <w:sz w:val="16"/>
                <w:szCs w:val="16"/>
              </w:rPr>
              <w:t>14,242</w:t>
            </w:r>
          </w:p>
        </w:tc>
        <w:tc>
          <w:tcPr>
            <w:tcW w:w="573" w:type="pct"/>
            <w:tcBorders>
              <w:top w:val="single" w:sz="4" w:space="0" w:color="auto"/>
              <w:left w:val="nil"/>
              <w:bottom w:val="single" w:sz="4" w:space="0" w:color="auto"/>
              <w:right w:val="nil"/>
            </w:tcBorders>
            <w:shd w:val="clear" w:color="auto" w:fill="auto"/>
            <w:noWrap/>
            <w:vAlign w:val="bottom"/>
            <w:hideMark/>
          </w:tcPr>
          <w:p w14:paraId="06A298EB" w14:textId="57F97687"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14,226</w:t>
            </w:r>
          </w:p>
        </w:tc>
      </w:tr>
      <w:tr w:rsidR="00FA354D" w:rsidRPr="004C7942" w14:paraId="3A331F5F"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257B7CE" w14:textId="75608BC0"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 xml:space="preserve">Outcome 1 </w:t>
            </w:r>
            <w:r w:rsidR="003D09BC" w:rsidRPr="004C7942">
              <w:rPr>
                <w:rFonts w:ascii="Arial" w:hAnsi="Arial" w:cs="Arial"/>
                <w:b/>
                <w:bCs/>
                <w:sz w:val="16"/>
                <w:szCs w:val="16"/>
              </w:rPr>
              <w:t>T</w:t>
            </w:r>
            <w:r w:rsidRPr="004C7942">
              <w:rPr>
                <w:rFonts w:ascii="Arial" w:hAnsi="Arial" w:cs="Arial"/>
                <w:b/>
                <w:bCs/>
                <w:sz w:val="16"/>
                <w:szCs w:val="16"/>
              </w:rPr>
              <w:t>otals by resource type</w:t>
            </w:r>
          </w:p>
        </w:tc>
      </w:tr>
      <w:tr w:rsidR="00FA354D" w:rsidRPr="004C7942" w14:paraId="02FDBF71" w14:textId="77777777" w:rsidTr="00FA354D">
        <w:trPr>
          <w:trHeight w:val="204"/>
        </w:trPr>
        <w:tc>
          <w:tcPr>
            <w:tcW w:w="2100" w:type="pct"/>
            <w:tcBorders>
              <w:top w:val="nil"/>
              <w:left w:val="nil"/>
              <w:bottom w:val="nil"/>
              <w:right w:val="nil"/>
            </w:tcBorders>
            <w:shd w:val="clear" w:color="auto" w:fill="auto"/>
            <w:noWrap/>
            <w:vAlign w:val="center"/>
            <w:hideMark/>
          </w:tcPr>
          <w:p w14:paraId="56474891" w14:textId="77777777" w:rsidR="00FA354D" w:rsidRPr="004C7942" w:rsidRDefault="00FA354D" w:rsidP="00FA354D">
            <w:pPr>
              <w:spacing w:before="0" w:after="0" w:line="240" w:lineRule="auto"/>
              <w:rPr>
                <w:rFonts w:ascii="Arial" w:hAnsi="Arial" w:cs="Arial"/>
                <w:sz w:val="16"/>
                <w:szCs w:val="16"/>
              </w:rPr>
            </w:pPr>
            <w:r w:rsidRPr="004C7942">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07B7C057"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2F5A7F08"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DC81CF0" w14:textId="77777777" w:rsidR="00FA354D" w:rsidRPr="004C7942" w:rsidRDefault="00FA354D"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10B0485"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EB93A48" w14:textId="77777777" w:rsidR="00FA354D" w:rsidRPr="004C7942" w:rsidRDefault="00FA354D" w:rsidP="00FA354D">
            <w:pPr>
              <w:spacing w:before="0" w:after="0" w:line="240" w:lineRule="auto"/>
              <w:jc w:val="right"/>
              <w:rPr>
                <w:rFonts w:ascii="Times New Roman" w:hAnsi="Times New Roman"/>
                <w:sz w:val="20"/>
              </w:rPr>
            </w:pPr>
          </w:p>
        </w:tc>
      </w:tr>
      <w:tr w:rsidR="004C7942" w:rsidRPr="004C7942" w14:paraId="1F032EEB" w14:textId="77777777" w:rsidTr="00FA354D">
        <w:trPr>
          <w:trHeight w:val="204"/>
        </w:trPr>
        <w:tc>
          <w:tcPr>
            <w:tcW w:w="2100" w:type="pct"/>
            <w:tcBorders>
              <w:top w:val="nil"/>
              <w:left w:val="nil"/>
              <w:bottom w:val="nil"/>
              <w:right w:val="nil"/>
            </w:tcBorders>
            <w:shd w:val="clear" w:color="auto" w:fill="auto"/>
            <w:vAlign w:val="center"/>
            <w:hideMark/>
          </w:tcPr>
          <w:p w14:paraId="5BA5F903" w14:textId="7A875660"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sz w:val="16"/>
                <w:szCs w:val="16"/>
              </w:rPr>
              <w:t xml:space="preserve">Ordinary annual services (Appropriation Bill </w:t>
            </w:r>
            <w:r>
              <w:rPr>
                <w:rFonts w:ascii="Arial" w:hAnsi="Arial" w:cs="Arial"/>
                <w:sz w:val="16"/>
                <w:szCs w:val="16"/>
              </w:rPr>
              <w:t>(</w:t>
            </w:r>
            <w:r w:rsidRPr="004C7942">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r w:rsidRPr="00493064">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094ED351" w14:textId="7F688100" w:rsidR="004C7942" w:rsidRPr="004C7942" w:rsidRDefault="004C7942" w:rsidP="004C7942">
            <w:pPr>
              <w:spacing w:before="0" w:after="0" w:line="240" w:lineRule="auto"/>
              <w:jc w:val="right"/>
              <w:rPr>
                <w:rFonts w:ascii="Arial" w:hAnsi="Arial" w:cs="Arial"/>
                <w:color w:val="000000"/>
                <w:sz w:val="16"/>
                <w:szCs w:val="16"/>
              </w:rPr>
            </w:pPr>
            <w:r w:rsidRPr="00493064">
              <w:rPr>
                <w:rFonts w:ascii="Arial" w:hAnsi="Arial" w:cs="Arial"/>
                <w:color w:val="000000"/>
                <w:sz w:val="16"/>
                <w:szCs w:val="16"/>
              </w:rPr>
              <w:t>13,247</w:t>
            </w:r>
          </w:p>
        </w:tc>
        <w:tc>
          <w:tcPr>
            <w:tcW w:w="574" w:type="pct"/>
            <w:tcBorders>
              <w:top w:val="nil"/>
              <w:left w:val="nil"/>
              <w:bottom w:val="nil"/>
              <w:right w:val="nil"/>
            </w:tcBorders>
            <w:shd w:val="clear" w:color="000000" w:fill="E6E6E6"/>
            <w:noWrap/>
            <w:vAlign w:val="bottom"/>
            <w:hideMark/>
          </w:tcPr>
          <w:p w14:paraId="300D9222" w14:textId="4943863A"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13,395</w:t>
            </w:r>
          </w:p>
        </w:tc>
        <w:tc>
          <w:tcPr>
            <w:tcW w:w="574" w:type="pct"/>
            <w:tcBorders>
              <w:top w:val="nil"/>
              <w:left w:val="nil"/>
              <w:bottom w:val="nil"/>
              <w:right w:val="nil"/>
            </w:tcBorders>
            <w:shd w:val="clear" w:color="auto" w:fill="auto"/>
            <w:noWrap/>
            <w:vAlign w:val="bottom"/>
            <w:hideMark/>
          </w:tcPr>
          <w:p w14:paraId="13ABF5AD" w14:textId="7FD2A468"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13,612</w:t>
            </w:r>
          </w:p>
        </w:tc>
        <w:tc>
          <w:tcPr>
            <w:tcW w:w="574" w:type="pct"/>
            <w:tcBorders>
              <w:top w:val="nil"/>
              <w:left w:val="nil"/>
              <w:bottom w:val="nil"/>
              <w:right w:val="nil"/>
            </w:tcBorders>
            <w:shd w:val="clear" w:color="auto" w:fill="auto"/>
            <w:noWrap/>
            <w:vAlign w:val="bottom"/>
            <w:hideMark/>
          </w:tcPr>
          <w:p w14:paraId="46FCA0B9" w14:textId="6CDEE917"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13,784</w:t>
            </w:r>
          </w:p>
        </w:tc>
        <w:tc>
          <w:tcPr>
            <w:tcW w:w="573" w:type="pct"/>
            <w:tcBorders>
              <w:top w:val="nil"/>
              <w:left w:val="nil"/>
              <w:bottom w:val="nil"/>
              <w:right w:val="nil"/>
            </w:tcBorders>
            <w:shd w:val="clear" w:color="auto" w:fill="auto"/>
            <w:noWrap/>
            <w:vAlign w:val="bottom"/>
            <w:hideMark/>
          </w:tcPr>
          <w:p w14:paraId="64AEBFDB" w14:textId="4148E65B" w:rsidR="004C7942" w:rsidRPr="004C7942" w:rsidRDefault="004C7942" w:rsidP="004C7942">
            <w:pPr>
              <w:spacing w:before="0" w:after="0" w:line="240" w:lineRule="auto"/>
              <w:jc w:val="right"/>
              <w:rPr>
                <w:rFonts w:ascii="Arial" w:hAnsi="Arial" w:cs="Arial"/>
                <w:sz w:val="16"/>
                <w:szCs w:val="16"/>
              </w:rPr>
            </w:pPr>
            <w:r>
              <w:rPr>
                <w:rFonts w:ascii="Arial" w:hAnsi="Arial" w:cs="Arial"/>
                <w:sz w:val="16"/>
                <w:szCs w:val="16"/>
              </w:rPr>
              <w:t>13,768</w:t>
            </w:r>
          </w:p>
        </w:tc>
      </w:tr>
      <w:tr w:rsidR="004C7942" w:rsidRPr="004C7942" w14:paraId="2034FE67" w14:textId="77777777" w:rsidTr="00FA354D">
        <w:trPr>
          <w:trHeight w:val="204"/>
        </w:trPr>
        <w:tc>
          <w:tcPr>
            <w:tcW w:w="2100" w:type="pct"/>
            <w:tcBorders>
              <w:top w:val="nil"/>
              <w:left w:val="nil"/>
              <w:bottom w:val="nil"/>
              <w:right w:val="nil"/>
            </w:tcBorders>
            <w:shd w:val="clear" w:color="auto" w:fill="auto"/>
            <w:vAlign w:val="center"/>
            <w:hideMark/>
          </w:tcPr>
          <w:p w14:paraId="582BB899" w14:textId="77777777" w:rsidR="004C7942" w:rsidRPr="004C7942" w:rsidRDefault="004C7942" w:rsidP="004C7942">
            <w:pPr>
              <w:spacing w:before="0" w:after="0" w:line="240" w:lineRule="auto"/>
              <w:rPr>
                <w:rFonts w:ascii="Arial" w:hAnsi="Arial" w:cs="Arial"/>
                <w:sz w:val="16"/>
                <w:szCs w:val="16"/>
              </w:rPr>
            </w:pPr>
            <w:r w:rsidRPr="004C7942">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2055AD83" w14:textId="0DAEA8D8" w:rsidR="004C7942" w:rsidRPr="004C7942" w:rsidRDefault="004C7942" w:rsidP="004C7942">
            <w:pPr>
              <w:spacing w:before="0" w:after="0" w:line="240" w:lineRule="auto"/>
              <w:jc w:val="right"/>
              <w:rPr>
                <w:rFonts w:ascii="Arial" w:hAnsi="Arial" w:cs="Arial"/>
                <w:color w:val="000000"/>
                <w:sz w:val="16"/>
                <w:szCs w:val="16"/>
              </w:rPr>
            </w:pPr>
            <w:r w:rsidRPr="00493064">
              <w:rPr>
                <w:rFonts w:ascii="Arial" w:hAnsi="Arial" w:cs="Arial"/>
                <w:color w:val="000000"/>
                <w:sz w:val="16"/>
                <w:szCs w:val="16"/>
              </w:rPr>
              <w:t>746</w:t>
            </w:r>
          </w:p>
        </w:tc>
        <w:tc>
          <w:tcPr>
            <w:tcW w:w="574" w:type="pct"/>
            <w:tcBorders>
              <w:top w:val="nil"/>
              <w:left w:val="nil"/>
              <w:bottom w:val="nil"/>
              <w:right w:val="nil"/>
            </w:tcBorders>
            <w:shd w:val="clear" w:color="000000" w:fill="E6E6E6"/>
            <w:noWrap/>
            <w:vAlign w:val="bottom"/>
            <w:hideMark/>
          </w:tcPr>
          <w:p w14:paraId="11EE2B99" w14:textId="36A163A9"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4" w:type="pct"/>
            <w:tcBorders>
              <w:top w:val="nil"/>
              <w:left w:val="nil"/>
              <w:bottom w:val="nil"/>
              <w:right w:val="nil"/>
            </w:tcBorders>
            <w:shd w:val="clear" w:color="auto" w:fill="auto"/>
            <w:noWrap/>
            <w:vAlign w:val="bottom"/>
            <w:hideMark/>
          </w:tcPr>
          <w:p w14:paraId="790B381D" w14:textId="087325D4"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4" w:type="pct"/>
            <w:tcBorders>
              <w:top w:val="nil"/>
              <w:left w:val="nil"/>
              <w:bottom w:val="nil"/>
              <w:right w:val="nil"/>
            </w:tcBorders>
            <w:shd w:val="clear" w:color="auto" w:fill="auto"/>
            <w:noWrap/>
            <w:vAlign w:val="bottom"/>
            <w:hideMark/>
          </w:tcPr>
          <w:p w14:paraId="3E749ED4" w14:textId="529FA627"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c>
          <w:tcPr>
            <w:tcW w:w="573" w:type="pct"/>
            <w:tcBorders>
              <w:top w:val="nil"/>
              <w:left w:val="nil"/>
              <w:bottom w:val="nil"/>
              <w:right w:val="nil"/>
            </w:tcBorders>
            <w:shd w:val="clear" w:color="auto" w:fill="auto"/>
            <w:noWrap/>
            <w:vAlign w:val="bottom"/>
            <w:hideMark/>
          </w:tcPr>
          <w:p w14:paraId="1AFE133E" w14:textId="50530591" w:rsidR="004C7942" w:rsidRPr="004C7942" w:rsidRDefault="004C7942" w:rsidP="004C7942">
            <w:pPr>
              <w:spacing w:before="0" w:after="0" w:line="240" w:lineRule="auto"/>
              <w:jc w:val="right"/>
              <w:rPr>
                <w:rFonts w:ascii="Arial" w:hAnsi="Arial" w:cs="Arial"/>
                <w:sz w:val="16"/>
                <w:szCs w:val="16"/>
              </w:rPr>
            </w:pPr>
            <w:r w:rsidRPr="00493064">
              <w:rPr>
                <w:rFonts w:ascii="Arial" w:hAnsi="Arial" w:cs="Arial"/>
                <w:sz w:val="16"/>
                <w:szCs w:val="16"/>
              </w:rPr>
              <w:t>458</w:t>
            </w:r>
          </w:p>
        </w:tc>
      </w:tr>
      <w:tr w:rsidR="004C7942" w:rsidRPr="004C7942" w14:paraId="64FEA4CE" w14:textId="77777777" w:rsidTr="00FA354D">
        <w:trPr>
          <w:trHeight w:val="204"/>
        </w:trPr>
        <w:tc>
          <w:tcPr>
            <w:tcW w:w="2100" w:type="pct"/>
            <w:tcBorders>
              <w:top w:val="nil"/>
              <w:left w:val="nil"/>
              <w:bottom w:val="single" w:sz="4" w:space="0" w:color="auto"/>
              <w:right w:val="nil"/>
            </w:tcBorders>
            <w:shd w:val="clear" w:color="auto" w:fill="auto"/>
            <w:noWrap/>
            <w:vAlign w:val="center"/>
            <w:hideMark/>
          </w:tcPr>
          <w:p w14:paraId="308B16E4"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62F9EAD7" w14:textId="319EF292" w:rsidR="004C7942" w:rsidRPr="004C7942" w:rsidRDefault="004C7942" w:rsidP="004C7942">
            <w:pPr>
              <w:spacing w:before="0" w:after="0" w:line="240" w:lineRule="auto"/>
              <w:jc w:val="right"/>
              <w:rPr>
                <w:rFonts w:ascii="Arial" w:hAnsi="Arial" w:cs="Arial"/>
                <w:b/>
                <w:bCs/>
                <w:color w:val="000000"/>
                <w:sz w:val="16"/>
                <w:szCs w:val="16"/>
              </w:rPr>
            </w:pPr>
            <w:r w:rsidRPr="00493064">
              <w:rPr>
                <w:rFonts w:ascii="Arial" w:hAnsi="Arial" w:cs="Arial"/>
                <w:b/>
                <w:bCs/>
                <w:color w:val="000000"/>
                <w:sz w:val="16"/>
                <w:szCs w:val="16"/>
              </w:rPr>
              <w:t>13,993</w:t>
            </w:r>
          </w:p>
        </w:tc>
        <w:tc>
          <w:tcPr>
            <w:tcW w:w="574" w:type="pct"/>
            <w:tcBorders>
              <w:top w:val="single" w:sz="4" w:space="0" w:color="auto"/>
              <w:left w:val="nil"/>
              <w:bottom w:val="single" w:sz="4" w:space="0" w:color="auto"/>
              <w:right w:val="nil"/>
            </w:tcBorders>
            <w:shd w:val="clear" w:color="000000" w:fill="E6E6E6"/>
            <w:noWrap/>
            <w:vAlign w:val="bottom"/>
            <w:hideMark/>
          </w:tcPr>
          <w:p w14:paraId="28B314EC" w14:textId="7AE99CE4" w:rsidR="004C7942" w:rsidRPr="004C7942" w:rsidRDefault="004C7942" w:rsidP="004C7942">
            <w:pPr>
              <w:spacing w:before="0" w:after="0" w:line="240" w:lineRule="auto"/>
              <w:jc w:val="right"/>
              <w:rPr>
                <w:rFonts w:ascii="Arial" w:hAnsi="Arial" w:cs="Arial"/>
                <w:b/>
                <w:bCs/>
                <w:color w:val="000000"/>
                <w:sz w:val="16"/>
                <w:szCs w:val="16"/>
              </w:rPr>
            </w:pPr>
            <w:r w:rsidRPr="00493064">
              <w:rPr>
                <w:rFonts w:ascii="Arial" w:hAnsi="Arial" w:cs="Arial"/>
                <w:b/>
                <w:bCs/>
                <w:color w:val="000000"/>
                <w:sz w:val="16"/>
                <w:szCs w:val="16"/>
              </w:rPr>
              <w:t>13,853</w:t>
            </w:r>
          </w:p>
        </w:tc>
        <w:tc>
          <w:tcPr>
            <w:tcW w:w="574" w:type="pct"/>
            <w:tcBorders>
              <w:top w:val="single" w:sz="4" w:space="0" w:color="auto"/>
              <w:left w:val="nil"/>
              <w:bottom w:val="single" w:sz="4" w:space="0" w:color="auto"/>
              <w:right w:val="nil"/>
            </w:tcBorders>
            <w:shd w:val="clear" w:color="auto" w:fill="auto"/>
            <w:noWrap/>
            <w:vAlign w:val="bottom"/>
            <w:hideMark/>
          </w:tcPr>
          <w:p w14:paraId="79365AE7" w14:textId="56A07CE1" w:rsidR="004C7942" w:rsidRPr="004C7942" w:rsidRDefault="004C7942" w:rsidP="004C7942">
            <w:pPr>
              <w:spacing w:before="0" w:after="0" w:line="240" w:lineRule="auto"/>
              <w:jc w:val="right"/>
              <w:rPr>
                <w:rFonts w:ascii="Arial" w:hAnsi="Arial" w:cs="Arial"/>
                <w:b/>
                <w:bCs/>
                <w:sz w:val="16"/>
                <w:szCs w:val="16"/>
              </w:rPr>
            </w:pPr>
            <w:r w:rsidRPr="00493064">
              <w:rPr>
                <w:rFonts w:ascii="Arial" w:hAnsi="Arial" w:cs="Arial"/>
                <w:b/>
                <w:bCs/>
                <w:sz w:val="16"/>
                <w:szCs w:val="16"/>
              </w:rPr>
              <w:t>14,070</w:t>
            </w:r>
          </w:p>
        </w:tc>
        <w:tc>
          <w:tcPr>
            <w:tcW w:w="574" w:type="pct"/>
            <w:tcBorders>
              <w:top w:val="single" w:sz="4" w:space="0" w:color="auto"/>
              <w:left w:val="nil"/>
              <w:bottom w:val="single" w:sz="4" w:space="0" w:color="auto"/>
              <w:right w:val="nil"/>
            </w:tcBorders>
            <w:shd w:val="clear" w:color="auto" w:fill="auto"/>
            <w:noWrap/>
            <w:vAlign w:val="bottom"/>
            <w:hideMark/>
          </w:tcPr>
          <w:p w14:paraId="354A4076" w14:textId="6AB62AB1" w:rsidR="004C7942" w:rsidRPr="004C7942" w:rsidRDefault="004C7942" w:rsidP="004C7942">
            <w:pPr>
              <w:spacing w:before="0" w:after="0" w:line="240" w:lineRule="auto"/>
              <w:jc w:val="right"/>
              <w:rPr>
                <w:rFonts w:ascii="Arial" w:hAnsi="Arial" w:cs="Arial"/>
                <w:b/>
                <w:bCs/>
                <w:sz w:val="16"/>
                <w:szCs w:val="16"/>
              </w:rPr>
            </w:pPr>
            <w:r w:rsidRPr="00493064">
              <w:rPr>
                <w:rFonts w:ascii="Arial" w:hAnsi="Arial" w:cs="Arial"/>
                <w:b/>
                <w:bCs/>
                <w:sz w:val="16"/>
                <w:szCs w:val="16"/>
              </w:rPr>
              <w:t>14,242</w:t>
            </w:r>
          </w:p>
        </w:tc>
        <w:tc>
          <w:tcPr>
            <w:tcW w:w="573" w:type="pct"/>
            <w:tcBorders>
              <w:top w:val="single" w:sz="4" w:space="0" w:color="auto"/>
              <w:left w:val="nil"/>
              <w:bottom w:val="single" w:sz="4" w:space="0" w:color="auto"/>
              <w:right w:val="nil"/>
            </w:tcBorders>
            <w:shd w:val="clear" w:color="auto" w:fill="auto"/>
            <w:noWrap/>
            <w:vAlign w:val="bottom"/>
            <w:hideMark/>
          </w:tcPr>
          <w:p w14:paraId="7C97C21C" w14:textId="6E46FE20"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14,226</w:t>
            </w:r>
          </w:p>
        </w:tc>
      </w:tr>
    </w:tbl>
    <w:p w14:paraId="18055DC3" w14:textId="77777777" w:rsidR="00FA354D" w:rsidRPr="004C7942" w:rsidRDefault="00FA354D" w:rsidP="00FA354D">
      <w:pPr>
        <w:pStyle w:val="ChartandTableFootnote"/>
      </w:pPr>
    </w:p>
    <w:tbl>
      <w:tblPr>
        <w:tblW w:w="3279" w:type="pct"/>
        <w:tblLook w:val="04A0" w:firstRow="1" w:lastRow="0" w:firstColumn="1" w:lastColumn="0" w:noHBand="0" w:noVBand="1"/>
      </w:tblPr>
      <w:tblGrid>
        <w:gridCol w:w="3238"/>
        <w:gridCol w:w="933"/>
        <w:gridCol w:w="885"/>
      </w:tblGrid>
      <w:tr w:rsidR="00FA354D" w:rsidRPr="004C7942" w14:paraId="69E15311" w14:textId="77777777" w:rsidTr="00FA354D">
        <w:trPr>
          <w:trHeight w:val="204"/>
        </w:trPr>
        <w:tc>
          <w:tcPr>
            <w:tcW w:w="3202" w:type="pct"/>
            <w:tcBorders>
              <w:top w:val="single" w:sz="4" w:space="0" w:color="auto"/>
              <w:left w:val="nil"/>
              <w:bottom w:val="nil"/>
              <w:right w:val="nil"/>
            </w:tcBorders>
            <w:shd w:val="clear" w:color="auto" w:fill="auto"/>
            <w:noWrap/>
            <w:vAlign w:val="center"/>
            <w:hideMark/>
          </w:tcPr>
          <w:p w14:paraId="20EABD09" w14:textId="77777777" w:rsidR="00FA354D" w:rsidRPr="004C7942" w:rsidRDefault="00FA354D" w:rsidP="00FA354D">
            <w:pPr>
              <w:spacing w:before="0" w:after="0" w:line="240" w:lineRule="auto"/>
              <w:rPr>
                <w:rFonts w:ascii="Arial" w:hAnsi="Arial" w:cs="Arial"/>
                <w:sz w:val="16"/>
                <w:szCs w:val="16"/>
              </w:rPr>
            </w:pPr>
            <w:r w:rsidRPr="004C7942">
              <w:rPr>
                <w:rFonts w:ascii="Arial" w:hAnsi="Arial" w:cs="Arial"/>
                <w:sz w:val="16"/>
                <w:szCs w:val="16"/>
              </w:rPr>
              <w:t> </w:t>
            </w:r>
          </w:p>
        </w:tc>
        <w:tc>
          <w:tcPr>
            <w:tcW w:w="923" w:type="pct"/>
            <w:tcBorders>
              <w:top w:val="single" w:sz="4" w:space="0" w:color="auto"/>
              <w:left w:val="nil"/>
              <w:bottom w:val="single" w:sz="4" w:space="0" w:color="auto"/>
              <w:right w:val="nil"/>
            </w:tcBorders>
            <w:shd w:val="clear" w:color="auto" w:fill="auto"/>
            <w:noWrap/>
            <w:vAlign w:val="center"/>
            <w:hideMark/>
          </w:tcPr>
          <w:p w14:paraId="6862C8C6" w14:textId="7CF8AC35" w:rsidR="00FA354D" w:rsidRPr="004C7942" w:rsidRDefault="00FA354D" w:rsidP="00FA354D">
            <w:pPr>
              <w:spacing w:before="0" w:after="0" w:line="240" w:lineRule="auto"/>
              <w:jc w:val="right"/>
              <w:rPr>
                <w:rFonts w:ascii="Arial" w:hAnsi="Arial" w:cs="Arial"/>
                <w:sz w:val="16"/>
                <w:szCs w:val="16"/>
              </w:rPr>
            </w:pPr>
            <w:r w:rsidRPr="004C7942">
              <w:rPr>
                <w:rFonts w:ascii="Arial" w:hAnsi="Arial" w:cs="Arial"/>
                <w:sz w:val="16"/>
                <w:szCs w:val="16"/>
              </w:rPr>
              <w:t>202</w:t>
            </w:r>
            <w:r w:rsidR="00B219F6" w:rsidRPr="004C7942">
              <w:rPr>
                <w:rFonts w:ascii="Arial" w:hAnsi="Arial" w:cs="Arial"/>
                <w:sz w:val="16"/>
                <w:szCs w:val="16"/>
              </w:rPr>
              <w:t>4</w:t>
            </w:r>
            <w:r w:rsidRPr="004C7942">
              <w:rPr>
                <w:rFonts w:ascii="Arial" w:hAnsi="Arial" w:cs="Arial"/>
                <w:sz w:val="16"/>
                <w:szCs w:val="16"/>
              </w:rPr>
              <w:t>-2</w:t>
            </w:r>
            <w:r w:rsidR="00B219F6" w:rsidRPr="004C7942">
              <w:rPr>
                <w:rFonts w:ascii="Arial" w:hAnsi="Arial" w:cs="Arial"/>
                <w:sz w:val="16"/>
                <w:szCs w:val="16"/>
              </w:rPr>
              <w:t>5</w:t>
            </w:r>
          </w:p>
        </w:tc>
        <w:tc>
          <w:tcPr>
            <w:tcW w:w="875" w:type="pct"/>
            <w:tcBorders>
              <w:top w:val="single" w:sz="4" w:space="0" w:color="auto"/>
              <w:left w:val="nil"/>
              <w:bottom w:val="single" w:sz="4" w:space="0" w:color="auto"/>
              <w:right w:val="nil"/>
            </w:tcBorders>
            <w:shd w:val="clear" w:color="000000" w:fill="E6E6E6"/>
            <w:noWrap/>
            <w:vAlign w:val="center"/>
            <w:hideMark/>
          </w:tcPr>
          <w:p w14:paraId="30BD5136" w14:textId="6780F499" w:rsidR="00FA354D" w:rsidRPr="004C7942" w:rsidRDefault="00FA354D" w:rsidP="00FA354D">
            <w:pPr>
              <w:spacing w:before="0" w:after="0" w:line="240" w:lineRule="auto"/>
              <w:jc w:val="right"/>
              <w:rPr>
                <w:rFonts w:ascii="Arial" w:hAnsi="Arial" w:cs="Arial"/>
                <w:sz w:val="16"/>
                <w:szCs w:val="16"/>
              </w:rPr>
            </w:pPr>
            <w:r w:rsidRPr="004C7942">
              <w:rPr>
                <w:rFonts w:ascii="Arial" w:hAnsi="Arial" w:cs="Arial"/>
                <w:sz w:val="16"/>
                <w:szCs w:val="16"/>
              </w:rPr>
              <w:t>202</w:t>
            </w:r>
            <w:r w:rsidR="00B219F6" w:rsidRPr="004C7942">
              <w:rPr>
                <w:rFonts w:ascii="Arial" w:hAnsi="Arial" w:cs="Arial"/>
                <w:sz w:val="16"/>
                <w:szCs w:val="16"/>
              </w:rPr>
              <w:t>5</w:t>
            </w:r>
            <w:r w:rsidRPr="004C7942">
              <w:rPr>
                <w:rFonts w:ascii="Arial" w:hAnsi="Arial" w:cs="Arial"/>
                <w:sz w:val="16"/>
                <w:szCs w:val="16"/>
              </w:rPr>
              <w:t>-2</w:t>
            </w:r>
            <w:r w:rsidR="00B219F6" w:rsidRPr="004C7942">
              <w:rPr>
                <w:rFonts w:ascii="Arial" w:hAnsi="Arial" w:cs="Arial"/>
                <w:sz w:val="16"/>
                <w:szCs w:val="16"/>
              </w:rPr>
              <w:t>6</w:t>
            </w:r>
          </w:p>
        </w:tc>
      </w:tr>
      <w:tr w:rsidR="00FA354D" w:rsidRPr="004C7942" w14:paraId="4FF39F21" w14:textId="77777777" w:rsidTr="00FA354D">
        <w:trPr>
          <w:trHeight w:val="59"/>
        </w:trPr>
        <w:tc>
          <w:tcPr>
            <w:tcW w:w="3202" w:type="pct"/>
            <w:tcBorders>
              <w:top w:val="nil"/>
              <w:left w:val="nil"/>
              <w:bottom w:val="single" w:sz="4" w:space="0" w:color="auto"/>
              <w:right w:val="nil"/>
            </w:tcBorders>
            <w:shd w:val="clear" w:color="auto" w:fill="auto"/>
            <w:noWrap/>
            <w:vAlign w:val="center"/>
            <w:hideMark/>
          </w:tcPr>
          <w:p w14:paraId="043C93D6" w14:textId="77777777" w:rsidR="00FA354D" w:rsidRPr="004C7942" w:rsidRDefault="00FA354D" w:rsidP="00FA354D">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Average staffing level (number)</w:t>
            </w:r>
          </w:p>
        </w:tc>
        <w:tc>
          <w:tcPr>
            <w:tcW w:w="923" w:type="pct"/>
            <w:tcBorders>
              <w:top w:val="single" w:sz="4" w:space="0" w:color="000000"/>
              <w:left w:val="nil"/>
              <w:bottom w:val="single" w:sz="4" w:space="0" w:color="000000"/>
              <w:right w:val="nil"/>
            </w:tcBorders>
            <w:shd w:val="clear" w:color="auto" w:fill="auto"/>
            <w:noWrap/>
            <w:vAlign w:val="center"/>
            <w:hideMark/>
          </w:tcPr>
          <w:p w14:paraId="2300385C" w14:textId="1F58E9B6" w:rsidR="00FA354D" w:rsidRPr="004C7942" w:rsidRDefault="004C794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39</w:t>
            </w:r>
          </w:p>
        </w:tc>
        <w:tc>
          <w:tcPr>
            <w:tcW w:w="875" w:type="pct"/>
            <w:tcBorders>
              <w:top w:val="single" w:sz="4" w:space="0" w:color="000000"/>
              <w:left w:val="nil"/>
              <w:bottom w:val="single" w:sz="4" w:space="0" w:color="000000"/>
              <w:right w:val="nil"/>
            </w:tcBorders>
            <w:shd w:val="clear" w:color="000000" w:fill="E6E6E6"/>
            <w:noWrap/>
            <w:vAlign w:val="center"/>
            <w:hideMark/>
          </w:tcPr>
          <w:p w14:paraId="5A7EDD10" w14:textId="58724A60" w:rsidR="00FA354D" w:rsidRPr="004C7942" w:rsidRDefault="004C794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41</w:t>
            </w:r>
          </w:p>
        </w:tc>
      </w:tr>
    </w:tbl>
    <w:p w14:paraId="5A0B3A31" w14:textId="592E62EA" w:rsidR="00FA354D" w:rsidRPr="000C5D04" w:rsidRDefault="00FA354D" w:rsidP="00FA354D">
      <w:pPr>
        <w:spacing w:before="0" w:after="0" w:line="240" w:lineRule="auto"/>
        <w:rPr>
          <w:rStyle w:val="TableHeadingChar"/>
          <w:rFonts w:ascii="Book Antiqua" w:hAnsi="Book Antiqua"/>
          <w:b w:val="0"/>
        </w:rPr>
      </w:pPr>
      <w:r>
        <w:br w:type="page"/>
      </w:r>
    </w:p>
    <w:p w14:paraId="7BC45BB0" w14:textId="77777777" w:rsidR="00FA354D" w:rsidRPr="00F71634" w:rsidRDefault="00FA354D" w:rsidP="00FA354D">
      <w:pPr>
        <w:pStyle w:val="TableHeading"/>
      </w:pPr>
      <w:r w:rsidRPr="00F71634">
        <w:lastRenderedPageBreak/>
        <w:t>Table 2.</w:t>
      </w:r>
      <w:r>
        <w:t>1</w:t>
      </w:r>
      <w:r w:rsidRPr="00F71634">
        <w:t>.</w:t>
      </w:r>
      <w:r>
        <w:t>2</w:t>
      </w:r>
      <w:r w:rsidRPr="00F71634">
        <w:t xml:space="preserve">: </w:t>
      </w:r>
      <w:r w:rsidRPr="00B82225">
        <w:t xml:space="preserve">Performance </w:t>
      </w:r>
      <w:r>
        <w:t>measures</w:t>
      </w:r>
      <w:r w:rsidRPr="00F71634">
        <w:t xml:space="preserve"> for Outcome </w:t>
      </w:r>
      <w:r>
        <w:t>1</w:t>
      </w:r>
    </w:p>
    <w:p w14:paraId="36FE72BD" w14:textId="4D9C9B80" w:rsidR="00FA354D" w:rsidRPr="004C7942" w:rsidRDefault="00FA354D" w:rsidP="00FA354D">
      <w:pPr>
        <w:rPr>
          <w:rFonts w:cs="Arial"/>
          <w:sz w:val="20"/>
        </w:rPr>
      </w:pPr>
      <w:r w:rsidRPr="004C7942">
        <w:rPr>
          <w:rFonts w:cs="Arial"/>
          <w:sz w:val="20"/>
        </w:rPr>
        <w:t>Table 2.1.2 details the performance measures for each program associated with Outcome 1. It is used by IA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640BD2">
        <w:rPr>
          <w:rFonts w:cs="Arial"/>
          <w:sz w:val="20"/>
        </w:rPr>
        <w:t>5</w:t>
      </w:r>
      <w:r w:rsidRPr="004C7942">
        <w:rPr>
          <w:rFonts w:cs="Arial"/>
          <w:sz w:val="20"/>
        </w:rPr>
        <w:t>–2</w:t>
      </w:r>
      <w:r w:rsidR="00640BD2">
        <w:rPr>
          <w:rFonts w:cs="Arial"/>
          <w:sz w:val="20"/>
        </w:rPr>
        <w:t>6</w:t>
      </w:r>
      <w:r w:rsidRPr="004C7942">
        <w:rPr>
          <w:rFonts w:cs="Arial"/>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A354D" w:rsidRPr="004C7942" w14:paraId="28BA1EC4" w14:textId="77777777" w:rsidTr="008F327E">
        <w:trPr>
          <w:trHeight w:val="204"/>
          <w:tblHeader/>
        </w:trPr>
        <w:tc>
          <w:tcPr>
            <w:tcW w:w="5000" w:type="pct"/>
            <w:gridSpan w:val="3"/>
            <w:shd w:val="clear" w:color="auto" w:fill="F2F2F2" w:themeFill="background1" w:themeFillShade="F2"/>
          </w:tcPr>
          <w:p w14:paraId="5A84839E" w14:textId="18F52B6B" w:rsidR="00FA354D" w:rsidRPr="004C7942" w:rsidRDefault="00FA354D" w:rsidP="00FA354D">
            <w:pPr>
              <w:pStyle w:val="TableColumnHeadingLeft"/>
              <w:spacing w:before="60" w:after="60"/>
              <w:rPr>
                <w:rFonts w:ascii="Arial" w:hAnsi="Arial" w:cs="Arial"/>
                <w:sz w:val="20"/>
              </w:rPr>
            </w:pPr>
            <w:r w:rsidRPr="004C7942">
              <w:rPr>
                <w:rStyle w:val="TableHeadingChar"/>
                <w:rFonts w:cs="Arial"/>
                <w:b/>
                <w:sz w:val="20"/>
              </w:rPr>
              <w:t>Outcome 1</w:t>
            </w:r>
            <w:r w:rsidRPr="004C7942">
              <w:rPr>
                <w:rFonts w:ascii="Arial" w:hAnsi="Arial" w:cs="Arial"/>
                <w:sz w:val="20"/>
              </w:rPr>
              <w:t xml:space="preserve"> </w:t>
            </w:r>
            <w:r w:rsidRPr="004C7942">
              <w:rPr>
                <w:rFonts w:ascii="Arial" w:hAnsi="Arial" w:cs="Arial"/>
                <w:b w:val="0"/>
                <w:sz w:val="20"/>
              </w:rPr>
              <w:t xml:space="preserve">– </w:t>
            </w:r>
            <w:r w:rsidRPr="004C7942">
              <w:rPr>
                <w:rStyle w:val="TableHeadingChar"/>
                <w:rFonts w:cs="Arial"/>
                <w:sz w:val="20"/>
              </w:rPr>
              <w:t>Improve decision</w:t>
            </w:r>
            <w:r w:rsidR="00297670" w:rsidRPr="004C7942">
              <w:rPr>
                <w:rStyle w:val="TableHeadingChar"/>
                <w:rFonts w:cs="Arial"/>
                <w:sz w:val="20"/>
              </w:rPr>
              <w:t>–</w:t>
            </w:r>
            <w:r w:rsidRPr="004C7942">
              <w:rPr>
                <w:rStyle w:val="TableHeadingChar"/>
                <w:rFonts w:cs="Arial"/>
                <w:sz w:val="20"/>
              </w:rPr>
              <w:t>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r w:rsidR="00FA354D" w:rsidRPr="004C7942" w14:paraId="7CB93900" w14:textId="77777777" w:rsidTr="008F327E">
        <w:trPr>
          <w:trHeight w:val="204"/>
          <w:tblHeader/>
        </w:trPr>
        <w:tc>
          <w:tcPr>
            <w:tcW w:w="5000" w:type="pct"/>
            <w:gridSpan w:val="3"/>
            <w:shd w:val="clear" w:color="auto" w:fill="F2F2F2" w:themeFill="background1" w:themeFillShade="F2"/>
          </w:tcPr>
          <w:p w14:paraId="073AFAEE" w14:textId="787B6AC5" w:rsidR="00FA354D" w:rsidRPr="004C7942" w:rsidRDefault="00FA354D" w:rsidP="00FA354D">
            <w:pPr>
              <w:pStyle w:val="TableTextLeft"/>
              <w:spacing w:before="60" w:after="60"/>
              <w:rPr>
                <w:rFonts w:asciiTheme="minorHAnsi" w:hAnsiTheme="minorHAnsi"/>
                <w:b/>
                <w:sz w:val="18"/>
                <w:szCs w:val="18"/>
              </w:rPr>
            </w:pPr>
            <w:r w:rsidRPr="004C7942">
              <w:rPr>
                <w:rFonts w:cs="Arial"/>
                <w:b/>
                <w:sz w:val="18"/>
                <w:szCs w:val="18"/>
              </w:rPr>
              <w:t xml:space="preserve">Program 1.1 – </w:t>
            </w:r>
            <w:r w:rsidRPr="004C7942">
              <w:rPr>
                <w:rFonts w:cs="Arial"/>
                <w:sz w:val="18"/>
                <w:szCs w:val="18"/>
              </w:rPr>
              <w:t>IA will contribute to the Government's objective of supporting competitiveness, driving productivity and enhancing quality of life, through the provision of high quality advice</w:t>
            </w:r>
            <w:r w:rsidR="00AA4692" w:rsidRPr="004C7942">
              <w:rPr>
                <w:rFonts w:cs="Arial"/>
                <w:sz w:val="18"/>
                <w:szCs w:val="18"/>
              </w:rPr>
              <w:t>.</w:t>
            </w:r>
          </w:p>
        </w:tc>
      </w:tr>
      <w:tr w:rsidR="00FA354D" w:rsidRPr="004C7942" w14:paraId="452373B1" w14:textId="77777777" w:rsidTr="008F327E">
        <w:trPr>
          <w:trHeight w:val="204"/>
        </w:trPr>
        <w:tc>
          <w:tcPr>
            <w:tcW w:w="1001" w:type="pct"/>
            <w:tcBorders>
              <w:bottom w:val="double" w:sz="4" w:space="0" w:color="auto"/>
            </w:tcBorders>
          </w:tcPr>
          <w:p w14:paraId="68CCAC35" w14:textId="77777777" w:rsidR="00FA354D" w:rsidRPr="004C7942" w:rsidRDefault="00FA354D" w:rsidP="00FA354D">
            <w:pPr>
              <w:pStyle w:val="TableColumnHeadingLeft"/>
              <w:spacing w:before="60" w:after="60" w:line="240" w:lineRule="exact"/>
              <w:rPr>
                <w:rFonts w:ascii="Arial" w:hAnsi="Arial" w:cs="Arial"/>
              </w:rPr>
            </w:pPr>
            <w:r w:rsidRPr="004C7942">
              <w:rPr>
                <w:rFonts w:ascii="Arial" w:hAnsi="Arial" w:cs="Arial"/>
              </w:rPr>
              <w:t>Key Activities</w:t>
            </w:r>
            <w:r w:rsidRPr="004C7942">
              <w:rPr>
                <w:rFonts w:ascii="Arial" w:hAnsi="Arial" w:cs="Arial"/>
                <w:vertAlign w:val="superscript"/>
              </w:rPr>
              <w:t>(a)</w:t>
            </w:r>
          </w:p>
        </w:tc>
        <w:tc>
          <w:tcPr>
            <w:tcW w:w="3999" w:type="pct"/>
            <w:gridSpan w:val="2"/>
            <w:tcBorders>
              <w:bottom w:val="double" w:sz="4" w:space="0" w:color="auto"/>
            </w:tcBorders>
          </w:tcPr>
          <w:p w14:paraId="0EF76D29" w14:textId="4A74CF97" w:rsidR="00FA354D" w:rsidRPr="004C7942" w:rsidRDefault="00FA354D" w:rsidP="00FA354D">
            <w:pPr>
              <w:pStyle w:val="TableTextLeft"/>
              <w:spacing w:before="60" w:after="60"/>
              <w:rPr>
                <w:rFonts w:asciiTheme="minorHAnsi" w:hAnsiTheme="minorHAnsi" w:cstheme="minorHAnsi"/>
                <w:i/>
              </w:rPr>
            </w:pPr>
            <w:r w:rsidRPr="004C7942">
              <w:rPr>
                <w:iCs/>
                <w:szCs w:val="16"/>
              </w:rPr>
              <w:t xml:space="preserve">IA will provide high quality independent advice on nationally significant infrastructure matters to the Australian Government. This advice will include published project evaluations, infrastructure priority lists, Annual Budget </w:t>
            </w:r>
            <w:r w:rsidR="00584080" w:rsidRPr="004C7942">
              <w:rPr>
                <w:iCs/>
                <w:szCs w:val="16"/>
              </w:rPr>
              <w:t>and</w:t>
            </w:r>
            <w:r w:rsidRPr="004C7942">
              <w:rPr>
                <w:iCs/>
                <w:szCs w:val="16"/>
              </w:rPr>
              <w:t xml:space="preserve"> Performance Statements</w:t>
            </w:r>
            <w:r w:rsidR="00584080" w:rsidRPr="004C7942">
              <w:rPr>
                <w:iCs/>
                <w:szCs w:val="16"/>
              </w:rPr>
              <w:t>,</w:t>
            </w:r>
            <w:r w:rsidRPr="004C7942">
              <w:rPr>
                <w:iCs/>
                <w:szCs w:val="16"/>
              </w:rPr>
              <w:t xml:space="preserve"> and other initiatives</w:t>
            </w:r>
          </w:p>
        </w:tc>
      </w:tr>
      <w:tr w:rsidR="00FA354D" w:rsidRPr="004C7942" w14:paraId="65BB2AB1" w14:textId="77777777" w:rsidTr="008F327E">
        <w:trPr>
          <w:trHeight w:val="204"/>
        </w:trPr>
        <w:tc>
          <w:tcPr>
            <w:tcW w:w="1001" w:type="pct"/>
            <w:tcBorders>
              <w:top w:val="double" w:sz="4" w:space="0" w:color="auto"/>
              <w:bottom w:val="single" w:sz="4" w:space="0" w:color="auto"/>
              <w:right w:val="single" w:sz="4" w:space="0" w:color="auto"/>
            </w:tcBorders>
          </w:tcPr>
          <w:p w14:paraId="7C1A372C" w14:textId="77777777" w:rsidR="00FA354D" w:rsidRPr="004C7942" w:rsidRDefault="00FA354D" w:rsidP="00FA354D">
            <w:pPr>
              <w:pStyle w:val="TableColumnHeadingLeft"/>
              <w:spacing w:before="60" w:after="60"/>
              <w:rPr>
                <w:rFonts w:ascii="Arial" w:hAnsi="Arial" w:cs="Arial"/>
              </w:rPr>
            </w:pPr>
            <w:r w:rsidRPr="004C7942">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14C38614" w14:textId="12106698" w:rsidR="00FA354D" w:rsidRPr="004C7942" w:rsidRDefault="00FA354D" w:rsidP="00FA354D">
            <w:pPr>
              <w:pStyle w:val="TableColumnHeadingLeft"/>
              <w:spacing w:before="60" w:after="60"/>
              <w:rPr>
                <w:rFonts w:ascii="Arial" w:hAnsi="Arial" w:cs="Arial"/>
              </w:rPr>
            </w:pPr>
            <w:r w:rsidRPr="004C7942">
              <w:rPr>
                <w:rFonts w:ascii="Arial" w:hAnsi="Arial" w:cs="Arial"/>
              </w:rPr>
              <w:t xml:space="preserve">Performance </w:t>
            </w:r>
            <w:r w:rsidR="00640BD2">
              <w:rPr>
                <w:rFonts w:ascii="Arial" w:hAnsi="Arial" w:cs="Arial"/>
              </w:rPr>
              <w:t>M</w:t>
            </w:r>
            <w:r w:rsidRPr="004C7942">
              <w:rPr>
                <w:rFonts w:ascii="Arial" w:hAnsi="Arial" w:cs="Arial"/>
              </w:rPr>
              <w:t>easures</w:t>
            </w:r>
          </w:p>
        </w:tc>
        <w:tc>
          <w:tcPr>
            <w:tcW w:w="1999" w:type="pct"/>
            <w:tcBorders>
              <w:top w:val="double" w:sz="4" w:space="0" w:color="auto"/>
              <w:left w:val="single" w:sz="4" w:space="0" w:color="auto"/>
              <w:bottom w:val="single" w:sz="4" w:space="0" w:color="auto"/>
            </w:tcBorders>
          </w:tcPr>
          <w:p w14:paraId="2BFB60BE" w14:textId="77777777" w:rsidR="00FA354D" w:rsidRPr="004C7942" w:rsidRDefault="00FA354D" w:rsidP="00FA354D">
            <w:pPr>
              <w:pStyle w:val="TableColumnHeadingLeft"/>
              <w:spacing w:before="60" w:after="60"/>
              <w:rPr>
                <w:rFonts w:ascii="Arial" w:hAnsi="Arial" w:cs="Arial"/>
              </w:rPr>
            </w:pPr>
            <w:r w:rsidRPr="004C7942">
              <w:rPr>
                <w:rFonts w:ascii="Arial" w:hAnsi="Arial" w:cs="Arial"/>
              </w:rPr>
              <w:t>Expected Performance Results</w:t>
            </w:r>
          </w:p>
        </w:tc>
      </w:tr>
      <w:tr w:rsidR="004C7942" w:rsidRPr="004C7942" w14:paraId="2F440CE8" w14:textId="77777777" w:rsidTr="004C7942">
        <w:trPr>
          <w:trHeight w:val="204"/>
        </w:trPr>
        <w:tc>
          <w:tcPr>
            <w:tcW w:w="1001" w:type="pct"/>
            <w:vMerge w:val="restart"/>
            <w:tcBorders>
              <w:top w:val="single" w:sz="4" w:space="0" w:color="auto"/>
              <w:right w:val="single" w:sz="4" w:space="0" w:color="auto"/>
            </w:tcBorders>
          </w:tcPr>
          <w:p w14:paraId="5861C80D" w14:textId="13039FAA" w:rsidR="004C7942" w:rsidRPr="004C7942" w:rsidRDefault="004C7942" w:rsidP="004C7942">
            <w:pPr>
              <w:pStyle w:val="TableTextBase"/>
              <w:spacing w:before="60" w:after="60"/>
              <w:rPr>
                <w:rFonts w:cs="Arial"/>
              </w:rPr>
            </w:pPr>
            <w:r w:rsidRPr="004C7942">
              <w:rPr>
                <w:rFonts w:cs="Arial"/>
              </w:rPr>
              <w:t>Current Year</w:t>
            </w:r>
            <w:r w:rsidRPr="004C7942">
              <w:rPr>
                <w:rFonts w:cs="Arial"/>
              </w:rPr>
              <w:br/>
              <w:t>2024–25</w:t>
            </w:r>
          </w:p>
        </w:tc>
        <w:tc>
          <w:tcPr>
            <w:tcW w:w="2000" w:type="pct"/>
            <w:tcBorders>
              <w:top w:val="single" w:sz="4" w:space="0" w:color="auto"/>
              <w:left w:val="single" w:sz="4" w:space="0" w:color="auto"/>
              <w:bottom w:val="single" w:sz="4" w:space="0" w:color="auto"/>
              <w:right w:val="single" w:sz="4" w:space="0" w:color="auto"/>
            </w:tcBorders>
          </w:tcPr>
          <w:p w14:paraId="3A448F50" w14:textId="1C90547D" w:rsidR="004C7942" w:rsidRPr="004C7942" w:rsidRDefault="004C7942" w:rsidP="004C7942">
            <w:pPr>
              <w:pStyle w:val="TableTextLeft"/>
              <w:spacing w:before="60" w:after="60"/>
              <w:rPr>
                <w:iCs/>
                <w:szCs w:val="16"/>
              </w:rPr>
            </w:pPr>
            <w:r w:rsidRPr="00C77343">
              <w:rPr>
                <w:rFonts w:cs="Arial"/>
                <w:iCs/>
                <w:szCs w:val="16"/>
              </w:rPr>
              <w:t>Provide independent advice to the Australian Government and perform the necessary functions to meet legislative and Statement of Expectations’ requirements</w:t>
            </w:r>
          </w:p>
        </w:tc>
        <w:tc>
          <w:tcPr>
            <w:tcW w:w="1999" w:type="pct"/>
            <w:tcBorders>
              <w:top w:val="single" w:sz="4" w:space="0" w:color="auto"/>
              <w:left w:val="single" w:sz="4" w:space="0" w:color="auto"/>
              <w:bottom w:val="single" w:sz="4" w:space="0" w:color="auto"/>
            </w:tcBorders>
          </w:tcPr>
          <w:p w14:paraId="733ABBD0" w14:textId="612A7C89" w:rsidR="004C7942" w:rsidRPr="004C7942" w:rsidRDefault="004C7942" w:rsidP="004C7942">
            <w:pPr>
              <w:pStyle w:val="TableTextLeft"/>
              <w:spacing w:before="60" w:after="60"/>
              <w:rPr>
                <w:iCs/>
                <w:szCs w:val="16"/>
              </w:rPr>
            </w:pPr>
            <w:r w:rsidRPr="00C77343">
              <w:rPr>
                <w:rFonts w:cs="Arial"/>
                <w:iCs/>
                <w:szCs w:val="16"/>
              </w:rPr>
              <w:t>Target expected to be achieved</w:t>
            </w:r>
          </w:p>
        </w:tc>
      </w:tr>
      <w:tr w:rsidR="004C7942" w:rsidRPr="004C7942" w14:paraId="72A1D72E" w14:textId="77777777" w:rsidTr="004C7942">
        <w:trPr>
          <w:trHeight w:val="204"/>
        </w:trPr>
        <w:tc>
          <w:tcPr>
            <w:tcW w:w="1001" w:type="pct"/>
            <w:vMerge/>
            <w:tcBorders>
              <w:bottom w:val="double" w:sz="4" w:space="0" w:color="auto"/>
              <w:right w:val="single" w:sz="4" w:space="0" w:color="auto"/>
            </w:tcBorders>
          </w:tcPr>
          <w:p w14:paraId="51667D60" w14:textId="77777777" w:rsidR="004C7942" w:rsidRPr="004C7942" w:rsidRDefault="004C7942" w:rsidP="004C7942">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14:paraId="63E4A3EA" w14:textId="0166B609" w:rsidR="004C7942" w:rsidRPr="004C7942" w:rsidRDefault="004C7942" w:rsidP="004C7942">
            <w:pPr>
              <w:pStyle w:val="TableTextLeft"/>
              <w:spacing w:before="60" w:after="60"/>
              <w:rPr>
                <w:iCs/>
                <w:szCs w:val="16"/>
              </w:rPr>
            </w:pPr>
            <w:r w:rsidRPr="00C77343">
              <w:rPr>
                <w:rFonts w:cs="Arial"/>
                <w:iCs/>
                <w:szCs w:val="16"/>
              </w:rPr>
              <w:t>Development of a revised Corporate Plan for 2025-26 onwards after the organisation transitions to a Commission model</w:t>
            </w:r>
          </w:p>
        </w:tc>
        <w:tc>
          <w:tcPr>
            <w:tcW w:w="1999" w:type="pct"/>
            <w:tcBorders>
              <w:top w:val="single" w:sz="4" w:space="0" w:color="auto"/>
              <w:left w:val="single" w:sz="4" w:space="0" w:color="auto"/>
              <w:bottom w:val="double" w:sz="4" w:space="0" w:color="auto"/>
            </w:tcBorders>
          </w:tcPr>
          <w:p w14:paraId="55713241" w14:textId="45B2A24F" w:rsidR="004C7942" w:rsidRPr="004C7942" w:rsidRDefault="004C7942" w:rsidP="004C7942">
            <w:pPr>
              <w:pStyle w:val="TableTextLeft"/>
              <w:spacing w:before="60" w:after="60"/>
              <w:rPr>
                <w:iCs/>
                <w:szCs w:val="16"/>
              </w:rPr>
            </w:pPr>
            <w:r w:rsidRPr="00C77343">
              <w:rPr>
                <w:rFonts w:cs="Arial"/>
                <w:iCs/>
                <w:szCs w:val="16"/>
              </w:rPr>
              <w:t>Target expected to be achieved</w:t>
            </w:r>
          </w:p>
        </w:tc>
      </w:tr>
      <w:tr w:rsidR="00FA354D" w:rsidRPr="004C7942" w14:paraId="749001DA" w14:textId="77777777" w:rsidTr="008F327E">
        <w:trPr>
          <w:trHeight w:val="204"/>
        </w:trPr>
        <w:tc>
          <w:tcPr>
            <w:tcW w:w="1001" w:type="pct"/>
            <w:tcBorders>
              <w:top w:val="double" w:sz="4" w:space="0" w:color="auto"/>
              <w:bottom w:val="single" w:sz="4" w:space="0" w:color="auto"/>
              <w:right w:val="single" w:sz="4" w:space="0" w:color="auto"/>
            </w:tcBorders>
          </w:tcPr>
          <w:p w14:paraId="60AFDAF3" w14:textId="77777777" w:rsidR="00FA354D" w:rsidRPr="004C7942" w:rsidRDefault="00FA354D" w:rsidP="00FA354D">
            <w:pPr>
              <w:pStyle w:val="TableColumnHeadingLeft"/>
              <w:spacing w:before="60" w:after="60"/>
              <w:rPr>
                <w:rFonts w:ascii="Arial" w:hAnsi="Arial" w:cs="Arial"/>
              </w:rPr>
            </w:pPr>
            <w:r w:rsidRPr="004C7942">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556F7EBB" w14:textId="6C6C47A6" w:rsidR="00FA354D" w:rsidRPr="004C7942" w:rsidRDefault="00FA354D" w:rsidP="00FA354D">
            <w:pPr>
              <w:pStyle w:val="TableColumnHeadingLeft"/>
              <w:spacing w:before="60" w:after="60"/>
              <w:rPr>
                <w:rFonts w:ascii="Arial" w:hAnsi="Arial" w:cs="Arial"/>
              </w:rPr>
            </w:pPr>
            <w:r w:rsidRPr="004C7942">
              <w:rPr>
                <w:rFonts w:ascii="Arial" w:hAnsi="Arial" w:cs="Arial"/>
              </w:rPr>
              <w:t xml:space="preserve">Performance </w:t>
            </w:r>
            <w:r w:rsidR="00640BD2">
              <w:rPr>
                <w:rFonts w:ascii="Arial" w:hAnsi="Arial" w:cs="Arial"/>
              </w:rPr>
              <w:t>M</w:t>
            </w:r>
            <w:r w:rsidRPr="004C7942">
              <w:rPr>
                <w:rFonts w:ascii="Arial" w:hAnsi="Arial" w:cs="Arial"/>
              </w:rPr>
              <w:t>easures</w:t>
            </w:r>
            <w:r w:rsidR="00D022DB" w:rsidRPr="00D022DB">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14:paraId="315DBFB3" w14:textId="77777777" w:rsidR="00FA354D" w:rsidRPr="004C7942" w:rsidRDefault="00FA354D" w:rsidP="00FA354D">
            <w:pPr>
              <w:pStyle w:val="TableColumnHeadingLeft"/>
              <w:spacing w:before="60" w:after="60"/>
              <w:rPr>
                <w:rFonts w:ascii="Arial" w:hAnsi="Arial" w:cs="Arial"/>
              </w:rPr>
            </w:pPr>
            <w:r w:rsidRPr="004C7942">
              <w:rPr>
                <w:rFonts w:ascii="Arial" w:hAnsi="Arial" w:cs="Arial"/>
              </w:rPr>
              <w:t>Planned Performance Results</w:t>
            </w:r>
          </w:p>
        </w:tc>
      </w:tr>
      <w:tr w:rsidR="004C7942" w:rsidRPr="004C7942" w14:paraId="11DCACD5" w14:textId="77777777" w:rsidTr="008F327E">
        <w:trPr>
          <w:trHeight w:val="204"/>
        </w:trPr>
        <w:tc>
          <w:tcPr>
            <w:tcW w:w="1001" w:type="pct"/>
            <w:tcBorders>
              <w:top w:val="single" w:sz="4" w:space="0" w:color="auto"/>
              <w:right w:val="single" w:sz="4" w:space="0" w:color="auto"/>
            </w:tcBorders>
          </w:tcPr>
          <w:p w14:paraId="53A40181" w14:textId="37960FB1" w:rsidR="004C7942" w:rsidRPr="004C7942" w:rsidRDefault="004C7942" w:rsidP="004C7942">
            <w:pPr>
              <w:pStyle w:val="TableTextLeft"/>
              <w:spacing w:before="60" w:after="60"/>
              <w:rPr>
                <w:rFonts w:cs="Arial"/>
              </w:rPr>
            </w:pPr>
            <w:r w:rsidRPr="004C7942">
              <w:rPr>
                <w:rFonts w:cs="Arial"/>
              </w:rPr>
              <w:t>Budget Year</w:t>
            </w:r>
            <w:r w:rsidRPr="004C7942">
              <w:rPr>
                <w:rFonts w:cs="Arial"/>
              </w:rPr>
              <w:br/>
              <w:t>2025–26</w:t>
            </w:r>
          </w:p>
        </w:tc>
        <w:tc>
          <w:tcPr>
            <w:tcW w:w="2000" w:type="pct"/>
            <w:tcBorders>
              <w:top w:val="single" w:sz="4" w:space="0" w:color="auto"/>
              <w:left w:val="single" w:sz="4" w:space="0" w:color="auto"/>
              <w:bottom w:val="dotted" w:sz="4" w:space="0" w:color="auto"/>
              <w:right w:val="single" w:sz="4" w:space="0" w:color="auto"/>
            </w:tcBorders>
          </w:tcPr>
          <w:p w14:paraId="55DA8EB3" w14:textId="33BC4977" w:rsidR="004C7942" w:rsidRPr="004C7942" w:rsidRDefault="004C7942" w:rsidP="004C7942">
            <w:pPr>
              <w:pStyle w:val="TableTextLeft"/>
              <w:spacing w:before="60" w:after="60"/>
              <w:rPr>
                <w:iCs/>
                <w:szCs w:val="16"/>
              </w:rPr>
            </w:pPr>
            <w:r w:rsidRPr="00C77343">
              <w:rPr>
                <w:rFonts w:cs="Arial"/>
                <w:szCs w:val="16"/>
              </w:rPr>
              <w:t>New performance measures are expected to be added in the 2025-29 Corporate Plan</w:t>
            </w:r>
          </w:p>
        </w:tc>
        <w:tc>
          <w:tcPr>
            <w:tcW w:w="1999" w:type="pct"/>
            <w:tcBorders>
              <w:top w:val="single" w:sz="4" w:space="0" w:color="auto"/>
              <w:left w:val="single" w:sz="4" w:space="0" w:color="auto"/>
              <w:bottom w:val="dotted" w:sz="4" w:space="0" w:color="auto"/>
            </w:tcBorders>
          </w:tcPr>
          <w:p w14:paraId="3CA144E4" w14:textId="3A3C0490" w:rsidR="004C7942" w:rsidRPr="004C7942" w:rsidRDefault="004C7942" w:rsidP="004C7942">
            <w:pPr>
              <w:pStyle w:val="TableTextLeft"/>
              <w:spacing w:before="60" w:after="60"/>
              <w:rPr>
                <w:iCs/>
                <w:szCs w:val="16"/>
              </w:rPr>
            </w:pPr>
            <w:r w:rsidRPr="00C77343">
              <w:rPr>
                <w:rFonts w:cs="Arial"/>
                <w:szCs w:val="16"/>
              </w:rPr>
              <w:t>New performance measures are expected to be added in the 2025-29 Corporate Plan</w:t>
            </w:r>
          </w:p>
        </w:tc>
      </w:tr>
      <w:tr w:rsidR="00FA354D" w:rsidRPr="004C7942" w14:paraId="44C85C0F" w14:textId="77777777" w:rsidTr="008F327E">
        <w:trPr>
          <w:trHeight w:val="204"/>
        </w:trPr>
        <w:tc>
          <w:tcPr>
            <w:tcW w:w="1001" w:type="pct"/>
            <w:tcBorders>
              <w:top w:val="single" w:sz="4" w:space="0" w:color="auto"/>
              <w:bottom w:val="single" w:sz="4" w:space="0" w:color="auto"/>
              <w:right w:val="single" w:sz="4" w:space="0" w:color="auto"/>
            </w:tcBorders>
          </w:tcPr>
          <w:p w14:paraId="3E6D3419" w14:textId="15981921" w:rsidR="00FA354D" w:rsidRPr="004C7942" w:rsidRDefault="00FA354D" w:rsidP="00FA354D">
            <w:pPr>
              <w:pStyle w:val="TableTextLeft"/>
              <w:spacing w:before="60" w:after="60"/>
              <w:rPr>
                <w:rFonts w:cs="Arial"/>
              </w:rPr>
            </w:pPr>
            <w:r w:rsidRPr="004C7942">
              <w:rPr>
                <w:rFonts w:cs="Arial"/>
              </w:rPr>
              <w:t>Forward Estimates</w:t>
            </w:r>
            <w:r w:rsidRPr="004C7942">
              <w:rPr>
                <w:rFonts w:cs="Arial"/>
              </w:rPr>
              <w:br/>
              <w:t>202</w:t>
            </w:r>
            <w:r w:rsidR="00603CF4" w:rsidRPr="004C7942">
              <w:rPr>
                <w:rFonts w:cs="Arial"/>
              </w:rPr>
              <w:t>6</w:t>
            </w:r>
            <w:r w:rsidR="00297670" w:rsidRPr="004C7942">
              <w:rPr>
                <w:rFonts w:cs="Arial"/>
              </w:rPr>
              <w:t>–</w:t>
            </w:r>
            <w:r w:rsidRPr="004C7942">
              <w:rPr>
                <w:rFonts w:cs="Arial"/>
              </w:rPr>
              <w:t>2</w:t>
            </w:r>
            <w:r w:rsidR="00603CF4" w:rsidRPr="004C7942">
              <w:rPr>
                <w:rFonts w:cs="Arial"/>
              </w:rPr>
              <w:t>9</w:t>
            </w:r>
          </w:p>
        </w:tc>
        <w:tc>
          <w:tcPr>
            <w:tcW w:w="2000" w:type="pct"/>
            <w:tcBorders>
              <w:top w:val="single" w:sz="4" w:space="0" w:color="auto"/>
              <w:left w:val="single" w:sz="4" w:space="0" w:color="auto"/>
              <w:bottom w:val="single" w:sz="4" w:space="0" w:color="auto"/>
              <w:right w:val="single" w:sz="4" w:space="0" w:color="auto"/>
            </w:tcBorders>
          </w:tcPr>
          <w:p w14:paraId="7E746889" w14:textId="12425EDC" w:rsidR="00FA354D" w:rsidRPr="004C7942" w:rsidRDefault="00FA354D" w:rsidP="00FA354D">
            <w:pPr>
              <w:pStyle w:val="TableTextLeft"/>
              <w:spacing w:before="60" w:after="60"/>
              <w:rPr>
                <w:iCs/>
                <w:szCs w:val="16"/>
              </w:rPr>
            </w:pPr>
            <w:r w:rsidRPr="004C7942">
              <w:rPr>
                <w:iCs/>
                <w:szCs w:val="16"/>
              </w:rPr>
              <w:t>As per 202</w:t>
            </w:r>
            <w:r w:rsidR="004C7942">
              <w:rPr>
                <w:iCs/>
                <w:szCs w:val="16"/>
              </w:rPr>
              <w:t>5</w:t>
            </w:r>
            <w:r w:rsidR="00297670" w:rsidRPr="004C7942">
              <w:rPr>
                <w:iCs/>
                <w:szCs w:val="16"/>
              </w:rPr>
              <w:t>–</w:t>
            </w:r>
            <w:r w:rsidRPr="004C7942">
              <w:rPr>
                <w:iCs/>
                <w:szCs w:val="16"/>
              </w:rPr>
              <w:t>2</w:t>
            </w:r>
            <w:r w:rsidR="004C7942">
              <w:rPr>
                <w:iCs/>
                <w:szCs w:val="16"/>
              </w:rPr>
              <w:t>6</w:t>
            </w:r>
          </w:p>
        </w:tc>
        <w:tc>
          <w:tcPr>
            <w:tcW w:w="1999" w:type="pct"/>
            <w:tcBorders>
              <w:top w:val="single" w:sz="4" w:space="0" w:color="auto"/>
              <w:left w:val="single" w:sz="4" w:space="0" w:color="auto"/>
              <w:bottom w:val="single" w:sz="4" w:space="0" w:color="auto"/>
            </w:tcBorders>
          </w:tcPr>
          <w:p w14:paraId="52DB5E95" w14:textId="3BD77DE4" w:rsidR="00FA354D" w:rsidRPr="004C7942" w:rsidRDefault="00FA354D" w:rsidP="00FA354D">
            <w:pPr>
              <w:pStyle w:val="TableTextLeft"/>
              <w:spacing w:before="60" w:after="60"/>
              <w:rPr>
                <w:iCs/>
                <w:szCs w:val="16"/>
              </w:rPr>
            </w:pPr>
            <w:r w:rsidRPr="004C7942">
              <w:rPr>
                <w:iCs/>
                <w:szCs w:val="16"/>
              </w:rPr>
              <w:t>As per 202</w:t>
            </w:r>
            <w:r w:rsidR="004C7942">
              <w:rPr>
                <w:iCs/>
                <w:szCs w:val="16"/>
              </w:rPr>
              <w:t>5</w:t>
            </w:r>
            <w:r w:rsidR="00297670" w:rsidRPr="004C7942">
              <w:rPr>
                <w:iCs/>
                <w:szCs w:val="16"/>
              </w:rPr>
              <w:t>–</w:t>
            </w:r>
            <w:r w:rsidRPr="004C7942">
              <w:rPr>
                <w:iCs/>
                <w:szCs w:val="16"/>
              </w:rPr>
              <w:t>2</w:t>
            </w:r>
            <w:r w:rsidR="004C7942">
              <w:rPr>
                <w:iCs/>
                <w:szCs w:val="16"/>
              </w:rPr>
              <w:t>6</w:t>
            </w:r>
          </w:p>
        </w:tc>
      </w:tr>
    </w:tbl>
    <w:p w14:paraId="558094CC" w14:textId="7E700E6A" w:rsidR="00FA354D" w:rsidRDefault="00FA354D" w:rsidP="00B43339">
      <w:pPr>
        <w:pStyle w:val="ChartandTableFootnoteAlpha"/>
        <w:numPr>
          <w:ilvl w:val="0"/>
          <w:numId w:val="112"/>
        </w:numPr>
        <w:ind w:left="357" w:hanging="357"/>
        <w:rPr>
          <w:rFonts w:cs="Arial"/>
        </w:rPr>
      </w:pPr>
      <w:r w:rsidRPr="004C7942">
        <w:rPr>
          <w:rFonts w:cs="Arial"/>
        </w:rPr>
        <w:t>Additional products and functions have been added to reflect the changes to IA’s legislation in December 2023.</w:t>
      </w:r>
    </w:p>
    <w:p w14:paraId="2BE5FD0F" w14:textId="351366C6" w:rsidR="00D022DB" w:rsidRPr="00D022DB" w:rsidRDefault="00D022DB" w:rsidP="00D022DB">
      <w:pPr>
        <w:pStyle w:val="ChartandTableFootnoteAlpha"/>
        <w:numPr>
          <w:ilvl w:val="0"/>
          <w:numId w:val="112"/>
        </w:numPr>
      </w:pPr>
      <w:r>
        <w:t xml:space="preserve">New of modified performance measures are expected in the 2025-26 Budget year, to reflect change to Commission model. </w:t>
      </w:r>
    </w:p>
    <w:p w14:paraId="694A7557" w14:textId="77777777" w:rsidR="00FA354D" w:rsidRPr="003F403E" w:rsidRDefault="00FA354D" w:rsidP="00FA354D">
      <w:pPr>
        <w:spacing w:before="0" w:after="0" w:line="240" w:lineRule="auto"/>
        <w:rPr>
          <w:rFonts w:ascii="Arial" w:eastAsia="Calibri" w:hAnsi="Arial" w:cs="Arial"/>
          <w:sz w:val="16"/>
          <w:szCs w:val="22"/>
          <w:lang w:val="en-US" w:eastAsia="en-US"/>
        </w:rPr>
      </w:pPr>
      <w:r>
        <w:rPr>
          <w:rFonts w:ascii="Arial" w:hAnsi="Arial" w:cs="Arial"/>
          <w:sz w:val="16"/>
        </w:rPr>
        <w:br w:type="page"/>
      </w:r>
    </w:p>
    <w:p w14:paraId="68848004" w14:textId="4E3940A6" w:rsidR="00FA354D" w:rsidRPr="006913EB" w:rsidRDefault="00FA354D" w:rsidP="00FA354D">
      <w:pPr>
        <w:pStyle w:val="Heading2-IA"/>
      </w:pPr>
      <w:bookmarkStart w:id="17" w:name="_Toc165838208"/>
      <w:r w:rsidRPr="006913EB">
        <w:lastRenderedPageBreak/>
        <w:t>Section 3: Budgeted financial statements</w:t>
      </w:r>
      <w:bookmarkEnd w:id="17"/>
    </w:p>
    <w:p w14:paraId="3E300B7F" w14:textId="4C1E3E86" w:rsidR="00FA354D" w:rsidRPr="004C7942" w:rsidRDefault="00FA354D" w:rsidP="00FA354D">
      <w:pPr>
        <w:rPr>
          <w:sz w:val="20"/>
        </w:rPr>
      </w:pPr>
      <w:r w:rsidRPr="004C7942">
        <w:rPr>
          <w:sz w:val="20"/>
        </w:rPr>
        <w:t xml:space="preserve">Section 3 presents budgeted financial statements which provide a comprehensive snapshot of </w:t>
      </w:r>
      <w:r w:rsidR="00584080" w:rsidRPr="004C7942">
        <w:rPr>
          <w:sz w:val="20"/>
        </w:rPr>
        <w:t>IA’s</w:t>
      </w:r>
      <w:r w:rsidRPr="004C7942">
        <w:rPr>
          <w:sz w:val="20"/>
        </w:rPr>
        <w:t xml:space="preserve"> finances for the 202</w:t>
      </w:r>
      <w:r w:rsidR="004C7942" w:rsidRPr="004C7942">
        <w:rPr>
          <w:sz w:val="20"/>
        </w:rPr>
        <w:t>5</w:t>
      </w:r>
      <w:r w:rsidRPr="004C7942">
        <w:rPr>
          <w:sz w:val="20"/>
        </w:rPr>
        <w:t>–2</w:t>
      </w:r>
      <w:r w:rsidR="004C7942" w:rsidRPr="004C7942">
        <w:rPr>
          <w:sz w:val="20"/>
        </w:rPr>
        <w:t>6</w:t>
      </w:r>
      <w:r w:rsidRPr="004C7942">
        <w:rPr>
          <w:color w:val="00B050"/>
          <w:sz w:val="20"/>
        </w:rPr>
        <w:t xml:space="preserve"> </w:t>
      </w:r>
      <w:r w:rsidRPr="004C7942">
        <w:rPr>
          <w:sz w:val="20"/>
        </w:rPr>
        <w:t>budget year, including the impact of budget measures and resourcing on financial statements.</w:t>
      </w:r>
    </w:p>
    <w:p w14:paraId="5435CC25" w14:textId="5FD7D18F" w:rsidR="00FA354D" w:rsidRPr="004C7942" w:rsidRDefault="00FA354D" w:rsidP="00FA354D">
      <w:pPr>
        <w:pStyle w:val="Heading3-IA"/>
      </w:pPr>
      <w:bookmarkStart w:id="18" w:name="_Toc165838209"/>
      <w:r w:rsidRPr="004C7942">
        <w:t>3.1</w:t>
      </w:r>
      <w:r w:rsidRPr="004C7942">
        <w:tab/>
        <w:t>Budgeted financial statements</w:t>
      </w:r>
      <w:bookmarkEnd w:id="18"/>
    </w:p>
    <w:p w14:paraId="2EE58C72" w14:textId="77777777" w:rsidR="00FA354D" w:rsidRPr="004C7942" w:rsidRDefault="00FA354D" w:rsidP="00FA354D">
      <w:pPr>
        <w:pStyle w:val="Heading4-IA"/>
      </w:pPr>
      <w:r w:rsidRPr="004C7942">
        <w:t>3.1.1</w:t>
      </w:r>
      <w:r w:rsidRPr="004C7942">
        <w:tab/>
        <w:t>Explanatory notes and analysis of budgeted financial statements</w:t>
      </w:r>
    </w:p>
    <w:p w14:paraId="3749C58F" w14:textId="77777777" w:rsidR="00FA354D" w:rsidRPr="004C7942" w:rsidRDefault="00FA354D" w:rsidP="00FA354D">
      <w:pPr>
        <w:rPr>
          <w:b/>
          <w:bCs/>
          <w:sz w:val="20"/>
        </w:rPr>
      </w:pPr>
      <w:r w:rsidRPr="004C7942">
        <w:rPr>
          <w:b/>
          <w:bCs/>
          <w:sz w:val="20"/>
        </w:rPr>
        <w:t>Revenue</w:t>
      </w:r>
    </w:p>
    <w:p w14:paraId="69F5DE3A" w14:textId="77777777" w:rsidR="004C7942" w:rsidRPr="004C7942" w:rsidRDefault="004C7942" w:rsidP="004C7942">
      <w:pPr>
        <w:pStyle w:val="ExampleText0"/>
        <w:rPr>
          <w:i w:val="0"/>
          <w:color w:val="auto"/>
          <w:sz w:val="20"/>
        </w:rPr>
      </w:pPr>
      <w:r w:rsidRPr="004C7942">
        <w:rPr>
          <w:i w:val="0"/>
          <w:color w:val="auto"/>
          <w:sz w:val="20"/>
        </w:rPr>
        <w:t>The vast majority of IA’s budgeted revenues are appropriations, totalling $13.4 million in 2025-26. In addition to appropriations IA earns a small amount of interest revenue from its cash deposits, budgeted at $0.5 million for 2025-26.</w:t>
      </w:r>
    </w:p>
    <w:p w14:paraId="676BB037" w14:textId="77777777" w:rsidR="00FA354D" w:rsidRPr="004C7942" w:rsidRDefault="00FA354D" w:rsidP="00FA354D">
      <w:pPr>
        <w:rPr>
          <w:b/>
          <w:bCs/>
          <w:sz w:val="20"/>
        </w:rPr>
      </w:pPr>
      <w:r w:rsidRPr="004C7942">
        <w:rPr>
          <w:b/>
          <w:bCs/>
          <w:sz w:val="20"/>
        </w:rPr>
        <w:t>Expenses</w:t>
      </w:r>
    </w:p>
    <w:p w14:paraId="707B2997" w14:textId="77777777" w:rsidR="004C7942" w:rsidRPr="004C7942" w:rsidRDefault="004C7942" w:rsidP="004C7942">
      <w:pPr>
        <w:pStyle w:val="ExampleText0"/>
        <w:rPr>
          <w:i w:val="0"/>
          <w:color w:val="auto"/>
          <w:sz w:val="20"/>
        </w:rPr>
      </w:pPr>
      <w:r w:rsidRPr="004C7942">
        <w:rPr>
          <w:i w:val="0"/>
          <w:color w:val="auto"/>
          <w:sz w:val="20"/>
        </w:rPr>
        <w:t>IA is budgeting for expenses of $13.9 million in 2025-26. This consists of $9.8</w:t>
      </w:r>
      <w:r w:rsidRPr="004C7942">
        <w:rPr>
          <w:color w:val="auto"/>
          <w:sz w:val="20"/>
        </w:rPr>
        <w:t> </w:t>
      </w:r>
      <w:r w:rsidRPr="004C7942">
        <w:rPr>
          <w:i w:val="0"/>
          <w:color w:val="auto"/>
          <w:sz w:val="20"/>
        </w:rPr>
        <w:t>million employee expenses, $3.2</w:t>
      </w:r>
      <w:r w:rsidRPr="004C7942">
        <w:rPr>
          <w:sz w:val="20"/>
        </w:rPr>
        <w:t xml:space="preserve"> </w:t>
      </w:r>
      <w:r w:rsidRPr="004C7942">
        <w:rPr>
          <w:i w:val="0"/>
          <w:color w:val="auto"/>
          <w:sz w:val="20"/>
        </w:rPr>
        <w:t>million supplier expenses and $0.9 million in depreciation, amortisation and finance costs.</w:t>
      </w:r>
    </w:p>
    <w:p w14:paraId="3FF76949" w14:textId="77777777" w:rsidR="004C7942" w:rsidRPr="004C7942" w:rsidRDefault="004C7942" w:rsidP="004C7942">
      <w:pPr>
        <w:pStyle w:val="ExampleText0"/>
        <w:rPr>
          <w:i w:val="0"/>
          <w:color w:val="auto"/>
          <w:sz w:val="20"/>
        </w:rPr>
      </w:pPr>
      <w:r w:rsidRPr="004C7942">
        <w:rPr>
          <w:i w:val="0"/>
          <w:color w:val="auto"/>
          <w:sz w:val="20"/>
        </w:rPr>
        <w:t xml:space="preserve">IA’s expense budget reflects the work program for IA in 2025–26. This includes the continued provision of advice on nationally significant infrastructure matters to Government through the delivery of an Infrastructure Priority List, Annual Budget and Annual Performance Statement, evaluations or reviews of project proposals and the delivery of our annual Market Capacity Report. </w:t>
      </w:r>
    </w:p>
    <w:p w14:paraId="118EF0DC" w14:textId="77777777" w:rsidR="004C7942" w:rsidRPr="004C7942" w:rsidRDefault="004C7942" w:rsidP="004C7942">
      <w:pPr>
        <w:pStyle w:val="ExampleText0"/>
        <w:rPr>
          <w:i w:val="0"/>
          <w:color w:val="auto"/>
          <w:sz w:val="20"/>
        </w:rPr>
      </w:pPr>
      <w:r w:rsidRPr="004C7942">
        <w:rPr>
          <w:i w:val="0"/>
          <w:color w:val="auto"/>
          <w:sz w:val="20"/>
        </w:rPr>
        <w:t>In addition to this IA will continue the development of new and improved products in line with the revised legislation and Governments response to the Review.</w:t>
      </w:r>
    </w:p>
    <w:p w14:paraId="33BAEB82" w14:textId="77777777" w:rsidR="004C7942" w:rsidRPr="004C7942" w:rsidRDefault="004C7942" w:rsidP="004C7942">
      <w:pPr>
        <w:pStyle w:val="ExampleText0"/>
        <w:rPr>
          <w:i w:val="0"/>
          <w:color w:val="auto"/>
          <w:sz w:val="20"/>
        </w:rPr>
      </w:pPr>
      <w:r w:rsidRPr="004C7942">
        <w:rPr>
          <w:i w:val="0"/>
          <w:color w:val="auto"/>
          <w:sz w:val="20"/>
        </w:rPr>
        <w:t>IA will further continue to establish and develop corporate capabilities with a continued focus on building in-house capability and improved systems to support IA's role as an independent entity that provides high quality advice.</w:t>
      </w:r>
    </w:p>
    <w:p w14:paraId="698F9294" w14:textId="77777777" w:rsidR="00FA354D" w:rsidRPr="004C7942" w:rsidRDefault="00FA354D" w:rsidP="00FA354D">
      <w:pPr>
        <w:rPr>
          <w:b/>
          <w:bCs/>
          <w:sz w:val="20"/>
        </w:rPr>
      </w:pPr>
      <w:r w:rsidRPr="004C7942">
        <w:rPr>
          <w:b/>
          <w:bCs/>
          <w:sz w:val="20"/>
        </w:rPr>
        <w:t>Balance Sheet</w:t>
      </w:r>
    </w:p>
    <w:p w14:paraId="0A0C8197" w14:textId="77777777" w:rsidR="004C7942" w:rsidRPr="004C7942" w:rsidRDefault="004C7942" w:rsidP="004C7942">
      <w:pPr>
        <w:pStyle w:val="ExampleText0"/>
        <w:rPr>
          <w:i w:val="0"/>
          <w:color w:val="auto"/>
          <w:sz w:val="20"/>
        </w:rPr>
      </w:pPr>
      <w:bookmarkStart w:id="19" w:name="_Toc165838210"/>
      <w:r w:rsidRPr="004C7942">
        <w:rPr>
          <w:i w:val="0"/>
          <w:color w:val="auto"/>
          <w:sz w:val="20"/>
        </w:rPr>
        <w:t xml:space="preserve">At 30 June 2026, IA is budgeting for net equity of $3.1 million representing assets of $8.8 million and liabilities of $5.7 million. </w:t>
      </w:r>
    </w:p>
    <w:p w14:paraId="1CD4293E" w14:textId="77777777" w:rsidR="004C7942" w:rsidRPr="004C7942" w:rsidRDefault="004C7942" w:rsidP="004C7942">
      <w:pPr>
        <w:pStyle w:val="ExampleText0"/>
        <w:rPr>
          <w:i w:val="0"/>
          <w:color w:val="auto"/>
          <w:sz w:val="20"/>
        </w:rPr>
      </w:pPr>
      <w:r w:rsidRPr="004C7942">
        <w:rPr>
          <w:i w:val="0"/>
          <w:color w:val="auto"/>
          <w:sz w:val="20"/>
        </w:rPr>
        <w:t>Most significant asset balances relate to cash and a right-of-use asset associated with IA’s office lease.</w:t>
      </w:r>
    </w:p>
    <w:p w14:paraId="123EE985" w14:textId="77777777" w:rsidR="004C7942" w:rsidRPr="00443C79" w:rsidRDefault="004C7942" w:rsidP="004C7942">
      <w:pPr>
        <w:pStyle w:val="ExampleText0"/>
        <w:rPr>
          <w:i w:val="0"/>
          <w:color w:val="auto"/>
          <w:sz w:val="20"/>
        </w:rPr>
      </w:pPr>
      <w:r w:rsidRPr="004C7942">
        <w:rPr>
          <w:i w:val="0"/>
          <w:color w:val="auto"/>
          <w:sz w:val="20"/>
        </w:rPr>
        <w:t>Most significant liabilities relate to the lease liability associated with IA’s office lease, and employee leave provisions.</w:t>
      </w:r>
    </w:p>
    <w:p w14:paraId="01F1D2B6" w14:textId="585004A7" w:rsidR="00FA354D" w:rsidRPr="00586981" w:rsidRDefault="00FA354D" w:rsidP="00FA354D">
      <w:pPr>
        <w:pStyle w:val="Heading3-IA"/>
        <w:rPr>
          <w:rFonts w:ascii="Arial" w:hAnsi="Arial"/>
        </w:rPr>
      </w:pPr>
      <w:r w:rsidRPr="00586981">
        <w:rPr>
          <w:rFonts w:ascii="Arial" w:hAnsi="Arial"/>
        </w:rPr>
        <w:lastRenderedPageBreak/>
        <w:t>3.2.</w:t>
      </w:r>
      <w:r w:rsidRPr="00586981">
        <w:rPr>
          <w:rFonts w:ascii="Arial" w:hAnsi="Arial"/>
        </w:rPr>
        <w:tab/>
        <w:t>Budgeted financial statements tables</w:t>
      </w:r>
      <w:bookmarkEnd w:id="19"/>
    </w:p>
    <w:p w14:paraId="352D4A90" w14:textId="77777777" w:rsidR="00FA354D" w:rsidRPr="00375AAD" w:rsidRDefault="00FA354D" w:rsidP="00FA354D">
      <w:pPr>
        <w:pStyle w:val="TableHeading"/>
      </w:pPr>
      <w:r w:rsidRPr="00FB04B1">
        <w:t xml:space="preserve">Table 3.1: Comprehensive income statement (showing net cost of services) </w:t>
      </w:r>
      <w:r w:rsidRPr="00FB04B1">
        <w:rPr>
          <w:snapToGrid w:val="0"/>
        </w:rPr>
        <w:t>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603CF4" w:rsidRPr="00A5617C" w14:paraId="69D6AF00" w14:textId="77777777" w:rsidTr="00B219F6">
        <w:trPr>
          <w:trHeight w:val="204"/>
        </w:trPr>
        <w:tc>
          <w:tcPr>
            <w:tcW w:w="2100" w:type="pct"/>
            <w:tcBorders>
              <w:top w:val="single" w:sz="4" w:space="0" w:color="auto"/>
              <w:left w:val="nil"/>
              <w:bottom w:val="nil"/>
              <w:right w:val="nil"/>
            </w:tcBorders>
            <w:shd w:val="clear" w:color="auto" w:fill="auto"/>
            <w:noWrap/>
            <w:hideMark/>
          </w:tcPr>
          <w:p w14:paraId="259243DE" w14:textId="77777777" w:rsidR="00603CF4" w:rsidRPr="004C7942" w:rsidRDefault="00603CF4" w:rsidP="00603CF4">
            <w:pPr>
              <w:spacing w:before="0" w:after="0" w:line="240" w:lineRule="auto"/>
              <w:rPr>
                <w:rFonts w:ascii="Arial" w:hAnsi="Arial" w:cs="Arial"/>
                <w:b/>
                <w:bCs/>
                <w:sz w:val="16"/>
                <w:szCs w:val="16"/>
              </w:rPr>
            </w:pPr>
            <w:r w:rsidRPr="004C7942">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742660D" w14:textId="51F6B3C1"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Estimated</w:t>
            </w:r>
            <w:r w:rsidRPr="004C7942">
              <w:rPr>
                <w:rFonts w:ascii="Arial" w:hAnsi="Arial" w:cs="Arial"/>
                <w:sz w:val="16"/>
                <w:szCs w:val="16"/>
              </w:rPr>
              <w:br/>
              <w:t>actual</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951E8B9" w14:textId="369DBC81"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Budget</w:t>
            </w:r>
            <w:r w:rsidRPr="004C7942">
              <w:rPr>
                <w:rFonts w:ascii="Arial" w:hAnsi="Arial" w:cs="Arial"/>
                <w:sz w:val="16"/>
                <w:szCs w:val="16"/>
              </w:rPr>
              <w:br/>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659DF8A" w14:textId="535A4D97"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0E1A546" w14:textId="4C2DF698"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0B8E36BD" w14:textId="081F4532"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r>
      <w:tr w:rsidR="00FA354D" w:rsidRPr="00A5617C" w14:paraId="6AEA5B22" w14:textId="77777777" w:rsidTr="00FA354D">
        <w:trPr>
          <w:trHeight w:val="204"/>
        </w:trPr>
        <w:tc>
          <w:tcPr>
            <w:tcW w:w="2100" w:type="pct"/>
            <w:tcBorders>
              <w:top w:val="nil"/>
              <w:left w:val="nil"/>
              <w:bottom w:val="nil"/>
              <w:right w:val="nil"/>
            </w:tcBorders>
            <w:shd w:val="clear" w:color="auto" w:fill="auto"/>
            <w:noWrap/>
            <w:vAlign w:val="bottom"/>
            <w:hideMark/>
          </w:tcPr>
          <w:p w14:paraId="6C0471A2" w14:textId="77777777"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01883D81" w14:textId="77777777" w:rsidR="00FA354D" w:rsidRPr="004C7942" w:rsidRDefault="00FA354D" w:rsidP="00FA354D">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62AC35D5"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039A2086" w14:textId="77777777" w:rsidR="00FA354D" w:rsidRPr="004C7942" w:rsidRDefault="00FA354D" w:rsidP="00FA354D">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4ADE6216"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065C2AE" w14:textId="77777777" w:rsidR="00FA354D" w:rsidRPr="004C7942" w:rsidRDefault="00FA354D" w:rsidP="00FA354D">
            <w:pPr>
              <w:spacing w:before="0" w:after="0" w:line="240" w:lineRule="auto"/>
              <w:jc w:val="right"/>
              <w:rPr>
                <w:rFonts w:ascii="Times New Roman" w:hAnsi="Times New Roman"/>
                <w:sz w:val="20"/>
              </w:rPr>
            </w:pPr>
          </w:p>
        </w:tc>
      </w:tr>
      <w:tr w:rsidR="004C7942" w:rsidRPr="00A5617C" w14:paraId="40BA2103" w14:textId="77777777" w:rsidTr="00FA354D">
        <w:trPr>
          <w:trHeight w:val="204"/>
        </w:trPr>
        <w:tc>
          <w:tcPr>
            <w:tcW w:w="2100" w:type="pct"/>
            <w:tcBorders>
              <w:top w:val="nil"/>
              <w:left w:val="nil"/>
              <w:bottom w:val="nil"/>
              <w:right w:val="nil"/>
            </w:tcBorders>
            <w:shd w:val="clear" w:color="auto" w:fill="auto"/>
            <w:noWrap/>
            <w:vAlign w:val="bottom"/>
            <w:hideMark/>
          </w:tcPr>
          <w:p w14:paraId="3BB723F5"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Employee</w:t>
            </w:r>
            <w:r w:rsidRPr="004C7942">
              <w:rPr>
                <w:rFonts w:ascii="Arial" w:hAnsi="Arial" w:cs="Arial"/>
                <w:sz w:val="16"/>
                <w:szCs w:val="16"/>
              </w:rPr>
              <w:t xml:space="preserve"> benefits</w:t>
            </w:r>
          </w:p>
        </w:tc>
        <w:tc>
          <w:tcPr>
            <w:tcW w:w="605" w:type="pct"/>
            <w:tcBorders>
              <w:top w:val="nil"/>
              <w:left w:val="nil"/>
              <w:bottom w:val="nil"/>
              <w:right w:val="nil"/>
            </w:tcBorders>
            <w:shd w:val="clear" w:color="auto" w:fill="auto"/>
            <w:noWrap/>
            <w:vAlign w:val="bottom"/>
            <w:hideMark/>
          </w:tcPr>
          <w:p w14:paraId="7BEB4A89" w14:textId="7A9DB63C"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9,040</w:t>
            </w:r>
          </w:p>
        </w:tc>
        <w:tc>
          <w:tcPr>
            <w:tcW w:w="574" w:type="pct"/>
            <w:tcBorders>
              <w:top w:val="nil"/>
              <w:left w:val="nil"/>
              <w:bottom w:val="nil"/>
              <w:right w:val="nil"/>
            </w:tcBorders>
            <w:shd w:val="clear" w:color="000000" w:fill="E6E6E6"/>
            <w:noWrap/>
            <w:vAlign w:val="bottom"/>
            <w:hideMark/>
          </w:tcPr>
          <w:p w14:paraId="0C97767D" w14:textId="0F651FE6"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9,812</w:t>
            </w:r>
          </w:p>
        </w:tc>
        <w:tc>
          <w:tcPr>
            <w:tcW w:w="574" w:type="pct"/>
            <w:tcBorders>
              <w:top w:val="nil"/>
              <w:left w:val="nil"/>
              <w:bottom w:val="nil"/>
              <w:right w:val="nil"/>
            </w:tcBorders>
            <w:shd w:val="clear" w:color="auto" w:fill="auto"/>
            <w:noWrap/>
            <w:vAlign w:val="bottom"/>
            <w:hideMark/>
          </w:tcPr>
          <w:p w14:paraId="29A951AF" w14:textId="35857706"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10,122</w:t>
            </w:r>
          </w:p>
        </w:tc>
        <w:tc>
          <w:tcPr>
            <w:tcW w:w="574" w:type="pct"/>
            <w:tcBorders>
              <w:top w:val="nil"/>
              <w:left w:val="nil"/>
              <w:bottom w:val="nil"/>
              <w:right w:val="nil"/>
            </w:tcBorders>
            <w:shd w:val="clear" w:color="auto" w:fill="auto"/>
            <w:noWrap/>
            <w:vAlign w:val="bottom"/>
            <w:hideMark/>
          </w:tcPr>
          <w:p w14:paraId="5FAF69DC" w14:textId="5C33EB0F"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10,424</w:t>
            </w:r>
          </w:p>
        </w:tc>
        <w:tc>
          <w:tcPr>
            <w:tcW w:w="573" w:type="pct"/>
            <w:tcBorders>
              <w:top w:val="nil"/>
              <w:left w:val="nil"/>
              <w:bottom w:val="nil"/>
              <w:right w:val="nil"/>
            </w:tcBorders>
            <w:shd w:val="clear" w:color="auto" w:fill="auto"/>
            <w:noWrap/>
            <w:vAlign w:val="bottom"/>
            <w:hideMark/>
          </w:tcPr>
          <w:p w14:paraId="677CFB1B" w14:textId="4ECD7C09"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10,735</w:t>
            </w:r>
          </w:p>
        </w:tc>
      </w:tr>
      <w:tr w:rsidR="004C7942" w:rsidRPr="00A5617C" w14:paraId="5FAD8D55" w14:textId="77777777" w:rsidTr="00FA354D">
        <w:trPr>
          <w:trHeight w:val="204"/>
        </w:trPr>
        <w:tc>
          <w:tcPr>
            <w:tcW w:w="2100" w:type="pct"/>
            <w:tcBorders>
              <w:top w:val="nil"/>
              <w:left w:val="nil"/>
              <w:bottom w:val="nil"/>
              <w:right w:val="nil"/>
            </w:tcBorders>
            <w:shd w:val="clear" w:color="auto" w:fill="auto"/>
            <w:noWrap/>
            <w:hideMark/>
          </w:tcPr>
          <w:p w14:paraId="3F9140A3"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269912B" w14:textId="3C1C3A17"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3,347</w:t>
            </w:r>
          </w:p>
        </w:tc>
        <w:tc>
          <w:tcPr>
            <w:tcW w:w="574" w:type="pct"/>
            <w:tcBorders>
              <w:top w:val="nil"/>
              <w:left w:val="nil"/>
              <w:bottom w:val="nil"/>
              <w:right w:val="nil"/>
            </w:tcBorders>
            <w:shd w:val="clear" w:color="000000" w:fill="E6E6E6"/>
            <w:noWrap/>
            <w:vAlign w:val="bottom"/>
            <w:hideMark/>
          </w:tcPr>
          <w:p w14:paraId="66F3044C" w14:textId="21ED4F83"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3,155</w:t>
            </w:r>
          </w:p>
        </w:tc>
        <w:tc>
          <w:tcPr>
            <w:tcW w:w="574" w:type="pct"/>
            <w:tcBorders>
              <w:top w:val="nil"/>
              <w:left w:val="nil"/>
              <w:bottom w:val="nil"/>
              <w:right w:val="nil"/>
            </w:tcBorders>
            <w:shd w:val="clear" w:color="auto" w:fill="auto"/>
            <w:noWrap/>
            <w:vAlign w:val="bottom"/>
            <w:hideMark/>
          </w:tcPr>
          <w:p w14:paraId="13F8C41C" w14:textId="28100F30"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3,121</w:t>
            </w:r>
          </w:p>
        </w:tc>
        <w:tc>
          <w:tcPr>
            <w:tcW w:w="574" w:type="pct"/>
            <w:tcBorders>
              <w:top w:val="nil"/>
              <w:left w:val="nil"/>
              <w:bottom w:val="nil"/>
              <w:right w:val="nil"/>
            </w:tcBorders>
            <w:shd w:val="clear" w:color="auto" w:fill="auto"/>
            <w:noWrap/>
            <w:vAlign w:val="bottom"/>
            <w:hideMark/>
          </w:tcPr>
          <w:p w14:paraId="49881A3F" w14:textId="0B235991"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3,018</w:t>
            </w:r>
          </w:p>
        </w:tc>
        <w:tc>
          <w:tcPr>
            <w:tcW w:w="573" w:type="pct"/>
            <w:tcBorders>
              <w:top w:val="nil"/>
              <w:left w:val="nil"/>
              <w:bottom w:val="nil"/>
              <w:right w:val="nil"/>
            </w:tcBorders>
            <w:shd w:val="clear" w:color="auto" w:fill="auto"/>
            <w:noWrap/>
            <w:vAlign w:val="bottom"/>
            <w:hideMark/>
          </w:tcPr>
          <w:p w14:paraId="0563C5F2" w14:textId="662FBAD5" w:rsidR="004C7942" w:rsidRPr="004C7942" w:rsidRDefault="004C7942" w:rsidP="004C7942">
            <w:pPr>
              <w:spacing w:before="0" w:after="0" w:line="240" w:lineRule="auto"/>
              <w:jc w:val="right"/>
              <w:rPr>
                <w:rFonts w:ascii="Arial" w:hAnsi="Arial" w:cs="Arial"/>
                <w:bCs/>
                <w:sz w:val="16"/>
                <w:szCs w:val="16"/>
              </w:rPr>
            </w:pPr>
            <w:r w:rsidRPr="00DF1C87">
              <w:rPr>
                <w:rFonts w:ascii="Arial" w:hAnsi="Arial" w:cs="Arial"/>
                <w:sz w:val="16"/>
                <w:szCs w:val="16"/>
              </w:rPr>
              <w:t>2,720</w:t>
            </w:r>
          </w:p>
        </w:tc>
      </w:tr>
      <w:tr w:rsidR="004C7942" w:rsidRPr="00A5617C" w14:paraId="504DCE88" w14:textId="77777777" w:rsidTr="00FA354D">
        <w:trPr>
          <w:trHeight w:val="204"/>
        </w:trPr>
        <w:tc>
          <w:tcPr>
            <w:tcW w:w="2100" w:type="pct"/>
            <w:tcBorders>
              <w:top w:val="nil"/>
              <w:left w:val="nil"/>
              <w:bottom w:val="nil"/>
              <w:right w:val="nil"/>
            </w:tcBorders>
            <w:shd w:val="clear" w:color="auto" w:fill="auto"/>
            <w:noWrap/>
            <w:vAlign w:val="bottom"/>
            <w:hideMark/>
          </w:tcPr>
          <w:p w14:paraId="2013ED77"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Depreciation</w:t>
            </w:r>
            <w:r w:rsidRPr="004C7942">
              <w:rPr>
                <w:rFonts w:ascii="Arial" w:hAnsi="Arial" w:cs="Arial"/>
                <w:sz w:val="16"/>
                <w:szCs w:val="16"/>
              </w:rPr>
              <w:t xml:space="preserve"> and amortisation </w:t>
            </w:r>
          </w:p>
        </w:tc>
        <w:tc>
          <w:tcPr>
            <w:tcW w:w="605" w:type="pct"/>
            <w:tcBorders>
              <w:top w:val="nil"/>
              <w:left w:val="nil"/>
              <w:bottom w:val="nil"/>
              <w:right w:val="nil"/>
            </w:tcBorders>
            <w:shd w:val="clear" w:color="auto" w:fill="auto"/>
            <w:noWrap/>
            <w:vAlign w:val="bottom"/>
            <w:hideMark/>
          </w:tcPr>
          <w:p w14:paraId="3789C42D" w14:textId="501F6F32"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1,395</w:t>
            </w:r>
          </w:p>
        </w:tc>
        <w:tc>
          <w:tcPr>
            <w:tcW w:w="574" w:type="pct"/>
            <w:tcBorders>
              <w:top w:val="nil"/>
              <w:left w:val="nil"/>
              <w:bottom w:val="nil"/>
              <w:right w:val="nil"/>
            </w:tcBorders>
            <w:shd w:val="clear" w:color="000000" w:fill="E6E6E6"/>
            <w:noWrap/>
            <w:vAlign w:val="bottom"/>
            <w:hideMark/>
          </w:tcPr>
          <w:p w14:paraId="3B37B2F0" w14:textId="60F9A7A1"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766</w:t>
            </w:r>
          </w:p>
        </w:tc>
        <w:tc>
          <w:tcPr>
            <w:tcW w:w="574" w:type="pct"/>
            <w:tcBorders>
              <w:top w:val="nil"/>
              <w:left w:val="nil"/>
              <w:bottom w:val="nil"/>
              <w:right w:val="nil"/>
            </w:tcBorders>
            <w:shd w:val="clear" w:color="auto" w:fill="auto"/>
            <w:noWrap/>
            <w:vAlign w:val="bottom"/>
            <w:hideMark/>
          </w:tcPr>
          <w:p w14:paraId="62D86AB1" w14:textId="64A0BCDA"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719</w:t>
            </w:r>
          </w:p>
        </w:tc>
        <w:tc>
          <w:tcPr>
            <w:tcW w:w="574" w:type="pct"/>
            <w:tcBorders>
              <w:top w:val="nil"/>
              <w:left w:val="nil"/>
              <w:bottom w:val="nil"/>
              <w:right w:val="nil"/>
            </w:tcBorders>
            <w:shd w:val="clear" w:color="auto" w:fill="auto"/>
            <w:noWrap/>
            <w:vAlign w:val="bottom"/>
            <w:hideMark/>
          </w:tcPr>
          <w:p w14:paraId="2381E969" w14:textId="0579F095"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719</w:t>
            </w:r>
          </w:p>
        </w:tc>
        <w:tc>
          <w:tcPr>
            <w:tcW w:w="573" w:type="pct"/>
            <w:tcBorders>
              <w:top w:val="nil"/>
              <w:left w:val="nil"/>
              <w:bottom w:val="nil"/>
              <w:right w:val="nil"/>
            </w:tcBorders>
            <w:shd w:val="clear" w:color="auto" w:fill="auto"/>
            <w:noWrap/>
            <w:vAlign w:val="bottom"/>
            <w:hideMark/>
          </w:tcPr>
          <w:p w14:paraId="49E42434" w14:textId="320F417F"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719</w:t>
            </w:r>
          </w:p>
        </w:tc>
      </w:tr>
      <w:tr w:rsidR="004C7942" w:rsidRPr="00A5617C" w14:paraId="0FA67A3E" w14:textId="77777777" w:rsidTr="00FA354D">
        <w:trPr>
          <w:trHeight w:val="204"/>
        </w:trPr>
        <w:tc>
          <w:tcPr>
            <w:tcW w:w="2100" w:type="pct"/>
            <w:tcBorders>
              <w:top w:val="nil"/>
              <w:left w:val="nil"/>
              <w:bottom w:val="nil"/>
              <w:right w:val="nil"/>
            </w:tcBorders>
            <w:shd w:val="clear" w:color="auto" w:fill="auto"/>
            <w:noWrap/>
            <w:hideMark/>
          </w:tcPr>
          <w:p w14:paraId="53F929F9"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Finance</w:t>
            </w:r>
            <w:r w:rsidRPr="004C7942">
              <w:rPr>
                <w:rFonts w:ascii="Arial" w:hAnsi="Arial" w:cs="Arial"/>
                <w:sz w:val="16"/>
                <w:szCs w:val="16"/>
              </w:rPr>
              <w:t xml:space="preserve"> costs</w:t>
            </w:r>
          </w:p>
        </w:tc>
        <w:tc>
          <w:tcPr>
            <w:tcW w:w="605" w:type="pct"/>
            <w:tcBorders>
              <w:top w:val="nil"/>
              <w:left w:val="nil"/>
              <w:bottom w:val="nil"/>
              <w:right w:val="nil"/>
            </w:tcBorders>
            <w:shd w:val="clear" w:color="auto" w:fill="auto"/>
            <w:noWrap/>
            <w:vAlign w:val="bottom"/>
            <w:hideMark/>
          </w:tcPr>
          <w:p w14:paraId="18CC04E2" w14:textId="0E5075EA"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43</w:t>
            </w:r>
          </w:p>
        </w:tc>
        <w:tc>
          <w:tcPr>
            <w:tcW w:w="574" w:type="pct"/>
            <w:tcBorders>
              <w:top w:val="nil"/>
              <w:left w:val="nil"/>
              <w:bottom w:val="nil"/>
              <w:right w:val="nil"/>
            </w:tcBorders>
            <w:shd w:val="clear" w:color="000000" w:fill="E6E6E6"/>
            <w:noWrap/>
            <w:vAlign w:val="bottom"/>
            <w:hideMark/>
          </w:tcPr>
          <w:p w14:paraId="65E41A41" w14:textId="3FC83E24" w:rsidR="004C7942" w:rsidRPr="004C7942" w:rsidRDefault="004C7942" w:rsidP="004C7942">
            <w:pPr>
              <w:spacing w:before="0" w:after="0" w:line="240" w:lineRule="auto"/>
              <w:jc w:val="right"/>
              <w:rPr>
                <w:rFonts w:ascii="Arial" w:hAnsi="Arial" w:cs="Arial"/>
                <w:bCs/>
                <w:sz w:val="16"/>
                <w:szCs w:val="16"/>
              </w:rPr>
            </w:pPr>
            <w:r w:rsidRPr="00EF0F48">
              <w:rPr>
                <w:rFonts w:ascii="Arial" w:hAnsi="Arial" w:cs="Arial"/>
                <w:bCs/>
                <w:sz w:val="16"/>
                <w:szCs w:val="16"/>
              </w:rPr>
              <w:t>120</w:t>
            </w:r>
          </w:p>
        </w:tc>
        <w:tc>
          <w:tcPr>
            <w:tcW w:w="574" w:type="pct"/>
            <w:tcBorders>
              <w:top w:val="nil"/>
              <w:left w:val="nil"/>
              <w:bottom w:val="nil"/>
              <w:right w:val="nil"/>
            </w:tcBorders>
            <w:shd w:val="clear" w:color="auto" w:fill="auto"/>
            <w:noWrap/>
            <w:vAlign w:val="bottom"/>
            <w:hideMark/>
          </w:tcPr>
          <w:p w14:paraId="7AD02CBE" w14:textId="0004C466"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108</w:t>
            </w:r>
          </w:p>
        </w:tc>
        <w:tc>
          <w:tcPr>
            <w:tcW w:w="574" w:type="pct"/>
            <w:tcBorders>
              <w:top w:val="nil"/>
              <w:left w:val="nil"/>
              <w:bottom w:val="nil"/>
              <w:right w:val="nil"/>
            </w:tcBorders>
            <w:shd w:val="clear" w:color="auto" w:fill="auto"/>
            <w:noWrap/>
            <w:vAlign w:val="bottom"/>
            <w:hideMark/>
          </w:tcPr>
          <w:p w14:paraId="1F515BE7" w14:textId="51EF1DF3"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81</w:t>
            </w:r>
          </w:p>
        </w:tc>
        <w:tc>
          <w:tcPr>
            <w:tcW w:w="573" w:type="pct"/>
            <w:tcBorders>
              <w:top w:val="nil"/>
              <w:left w:val="nil"/>
              <w:bottom w:val="nil"/>
              <w:right w:val="nil"/>
            </w:tcBorders>
            <w:shd w:val="clear" w:color="auto" w:fill="auto"/>
            <w:noWrap/>
            <w:vAlign w:val="bottom"/>
            <w:hideMark/>
          </w:tcPr>
          <w:p w14:paraId="0F3F6F88" w14:textId="5D5CC327" w:rsidR="004C7942" w:rsidRPr="004C7942" w:rsidRDefault="004C7942" w:rsidP="004C7942">
            <w:pPr>
              <w:spacing w:before="0" w:after="0" w:line="240" w:lineRule="auto"/>
              <w:jc w:val="right"/>
              <w:rPr>
                <w:rFonts w:ascii="Arial" w:hAnsi="Arial" w:cs="Arial"/>
                <w:sz w:val="16"/>
                <w:szCs w:val="16"/>
              </w:rPr>
            </w:pPr>
            <w:r w:rsidRPr="00EF0F48">
              <w:rPr>
                <w:rFonts w:ascii="Arial" w:hAnsi="Arial" w:cs="Arial"/>
                <w:sz w:val="16"/>
                <w:szCs w:val="16"/>
              </w:rPr>
              <w:t>52</w:t>
            </w:r>
          </w:p>
        </w:tc>
      </w:tr>
      <w:tr w:rsidR="004C7942" w:rsidRPr="00A5617C" w14:paraId="74DA7E88" w14:textId="77777777" w:rsidTr="00584080">
        <w:trPr>
          <w:trHeight w:val="204"/>
        </w:trPr>
        <w:tc>
          <w:tcPr>
            <w:tcW w:w="2100" w:type="pct"/>
            <w:tcBorders>
              <w:top w:val="nil"/>
              <w:left w:val="nil"/>
              <w:bottom w:val="nil"/>
              <w:right w:val="nil"/>
            </w:tcBorders>
            <w:shd w:val="clear" w:color="auto" w:fill="auto"/>
            <w:noWrap/>
            <w:hideMark/>
          </w:tcPr>
          <w:p w14:paraId="00AC5B18"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F2F4E87" w14:textId="4AB788A2"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13,825</w:t>
            </w:r>
          </w:p>
        </w:tc>
        <w:tc>
          <w:tcPr>
            <w:tcW w:w="574" w:type="pct"/>
            <w:tcBorders>
              <w:top w:val="single" w:sz="4" w:space="0" w:color="auto"/>
              <w:left w:val="nil"/>
              <w:bottom w:val="single" w:sz="4" w:space="0" w:color="auto"/>
              <w:right w:val="nil"/>
            </w:tcBorders>
            <w:shd w:val="clear" w:color="000000" w:fill="E6E6E6"/>
            <w:noWrap/>
            <w:vAlign w:val="bottom"/>
            <w:hideMark/>
          </w:tcPr>
          <w:p w14:paraId="04E494B2" w14:textId="7E01840B"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13,853</w:t>
            </w:r>
          </w:p>
        </w:tc>
        <w:tc>
          <w:tcPr>
            <w:tcW w:w="574" w:type="pct"/>
            <w:tcBorders>
              <w:top w:val="single" w:sz="4" w:space="0" w:color="auto"/>
              <w:left w:val="nil"/>
              <w:bottom w:val="single" w:sz="4" w:space="0" w:color="auto"/>
              <w:right w:val="nil"/>
            </w:tcBorders>
            <w:shd w:val="clear" w:color="auto" w:fill="auto"/>
            <w:noWrap/>
            <w:vAlign w:val="bottom"/>
            <w:hideMark/>
          </w:tcPr>
          <w:p w14:paraId="50293539" w14:textId="1B3387FE"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14,070</w:t>
            </w:r>
          </w:p>
        </w:tc>
        <w:tc>
          <w:tcPr>
            <w:tcW w:w="574" w:type="pct"/>
            <w:tcBorders>
              <w:top w:val="single" w:sz="4" w:space="0" w:color="auto"/>
              <w:left w:val="nil"/>
              <w:bottom w:val="single" w:sz="4" w:space="0" w:color="auto"/>
              <w:right w:val="nil"/>
            </w:tcBorders>
            <w:shd w:val="clear" w:color="auto" w:fill="auto"/>
            <w:noWrap/>
            <w:vAlign w:val="bottom"/>
            <w:hideMark/>
          </w:tcPr>
          <w:p w14:paraId="57EBAD43" w14:textId="22F4E7A1"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14,242</w:t>
            </w:r>
          </w:p>
        </w:tc>
        <w:tc>
          <w:tcPr>
            <w:tcW w:w="573" w:type="pct"/>
            <w:tcBorders>
              <w:top w:val="single" w:sz="4" w:space="0" w:color="auto"/>
              <w:left w:val="nil"/>
              <w:bottom w:val="single" w:sz="4" w:space="0" w:color="auto"/>
              <w:right w:val="nil"/>
            </w:tcBorders>
            <w:shd w:val="clear" w:color="auto" w:fill="auto"/>
            <w:noWrap/>
            <w:vAlign w:val="bottom"/>
            <w:hideMark/>
          </w:tcPr>
          <w:p w14:paraId="0762D037" w14:textId="06DE4005"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14,226</w:t>
            </w:r>
          </w:p>
        </w:tc>
      </w:tr>
      <w:tr w:rsidR="00FA354D" w:rsidRPr="00A5617C" w14:paraId="3BB271C7" w14:textId="77777777" w:rsidTr="00FA354D">
        <w:trPr>
          <w:trHeight w:val="204"/>
        </w:trPr>
        <w:tc>
          <w:tcPr>
            <w:tcW w:w="2100" w:type="pct"/>
            <w:tcBorders>
              <w:top w:val="nil"/>
              <w:left w:val="nil"/>
              <w:bottom w:val="nil"/>
              <w:right w:val="nil"/>
            </w:tcBorders>
            <w:shd w:val="clear" w:color="auto" w:fill="auto"/>
            <w:noWrap/>
            <w:vAlign w:val="bottom"/>
            <w:hideMark/>
          </w:tcPr>
          <w:p w14:paraId="7D351C37" w14:textId="77777777"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79887113" w14:textId="77777777" w:rsidR="00FA354D" w:rsidRPr="004C7942" w:rsidRDefault="00FA354D" w:rsidP="00FA354D">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266D2ED"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3DB68CAA" w14:textId="77777777" w:rsidR="00FA354D" w:rsidRPr="004C7942" w:rsidRDefault="00FA354D" w:rsidP="00FA354D">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1F3F22F0"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42C1F1D" w14:textId="77777777" w:rsidR="00FA354D" w:rsidRPr="004C7942" w:rsidRDefault="00FA354D" w:rsidP="00FA354D">
            <w:pPr>
              <w:spacing w:before="0" w:after="0" w:line="240" w:lineRule="auto"/>
              <w:jc w:val="right"/>
              <w:rPr>
                <w:rFonts w:ascii="Times New Roman" w:hAnsi="Times New Roman"/>
                <w:sz w:val="20"/>
              </w:rPr>
            </w:pPr>
          </w:p>
        </w:tc>
      </w:tr>
      <w:tr w:rsidR="00FA354D" w:rsidRPr="00A5617C" w14:paraId="4EDC01F9" w14:textId="77777777" w:rsidTr="00FA354D">
        <w:trPr>
          <w:trHeight w:val="204"/>
        </w:trPr>
        <w:tc>
          <w:tcPr>
            <w:tcW w:w="2100" w:type="pct"/>
            <w:tcBorders>
              <w:top w:val="nil"/>
              <w:left w:val="nil"/>
              <w:bottom w:val="nil"/>
              <w:right w:val="nil"/>
            </w:tcBorders>
            <w:shd w:val="clear" w:color="auto" w:fill="auto"/>
            <w:noWrap/>
            <w:vAlign w:val="bottom"/>
            <w:hideMark/>
          </w:tcPr>
          <w:p w14:paraId="47C3BBC1" w14:textId="77777777"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3B06BA7F" w14:textId="77777777" w:rsidR="00FA354D" w:rsidRPr="004C7942" w:rsidRDefault="00FA354D" w:rsidP="00FA354D">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C2D7CBF"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4817605C" w14:textId="77777777" w:rsidR="00FA354D" w:rsidRPr="004C7942" w:rsidRDefault="00FA354D" w:rsidP="00FA354D">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43D8935F"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69A7734" w14:textId="77777777" w:rsidR="00FA354D" w:rsidRPr="004C7942" w:rsidRDefault="00FA354D" w:rsidP="00FA354D">
            <w:pPr>
              <w:spacing w:before="0" w:after="0" w:line="240" w:lineRule="auto"/>
              <w:jc w:val="right"/>
              <w:rPr>
                <w:rFonts w:ascii="Times New Roman" w:hAnsi="Times New Roman"/>
                <w:sz w:val="20"/>
              </w:rPr>
            </w:pPr>
          </w:p>
        </w:tc>
      </w:tr>
      <w:tr w:rsidR="00FA354D" w:rsidRPr="00A5617C" w14:paraId="7B7FEE9A" w14:textId="77777777" w:rsidTr="00FA354D">
        <w:trPr>
          <w:trHeight w:val="204"/>
        </w:trPr>
        <w:tc>
          <w:tcPr>
            <w:tcW w:w="2100" w:type="pct"/>
            <w:tcBorders>
              <w:top w:val="nil"/>
              <w:left w:val="nil"/>
              <w:bottom w:val="nil"/>
              <w:right w:val="nil"/>
            </w:tcBorders>
            <w:shd w:val="clear" w:color="auto" w:fill="auto"/>
            <w:noWrap/>
            <w:vAlign w:val="bottom"/>
            <w:hideMark/>
          </w:tcPr>
          <w:p w14:paraId="69447F80" w14:textId="77777777"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03DC4DBC" w14:textId="77777777" w:rsidR="00FA354D" w:rsidRPr="004C7942" w:rsidRDefault="00FA354D" w:rsidP="00FA354D">
            <w:pPr>
              <w:spacing w:before="0"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359EDEEB"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2ADAAB00" w14:textId="77777777" w:rsidR="00FA354D" w:rsidRPr="004C7942" w:rsidRDefault="00FA354D" w:rsidP="00FA354D">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1DED95F"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D45D817" w14:textId="77777777" w:rsidR="00FA354D" w:rsidRPr="004C7942" w:rsidRDefault="00FA354D" w:rsidP="00FA354D">
            <w:pPr>
              <w:spacing w:before="0" w:after="0" w:line="240" w:lineRule="auto"/>
              <w:jc w:val="right"/>
              <w:rPr>
                <w:rFonts w:ascii="Times New Roman" w:hAnsi="Times New Roman"/>
                <w:sz w:val="20"/>
              </w:rPr>
            </w:pPr>
          </w:p>
        </w:tc>
      </w:tr>
      <w:tr w:rsidR="004C7942" w:rsidRPr="00495931" w14:paraId="569B4A4D" w14:textId="77777777" w:rsidTr="00FA354D">
        <w:trPr>
          <w:trHeight w:val="204"/>
        </w:trPr>
        <w:tc>
          <w:tcPr>
            <w:tcW w:w="2100" w:type="pct"/>
            <w:tcBorders>
              <w:top w:val="nil"/>
              <w:left w:val="nil"/>
              <w:bottom w:val="nil"/>
              <w:right w:val="nil"/>
            </w:tcBorders>
            <w:shd w:val="clear" w:color="auto" w:fill="auto"/>
            <w:noWrap/>
            <w:vAlign w:val="bottom"/>
          </w:tcPr>
          <w:p w14:paraId="7B485ED1" w14:textId="24C74654" w:rsidR="004C7942" w:rsidRPr="004C7942" w:rsidRDefault="004C7942" w:rsidP="004C7942">
            <w:pPr>
              <w:spacing w:before="0" w:after="0" w:line="240" w:lineRule="auto"/>
              <w:ind w:left="113"/>
              <w:rPr>
                <w:rFonts w:ascii="Arial" w:hAnsi="Arial" w:cs="Arial"/>
                <w:color w:val="000000"/>
                <w:sz w:val="16"/>
                <w:szCs w:val="16"/>
              </w:rPr>
            </w:pPr>
            <w:r>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tcPr>
          <w:p w14:paraId="226A77D5" w14:textId="532A899E"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84</w:t>
            </w:r>
          </w:p>
        </w:tc>
        <w:tc>
          <w:tcPr>
            <w:tcW w:w="574" w:type="pct"/>
            <w:tcBorders>
              <w:top w:val="nil"/>
              <w:left w:val="nil"/>
              <w:bottom w:val="nil"/>
              <w:right w:val="nil"/>
            </w:tcBorders>
            <w:shd w:val="clear" w:color="000000" w:fill="E6E6E6"/>
            <w:noWrap/>
            <w:vAlign w:val="bottom"/>
          </w:tcPr>
          <w:p w14:paraId="6983DC40" w14:textId="21EE474B" w:rsidR="004C7942" w:rsidRPr="004C7942" w:rsidRDefault="004C7942" w:rsidP="004C7942">
            <w:pPr>
              <w:spacing w:before="0" w:after="0" w:line="240" w:lineRule="auto"/>
              <w:jc w:val="right"/>
              <w:rPr>
                <w:rFonts w:ascii="Arial" w:hAnsi="Arial" w:cs="Arial"/>
                <w:bCs/>
                <w:sz w:val="16"/>
                <w:szCs w:val="16"/>
              </w:rPr>
            </w:pPr>
            <w:r w:rsidRPr="00443C79">
              <w:rPr>
                <w:rFonts w:ascii="Arial" w:hAnsi="Arial" w:cs="Arial"/>
                <w:b/>
                <w:bCs/>
                <w:sz w:val="16"/>
                <w:szCs w:val="16"/>
              </w:rPr>
              <w:t>-</w:t>
            </w:r>
          </w:p>
        </w:tc>
        <w:tc>
          <w:tcPr>
            <w:tcW w:w="574" w:type="pct"/>
            <w:tcBorders>
              <w:top w:val="nil"/>
              <w:left w:val="nil"/>
              <w:bottom w:val="nil"/>
              <w:right w:val="nil"/>
            </w:tcBorders>
            <w:shd w:val="clear" w:color="auto" w:fill="auto"/>
            <w:noWrap/>
            <w:vAlign w:val="bottom"/>
          </w:tcPr>
          <w:p w14:paraId="02A57419" w14:textId="4D31DA5E" w:rsidR="004C7942" w:rsidRPr="004C7942" w:rsidRDefault="004C7942" w:rsidP="004C7942">
            <w:pPr>
              <w:spacing w:before="0" w:after="0" w:line="240" w:lineRule="auto"/>
              <w:jc w:val="right"/>
              <w:rPr>
                <w:rFonts w:ascii="Arial" w:hAnsi="Arial" w:cs="Arial"/>
                <w:bCs/>
                <w:sz w:val="16"/>
                <w:szCs w:val="16"/>
              </w:rPr>
            </w:pPr>
            <w:r w:rsidRPr="00443C79">
              <w:rPr>
                <w:rFonts w:ascii="Arial" w:hAnsi="Arial" w:cs="Arial"/>
                <w:b/>
                <w:bCs/>
                <w:sz w:val="16"/>
                <w:szCs w:val="16"/>
              </w:rPr>
              <w:t>-</w:t>
            </w:r>
          </w:p>
        </w:tc>
        <w:tc>
          <w:tcPr>
            <w:tcW w:w="574" w:type="pct"/>
            <w:tcBorders>
              <w:top w:val="nil"/>
              <w:left w:val="nil"/>
              <w:bottom w:val="nil"/>
              <w:right w:val="nil"/>
            </w:tcBorders>
            <w:shd w:val="clear" w:color="auto" w:fill="auto"/>
            <w:noWrap/>
            <w:vAlign w:val="bottom"/>
          </w:tcPr>
          <w:p w14:paraId="20638554" w14:textId="0C9324FD" w:rsidR="004C7942" w:rsidRPr="004C7942" w:rsidRDefault="004C7942" w:rsidP="004C7942">
            <w:pPr>
              <w:spacing w:before="0" w:after="0" w:line="240" w:lineRule="auto"/>
              <w:jc w:val="right"/>
              <w:rPr>
                <w:rFonts w:ascii="Arial" w:hAnsi="Arial" w:cs="Arial"/>
                <w:bCs/>
                <w:sz w:val="16"/>
                <w:szCs w:val="16"/>
              </w:rPr>
            </w:pPr>
            <w:r w:rsidRPr="00443C79">
              <w:rPr>
                <w:rFonts w:ascii="Arial" w:hAnsi="Arial" w:cs="Arial"/>
                <w:b/>
                <w:bCs/>
                <w:sz w:val="16"/>
                <w:szCs w:val="16"/>
              </w:rPr>
              <w:t>-</w:t>
            </w:r>
          </w:p>
        </w:tc>
        <w:tc>
          <w:tcPr>
            <w:tcW w:w="573" w:type="pct"/>
            <w:tcBorders>
              <w:top w:val="nil"/>
              <w:left w:val="nil"/>
              <w:bottom w:val="nil"/>
              <w:right w:val="nil"/>
            </w:tcBorders>
            <w:shd w:val="clear" w:color="auto" w:fill="auto"/>
            <w:noWrap/>
            <w:vAlign w:val="bottom"/>
          </w:tcPr>
          <w:p w14:paraId="24FE9B5F" w14:textId="03FEB36A" w:rsidR="004C7942" w:rsidRPr="004C7942" w:rsidRDefault="004C7942" w:rsidP="004C7942">
            <w:pPr>
              <w:spacing w:before="0" w:after="0" w:line="240" w:lineRule="auto"/>
              <w:jc w:val="right"/>
              <w:rPr>
                <w:rFonts w:ascii="Arial" w:hAnsi="Arial" w:cs="Arial"/>
                <w:bCs/>
                <w:sz w:val="16"/>
                <w:szCs w:val="16"/>
              </w:rPr>
            </w:pPr>
            <w:r w:rsidRPr="00443C79">
              <w:rPr>
                <w:rFonts w:ascii="Arial" w:hAnsi="Arial" w:cs="Arial"/>
                <w:b/>
                <w:bCs/>
                <w:sz w:val="16"/>
                <w:szCs w:val="16"/>
              </w:rPr>
              <w:t>-</w:t>
            </w:r>
          </w:p>
        </w:tc>
      </w:tr>
      <w:tr w:rsidR="004C7942" w:rsidRPr="00495931" w14:paraId="42BAE06A" w14:textId="77777777" w:rsidTr="00FA354D">
        <w:trPr>
          <w:trHeight w:val="204"/>
        </w:trPr>
        <w:tc>
          <w:tcPr>
            <w:tcW w:w="2100" w:type="pct"/>
            <w:tcBorders>
              <w:top w:val="nil"/>
              <w:left w:val="nil"/>
              <w:bottom w:val="nil"/>
              <w:right w:val="nil"/>
            </w:tcBorders>
            <w:shd w:val="clear" w:color="auto" w:fill="auto"/>
            <w:noWrap/>
            <w:vAlign w:val="bottom"/>
            <w:hideMark/>
          </w:tcPr>
          <w:p w14:paraId="75F17AB6"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BFD8031" w14:textId="5D359125"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494</w:t>
            </w:r>
          </w:p>
        </w:tc>
        <w:tc>
          <w:tcPr>
            <w:tcW w:w="574" w:type="pct"/>
            <w:tcBorders>
              <w:top w:val="nil"/>
              <w:left w:val="nil"/>
              <w:bottom w:val="nil"/>
              <w:right w:val="nil"/>
            </w:tcBorders>
            <w:shd w:val="clear" w:color="000000" w:fill="E6E6E6"/>
            <w:noWrap/>
            <w:vAlign w:val="bottom"/>
            <w:hideMark/>
          </w:tcPr>
          <w:p w14:paraId="572BBD2D" w14:textId="6B0E15A6"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458</w:t>
            </w:r>
          </w:p>
        </w:tc>
        <w:tc>
          <w:tcPr>
            <w:tcW w:w="574" w:type="pct"/>
            <w:tcBorders>
              <w:top w:val="nil"/>
              <w:left w:val="nil"/>
              <w:bottom w:val="nil"/>
              <w:right w:val="nil"/>
            </w:tcBorders>
            <w:shd w:val="clear" w:color="auto" w:fill="auto"/>
            <w:noWrap/>
            <w:vAlign w:val="bottom"/>
            <w:hideMark/>
          </w:tcPr>
          <w:p w14:paraId="44055E55" w14:textId="16618003"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458</w:t>
            </w:r>
          </w:p>
        </w:tc>
        <w:tc>
          <w:tcPr>
            <w:tcW w:w="574" w:type="pct"/>
            <w:tcBorders>
              <w:top w:val="nil"/>
              <w:left w:val="nil"/>
              <w:bottom w:val="nil"/>
              <w:right w:val="nil"/>
            </w:tcBorders>
            <w:shd w:val="clear" w:color="auto" w:fill="auto"/>
            <w:noWrap/>
            <w:vAlign w:val="bottom"/>
            <w:hideMark/>
          </w:tcPr>
          <w:p w14:paraId="1D00CDCE" w14:textId="3578AC90"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458</w:t>
            </w:r>
          </w:p>
        </w:tc>
        <w:tc>
          <w:tcPr>
            <w:tcW w:w="573" w:type="pct"/>
            <w:tcBorders>
              <w:top w:val="nil"/>
              <w:left w:val="nil"/>
              <w:bottom w:val="nil"/>
              <w:right w:val="nil"/>
            </w:tcBorders>
            <w:shd w:val="clear" w:color="auto" w:fill="auto"/>
            <w:noWrap/>
            <w:vAlign w:val="bottom"/>
            <w:hideMark/>
          </w:tcPr>
          <w:p w14:paraId="42E41308" w14:textId="7180D000"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458</w:t>
            </w:r>
          </w:p>
        </w:tc>
      </w:tr>
      <w:tr w:rsidR="004C7942" w:rsidRPr="00A5617C" w14:paraId="5531D6EA" w14:textId="77777777" w:rsidTr="00FA354D">
        <w:trPr>
          <w:trHeight w:val="204"/>
        </w:trPr>
        <w:tc>
          <w:tcPr>
            <w:tcW w:w="2100" w:type="pct"/>
            <w:tcBorders>
              <w:top w:val="nil"/>
              <w:left w:val="nil"/>
              <w:bottom w:val="nil"/>
              <w:right w:val="nil"/>
            </w:tcBorders>
            <w:shd w:val="clear" w:color="auto" w:fill="auto"/>
            <w:noWrap/>
            <w:vAlign w:val="bottom"/>
            <w:hideMark/>
          </w:tcPr>
          <w:p w14:paraId="1640196D"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341C390C" w14:textId="75B878F9"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578</w:t>
            </w:r>
          </w:p>
        </w:tc>
        <w:tc>
          <w:tcPr>
            <w:tcW w:w="574" w:type="pct"/>
            <w:tcBorders>
              <w:top w:val="single" w:sz="4" w:space="0" w:color="auto"/>
              <w:left w:val="nil"/>
              <w:bottom w:val="single" w:sz="4" w:space="0" w:color="auto"/>
              <w:right w:val="nil"/>
            </w:tcBorders>
            <w:shd w:val="clear" w:color="000000" w:fill="E6E6E6"/>
            <w:noWrap/>
            <w:vAlign w:val="bottom"/>
            <w:hideMark/>
          </w:tcPr>
          <w:p w14:paraId="39C56204" w14:textId="4105D4BB"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4" w:type="pct"/>
            <w:tcBorders>
              <w:top w:val="single" w:sz="4" w:space="0" w:color="auto"/>
              <w:left w:val="nil"/>
              <w:bottom w:val="single" w:sz="4" w:space="0" w:color="auto"/>
              <w:right w:val="nil"/>
            </w:tcBorders>
            <w:shd w:val="clear" w:color="auto" w:fill="auto"/>
            <w:noWrap/>
            <w:vAlign w:val="bottom"/>
            <w:hideMark/>
          </w:tcPr>
          <w:p w14:paraId="644E196E" w14:textId="17BECF8B"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4" w:type="pct"/>
            <w:tcBorders>
              <w:top w:val="single" w:sz="4" w:space="0" w:color="auto"/>
              <w:left w:val="nil"/>
              <w:bottom w:val="single" w:sz="4" w:space="0" w:color="auto"/>
              <w:right w:val="nil"/>
            </w:tcBorders>
            <w:shd w:val="clear" w:color="auto" w:fill="auto"/>
            <w:noWrap/>
            <w:vAlign w:val="bottom"/>
            <w:hideMark/>
          </w:tcPr>
          <w:p w14:paraId="233272F8" w14:textId="0E2CD786"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3" w:type="pct"/>
            <w:tcBorders>
              <w:top w:val="single" w:sz="4" w:space="0" w:color="auto"/>
              <w:left w:val="nil"/>
              <w:bottom w:val="single" w:sz="4" w:space="0" w:color="auto"/>
              <w:right w:val="nil"/>
            </w:tcBorders>
            <w:shd w:val="clear" w:color="auto" w:fill="auto"/>
            <w:noWrap/>
            <w:vAlign w:val="bottom"/>
            <w:hideMark/>
          </w:tcPr>
          <w:p w14:paraId="61715E0C" w14:textId="6954E2DB"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r>
      <w:tr w:rsidR="004C7942" w:rsidRPr="00A5617C" w14:paraId="58DDFCD6" w14:textId="77777777" w:rsidTr="00FA354D">
        <w:trPr>
          <w:trHeight w:val="204"/>
        </w:trPr>
        <w:tc>
          <w:tcPr>
            <w:tcW w:w="2100" w:type="pct"/>
            <w:tcBorders>
              <w:top w:val="nil"/>
              <w:left w:val="nil"/>
              <w:bottom w:val="nil"/>
              <w:right w:val="nil"/>
            </w:tcBorders>
            <w:shd w:val="clear" w:color="auto" w:fill="auto"/>
            <w:noWrap/>
            <w:vAlign w:val="bottom"/>
            <w:hideMark/>
          </w:tcPr>
          <w:p w14:paraId="740E9FB4" w14:textId="77777777" w:rsidR="004C7942" w:rsidRPr="004C7942" w:rsidRDefault="004C7942" w:rsidP="004C7942">
            <w:pPr>
              <w:spacing w:before="0" w:after="0" w:line="240" w:lineRule="auto"/>
              <w:rPr>
                <w:rFonts w:ascii="Arial" w:hAnsi="Arial" w:cs="Arial"/>
                <w:b/>
                <w:bCs/>
                <w:sz w:val="16"/>
                <w:szCs w:val="16"/>
              </w:rPr>
            </w:pPr>
            <w:r w:rsidRPr="004C7942">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14:paraId="7011AE47" w14:textId="788FC7B8"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578</w:t>
            </w:r>
          </w:p>
        </w:tc>
        <w:tc>
          <w:tcPr>
            <w:tcW w:w="574" w:type="pct"/>
            <w:tcBorders>
              <w:top w:val="nil"/>
              <w:left w:val="nil"/>
              <w:bottom w:val="single" w:sz="4" w:space="0" w:color="auto"/>
              <w:right w:val="nil"/>
            </w:tcBorders>
            <w:shd w:val="clear" w:color="000000" w:fill="E6E6E6"/>
            <w:noWrap/>
            <w:vAlign w:val="bottom"/>
            <w:hideMark/>
          </w:tcPr>
          <w:p w14:paraId="7157DD97" w14:textId="3EEDC7B8"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4" w:type="pct"/>
            <w:tcBorders>
              <w:top w:val="nil"/>
              <w:left w:val="nil"/>
              <w:bottom w:val="single" w:sz="4" w:space="0" w:color="auto"/>
              <w:right w:val="nil"/>
            </w:tcBorders>
            <w:shd w:val="clear" w:color="auto" w:fill="auto"/>
            <w:noWrap/>
            <w:vAlign w:val="bottom"/>
            <w:hideMark/>
          </w:tcPr>
          <w:p w14:paraId="52DCD72D" w14:textId="4313AAA5"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4" w:type="pct"/>
            <w:tcBorders>
              <w:top w:val="nil"/>
              <w:left w:val="nil"/>
              <w:bottom w:val="single" w:sz="4" w:space="0" w:color="auto"/>
              <w:right w:val="nil"/>
            </w:tcBorders>
            <w:shd w:val="clear" w:color="auto" w:fill="auto"/>
            <w:noWrap/>
            <w:vAlign w:val="bottom"/>
            <w:hideMark/>
          </w:tcPr>
          <w:p w14:paraId="7D37B3C8" w14:textId="64865CBF"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c>
          <w:tcPr>
            <w:tcW w:w="573" w:type="pct"/>
            <w:tcBorders>
              <w:top w:val="nil"/>
              <w:left w:val="nil"/>
              <w:bottom w:val="single" w:sz="4" w:space="0" w:color="auto"/>
              <w:right w:val="nil"/>
            </w:tcBorders>
            <w:shd w:val="clear" w:color="auto" w:fill="auto"/>
            <w:noWrap/>
            <w:vAlign w:val="bottom"/>
            <w:hideMark/>
          </w:tcPr>
          <w:p w14:paraId="5CF90913" w14:textId="11A0FF4E"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458</w:t>
            </w:r>
          </w:p>
        </w:tc>
      </w:tr>
      <w:tr w:rsidR="004C7942" w:rsidRPr="00A5617C" w14:paraId="4F097AA7" w14:textId="77777777" w:rsidTr="00FA354D">
        <w:trPr>
          <w:trHeight w:val="204"/>
        </w:trPr>
        <w:tc>
          <w:tcPr>
            <w:tcW w:w="2100" w:type="pct"/>
            <w:tcBorders>
              <w:top w:val="nil"/>
              <w:left w:val="nil"/>
              <w:bottom w:val="nil"/>
              <w:right w:val="nil"/>
            </w:tcBorders>
            <w:shd w:val="clear" w:color="auto" w:fill="auto"/>
            <w:vAlign w:val="center"/>
            <w:hideMark/>
          </w:tcPr>
          <w:p w14:paraId="57397CE6" w14:textId="77777777" w:rsidR="004C7942" w:rsidRPr="004C7942" w:rsidRDefault="004C7942" w:rsidP="004C7942">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5379779E" w14:textId="66BDC8A2"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(13,247)</w:t>
            </w:r>
          </w:p>
        </w:tc>
        <w:tc>
          <w:tcPr>
            <w:tcW w:w="574" w:type="pct"/>
            <w:tcBorders>
              <w:top w:val="nil"/>
              <w:left w:val="nil"/>
              <w:bottom w:val="single" w:sz="4" w:space="0" w:color="auto"/>
              <w:right w:val="nil"/>
            </w:tcBorders>
            <w:shd w:val="clear" w:color="000000" w:fill="E6E6E6"/>
            <w:noWrap/>
            <w:vAlign w:val="bottom"/>
            <w:hideMark/>
          </w:tcPr>
          <w:p w14:paraId="75EED019" w14:textId="7F9FBFD3"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(13,395)</w:t>
            </w:r>
          </w:p>
        </w:tc>
        <w:tc>
          <w:tcPr>
            <w:tcW w:w="574" w:type="pct"/>
            <w:tcBorders>
              <w:top w:val="nil"/>
              <w:left w:val="nil"/>
              <w:bottom w:val="single" w:sz="4" w:space="0" w:color="auto"/>
              <w:right w:val="nil"/>
            </w:tcBorders>
            <w:shd w:val="clear" w:color="auto" w:fill="auto"/>
            <w:noWrap/>
            <w:vAlign w:val="bottom"/>
            <w:hideMark/>
          </w:tcPr>
          <w:p w14:paraId="65B237E8" w14:textId="3D97D3B4"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(13,612)</w:t>
            </w:r>
          </w:p>
        </w:tc>
        <w:tc>
          <w:tcPr>
            <w:tcW w:w="574" w:type="pct"/>
            <w:tcBorders>
              <w:top w:val="nil"/>
              <w:left w:val="nil"/>
              <w:bottom w:val="single" w:sz="4" w:space="0" w:color="auto"/>
              <w:right w:val="nil"/>
            </w:tcBorders>
            <w:shd w:val="clear" w:color="auto" w:fill="auto"/>
            <w:noWrap/>
            <w:vAlign w:val="bottom"/>
            <w:hideMark/>
          </w:tcPr>
          <w:p w14:paraId="01179D9F" w14:textId="437BC85A" w:rsidR="004C7942" w:rsidRPr="004C7942" w:rsidRDefault="004C7942" w:rsidP="004C7942">
            <w:pPr>
              <w:spacing w:before="0" w:after="0" w:line="240" w:lineRule="auto"/>
              <w:jc w:val="right"/>
              <w:rPr>
                <w:rFonts w:ascii="Arial" w:hAnsi="Arial" w:cs="Arial"/>
                <w:b/>
                <w:bCs/>
                <w:sz w:val="16"/>
                <w:szCs w:val="16"/>
              </w:rPr>
            </w:pPr>
            <w:r w:rsidRPr="00443C79">
              <w:rPr>
                <w:rFonts w:ascii="Arial" w:hAnsi="Arial" w:cs="Arial"/>
                <w:b/>
                <w:bCs/>
                <w:sz w:val="16"/>
                <w:szCs w:val="16"/>
              </w:rPr>
              <w:t>(13,784)</w:t>
            </w:r>
          </w:p>
        </w:tc>
        <w:tc>
          <w:tcPr>
            <w:tcW w:w="573" w:type="pct"/>
            <w:tcBorders>
              <w:top w:val="nil"/>
              <w:left w:val="nil"/>
              <w:bottom w:val="single" w:sz="4" w:space="0" w:color="auto"/>
              <w:right w:val="nil"/>
            </w:tcBorders>
            <w:shd w:val="clear" w:color="auto" w:fill="auto"/>
            <w:noWrap/>
            <w:vAlign w:val="bottom"/>
            <w:hideMark/>
          </w:tcPr>
          <w:p w14:paraId="0206842E" w14:textId="75AD2427"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(13,768)</w:t>
            </w:r>
          </w:p>
        </w:tc>
      </w:tr>
      <w:tr w:rsidR="004C7942" w:rsidRPr="00A5617C" w14:paraId="12298A3A" w14:textId="77777777" w:rsidTr="00FA354D">
        <w:trPr>
          <w:trHeight w:val="204"/>
        </w:trPr>
        <w:tc>
          <w:tcPr>
            <w:tcW w:w="2100" w:type="pct"/>
            <w:tcBorders>
              <w:top w:val="nil"/>
              <w:left w:val="nil"/>
              <w:bottom w:val="nil"/>
              <w:right w:val="nil"/>
            </w:tcBorders>
            <w:shd w:val="clear" w:color="auto" w:fill="auto"/>
            <w:noWrap/>
            <w:vAlign w:val="bottom"/>
            <w:hideMark/>
          </w:tcPr>
          <w:p w14:paraId="39B348DF" w14:textId="77777777" w:rsidR="004C7942" w:rsidRPr="004C7942" w:rsidRDefault="004C7942" w:rsidP="004C7942">
            <w:pPr>
              <w:spacing w:before="0" w:after="0" w:line="240" w:lineRule="auto"/>
              <w:ind w:left="113"/>
              <w:rPr>
                <w:rFonts w:ascii="Arial" w:hAnsi="Arial" w:cs="Arial"/>
                <w:sz w:val="16"/>
                <w:szCs w:val="16"/>
              </w:rPr>
            </w:pPr>
            <w:r w:rsidRPr="004C7942">
              <w:rPr>
                <w:rFonts w:ascii="Arial" w:hAnsi="Arial" w:cs="Arial"/>
                <w:color w:val="000000"/>
                <w:sz w:val="16"/>
                <w:szCs w:val="16"/>
              </w:rPr>
              <w:t>Revenue</w:t>
            </w:r>
            <w:r w:rsidRPr="004C7942">
              <w:rPr>
                <w:rFonts w:ascii="Arial" w:hAnsi="Arial" w:cs="Arial"/>
                <w:sz w:val="16"/>
                <w:szCs w:val="16"/>
              </w:rPr>
              <w:t xml:space="preserve"> from Government</w:t>
            </w:r>
          </w:p>
        </w:tc>
        <w:tc>
          <w:tcPr>
            <w:tcW w:w="605" w:type="pct"/>
            <w:tcBorders>
              <w:top w:val="nil"/>
              <w:left w:val="nil"/>
              <w:bottom w:val="single" w:sz="4" w:space="0" w:color="auto"/>
              <w:right w:val="nil"/>
            </w:tcBorders>
            <w:shd w:val="clear" w:color="auto" w:fill="auto"/>
            <w:noWrap/>
            <w:vAlign w:val="bottom"/>
            <w:hideMark/>
          </w:tcPr>
          <w:p w14:paraId="2DFF6955" w14:textId="6AAA8914" w:rsidR="004C7942" w:rsidRPr="004C7942" w:rsidRDefault="004C7942" w:rsidP="004C7942">
            <w:pPr>
              <w:spacing w:before="0" w:after="0" w:line="240" w:lineRule="auto"/>
              <w:jc w:val="right"/>
              <w:rPr>
                <w:rFonts w:ascii="Arial" w:hAnsi="Arial" w:cs="Arial"/>
                <w:sz w:val="16"/>
                <w:szCs w:val="16"/>
              </w:rPr>
            </w:pPr>
            <w:r w:rsidRPr="00B93437">
              <w:rPr>
                <w:rFonts w:ascii="Arial" w:hAnsi="Arial" w:cs="Arial"/>
                <w:b/>
                <w:sz w:val="16"/>
                <w:szCs w:val="16"/>
              </w:rPr>
              <w:t>13,247</w:t>
            </w:r>
          </w:p>
        </w:tc>
        <w:tc>
          <w:tcPr>
            <w:tcW w:w="574" w:type="pct"/>
            <w:tcBorders>
              <w:top w:val="nil"/>
              <w:left w:val="nil"/>
              <w:bottom w:val="single" w:sz="4" w:space="0" w:color="auto"/>
              <w:right w:val="nil"/>
            </w:tcBorders>
            <w:shd w:val="clear" w:color="000000" w:fill="E6E6E6"/>
            <w:noWrap/>
            <w:vAlign w:val="bottom"/>
            <w:hideMark/>
          </w:tcPr>
          <w:p w14:paraId="3A789EF2" w14:textId="2B59C764" w:rsidR="004C7942" w:rsidRPr="004C7942" w:rsidRDefault="004C7942" w:rsidP="004C7942">
            <w:pPr>
              <w:spacing w:before="0" w:after="0" w:line="240" w:lineRule="auto"/>
              <w:jc w:val="right"/>
              <w:rPr>
                <w:rFonts w:ascii="Arial" w:hAnsi="Arial" w:cs="Arial"/>
                <w:bCs/>
                <w:sz w:val="16"/>
                <w:szCs w:val="16"/>
              </w:rPr>
            </w:pPr>
            <w:r w:rsidRPr="00B93437">
              <w:rPr>
                <w:rFonts w:ascii="Arial" w:hAnsi="Arial" w:cs="Arial"/>
                <w:b/>
                <w:bCs/>
                <w:sz w:val="16"/>
                <w:szCs w:val="16"/>
              </w:rPr>
              <w:t>13,395</w:t>
            </w:r>
          </w:p>
        </w:tc>
        <w:tc>
          <w:tcPr>
            <w:tcW w:w="574" w:type="pct"/>
            <w:tcBorders>
              <w:top w:val="nil"/>
              <w:left w:val="nil"/>
              <w:bottom w:val="single" w:sz="4" w:space="0" w:color="auto"/>
              <w:right w:val="nil"/>
            </w:tcBorders>
            <w:shd w:val="clear" w:color="auto" w:fill="auto"/>
            <w:noWrap/>
            <w:vAlign w:val="bottom"/>
            <w:hideMark/>
          </w:tcPr>
          <w:p w14:paraId="4076852D" w14:textId="2E431C39" w:rsidR="004C7942" w:rsidRPr="004C7942" w:rsidRDefault="004C7942" w:rsidP="004C7942">
            <w:pPr>
              <w:spacing w:before="0" w:after="0" w:line="240" w:lineRule="auto"/>
              <w:jc w:val="right"/>
              <w:rPr>
                <w:rFonts w:ascii="Arial" w:hAnsi="Arial" w:cs="Arial"/>
                <w:bCs/>
                <w:sz w:val="16"/>
                <w:szCs w:val="16"/>
              </w:rPr>
            </w:pPr>
            <w:r w:rsidRPr="00B93437">
              <w:rPr>
                <w:rFonts w:ascii="Arial" w:hAnsi="Arial" w:cs="Arial"/>
                <w:b/>
                <w:bCs/>
                <w:sz w:val="16"/>
                <w:szCs w:val="16"/>
              </w:rPr>
              <w:t>13,612</w:t>
            </w:r>
          </w:p>
        </w:tc>
        <w:tc>
          <w:tcPr>
            <w:tcW w:w="574" w:type="pct"/>
            <w:tcBorders>
              <w:top w:val="nil"/>
              <w:left w:val="nil"/>
              <w:bottom w:val="single" w:sz="4" w:space="0" w:color="auto"/>
              <w:right w:val="nil"/>
            </w:tcBorders>
            <w:shd w:val="clear" w:color="auto" w:fill="auto"/>
            <w:noWrap/>
            <w:vAlign w:val="bottom"/>
            <w:hideMark/>
          </w:tcPr>
          <w:p w14:paraId="1DDFF255" w14:textId="5F9E88D4" w:rsidR="004C7942" w:rsidRPr="004C7942" w:rsidRDefault="004C7942" w:rsidP="004C7942">
            <w:pPr>
              <w:spacing w:before="0" w:after="0" w:line="240" w:lineRule="auto"/>
              <w:jc w:val="right"/>
              <w:rPr>
                <w:rFonts w:ascii="Arial" w:hAnsi="Arial" w:cs="Arial"/>
                <w:bCs/>
                <w:sz w:val="16"/>
                <w:szCs w:val="16"/>
              </w:rPr>
            </w:pPr>
            <w:r w:rsidRPr="00B93437">
              <w:rPr>
                <w:rFonts w:ascii="Arial" w:hAnsi="Arial" w:cs="Arial"/>
                <w:b/>
                <w:bCs/>
                <w:sz w:val="16"/>
                <w:szCs w:val="16"/>
              </w:rPr>
              <w:t>13,784</w:t>
            </w:r>
          </w:p>
        </w:tc>
        <w:tc>
          <w:tcPr>
            <w:tcW w:w="573" w:type="pct"/>
            <w:tcBorders>
              <w:top w:val="nil"/>
              <w:left w:val="nil"/>
              <w:bottom w:val="single" w:sz="4" w:space="0" w:color="auto"/>
              <w:right w:val="nil"/>
            </w:tcBorders>
            <w:shd w:val="clear" w:color="auto" w:fill="auto"/>
            <w:noWrap/>
            <w:vAlign w:val="bottom"/>
            <w:hideMark/>
          </w:tcPr>
          <w:p w14:paraId="33605855" w14:textId="5FF409DA" w:rsidR="004C7942" w:rsidRPr="004C7942" w:rsidRDefault="004C7942" w:rsidP="004C7942">
            <w:pPr>
              <w:spacing w:before="0" w:after="0" w:line="240" w:lineRule="auto"/>
              <w:jc w:val="right"/>
              <w:rPr>
                <w:rFonts w:ascii="Arial" w:hAnsi="Arial" w:cs="Arial"/>
                <w:bCs/>
                <w:sz w:val="16"/>
                <w:szCs w:val="16"/>
              </w:rPr>
            </w:pPr>
            <w:r>
              <w:rPr>
                <w:rFonts w:ascii="Arial" w:hAnsi="Arial" w:cs="Arial"/>
                <w:b/>
                <w:bCs/>
                <w:sz w:val="16"/>
                <w:szCs w:val="16"/>
              </w:rPr>
              <w:t>13,768</w:t>
            </w:r>
          </w:p>
        </w:tc>
      </w:tr>
      <w:tr w:rsidR="00FA354D" w:rsidRPr="00A5617C" w14:paraId="05EFA172" w14:textId="77777777" w:rsidTr="00FA354D">
        <w:trPr>
          <w:trHeight w:val="204"/>
        </w:trPr>
        <w:tc>
          <w:tcPr>
            <w:tcW w:w="2100" w:type="pct"/>
            <w:tcBorders>
              <w:top w:val="nil"/>
              <w:left w:val="nil"/>
              <w:bottom w:val="nil"/>
              <w:right w:val="nil"/>
            </w:tcBorders>
            <w:shd w:val="clear" w:color="auto" w:fill="auto"/>
            <w:vAlign w:val="bottom"/>
            <w:hideMark/>
          </w:tcPr>
          <w:p w14:paraId="5EA88246" w14:textId="739A7CF1"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Surplus/(deficit) attributable to the</w:t>
            </w:r>
            <w:r w:rsidR="00497492" w:rsidRPr="004C7942">
              <w:rPr>
                <w:rFonts w:ascii="Arial" w:hAnsi="Arial" w:cs="Arial"/>
                <w:b/>
                <w:bCs/>
                <w:sz w:val="16"/>
                <w:szCs w:val="16"/>
              </w:rPr>
              <w:t xml:space="preserve"> </w:t>
            </w:r>
            <w:r w:rsidRPr="004C7942">
              <w:rPr>
                <w:rFonts w:ascii="Arial" w:hAnsi="Arial" w:cs="Arial"/>
                <w:b/>
                <w:bCs/>
                <w:sz w:val="16"/>
                <w:szCs w:val="16"/>
              </w:rPr>
              <w:t>Australian Government</w:t>
            </w:r>
          </w:p>
        </w:tc>
        <w:tc>
          <w:tcPr>
            <w:tcW w:w="605" w:type="pct"/>
            <w:tcBorders>
              <w:top w:val="nil"/>
              <w:left w:val="nil"/>
              <w:bottom w:val="single" w:sz="4" w:space="0" w:color="auto"/>
              <w:right w:val="nil"/>
            </w:tcBorders>
            <w:shd w:val="clear" w:color="auto" w:fill="auto"/>
            <w:noWrap/>
            <w:vAlign w:val="bottom"/>
            <w:hideMark/>
          </w:tcPr>
          <w:p w14:paraId="019AA1E8"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2441F908"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11FB60C8"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73BC9276"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3" w:type="pct"/>
            <w:tcBorders>
              <w:top w:val="nil"/>
              <w:left w:val="nil"/>
              <w:bottom w:val="single" w:sz="4" w:space="0" w:color="auto"/>
              <w:right w:val="nil"/>
            </w:tcBorders>
            <w:shd w:val="clear" w:color="auto" w:fill="auto"/>
            <w:noWrap/>
            <w:vAlign w:val="bottom"/>
            <w:hideMark/>
          </w:tcPr>
          <w:p w14:paraId="244BAB19"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r>
      <w:tr w:rsidR="00FA354D" w:rsidRPr="00A5617C" w14:paraId="1BFD72E9" w14:textId="77777777" w:rsidTr="00FA354D">
        <w:trPr>
          <w:trHeight w:val="204"/>
        </w:trPr>
        <w:tc>
          <w:tcPr>
            <w:tcW w:w="2100" w:type="pct"/>
            <w:tcBorders>
              <w:top w:val="nil"/>
              <w:left w:val="nil"/>
              <w:bottom w:val="single" w:sz="4" w:space="0" w:color="auto"/>
              <w:right w:val="nil"/>
            </w:tcBorders>
            <w:shd w:val="clear" w:color="auto" w:fill="auto"/>
            <w:vAlign w:val="bottom"/>
            <w:hideMark/>
          </w:tcPr>
          <w:p w14:paraId="55115134" w14:textId="6FA8F0CB" w:rsidR="00FA354D" w:rsidRPr="004C7942" w:rsidRDefault="00FA354D" w:rsidP="00FA354D">
            <w:pPr>
              <w:spacing w:before="0" w:after="0" w:line="240" w:lineRule="auto"/>
              <w:rPr>
                <w:rFonts w:ascii="Arial" w:hAnsi="Arial" w:cs="Arial"/>
                <w:b/>
                <w:bCs/>
                <w:sz w:val="16"/>
                <w:szCs w:val="16"/>
              </w:rPr>
            </w:pPr>
            <w:r w:rsidRPr="004C7942">
              <w:rPr>
                <w:rFonts w:ascii="Arial" w:hAnsi="Arial" w:cs="Arial"/>
                <w:b/>
                <w:bCs/>
                <w:sz w:val="16"/>
                <w:szCs w:val="16"/>
              </w:rPr>
              <w:t>Total comprehensive income/(loss)</w:t>
            </w:r>
            <w:r w:rsidR="00497492" w:rsidRPr="004C7942">
              <w:rPr>
                <w:rFonts w:ascii="Arial" w:hAnsi="Arial" w:cs="Arial"/>
                <w:b/>
                <w:bCs/>
                <w:sz w:val="16"/>
                <w:szCs w:val="16"/>
              </w:rPr>
              <w:t xml:space="preserve"> </w:t>
            </w:r>
            <w:r w:rsidRPr="004C7942">
              <w:rPr>
                <w:rFonts w:ascii="Arial" w:hAnsi="Arial" w:cs="Arial"/>
                <w:b/>
                <w:bCs/>
                <w:sz w:val="16"/>
                <w:szCs w:val="16"/>
              </w:rPr>
              <w:t>attributable to the Australian</w:t>
            </w:r>
            <w:r w:rsidR="00497492" w:rsidRPr="004C7942">
              <w:rPr>
                <w:rFonts w:ascii="Arial" w:hAnsi="Arial" w:cs="Arial"/>
                <w:b/>
                <w:bCs/>
                <w:sz w:val="16"/>
                <w:szCs w:val="16"/>
              </w:rPr>
              <w:t xml:space="preserve"> </w:t>
            </w:r>
            <w:r w:rsidRPr="004C7942">
              <w:rPr>
                <w:rFonts w:ascii="Arial" w:hAnsi="Arial" w:cs="Arial"/>
                <w:b/>
                <w:bCs/>
                <w:sz w:val="16"/>
                <w:szCs w:val="16"/>
              </w:rPr>
              <w:t>Government</w:t>
            </w:r>
          </w:p>
        </w:tc>
        <w:tc>
          <w:tcPr>
            <w:tcW w:w="605" w:type="pct"/>
            <w:tcBorders>
              <w:top w:val="nil"/>
              <w:left w:val="nil"/>
              <w:bottom w:val="single" w:sz="4" w:space="0" w:color="auto"/>
              <w:right w:val="nil"/>
            </w:tcBorders>
            <w:shd w:val="clear" w:color="auto" w:fill="auto"/>
            <w:noWrap/>
            <w:vAlign w:val="bottom"/>
            <w:hideMark/>
          </w:tcPr>
          <w:p w14:paraId="146519FA"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05A23662"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3B0D07AC"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4" w:type="pct"/>
            <w:tcBorders>
              <w:top w:val="nil"/>
              <w:left w:val="nil"/>
              <w:bottom w:val="single" w:sz="4" w:space="0" w:color="auto"/>
              <w:right w:val="nil"/>
            </w:tcBorders>
            <w:shd w:val="clear" w:color="auto" w:fill="auto"/>
            <w:noWrap/>
            <w:vAlign w:val="bottom"/>
            <w:hideMark/>
          </w:tcPr>
          <w:p w14:paraId="7DEC228E"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c>
          <w:tcPr>
            <w:tcW w:w="573" w:type="pct"/>
            <w:tcBorders>
              <w:top w:val="nil"/>
              <w:left w:val="nil"/>
              <w:bottom w:val="single" w:sz="4" w:space="0" w:color="auto"/>
              <w:right w:val="nil"/>
            </w:tcBorders>
            <w:shd w:val="clear" w:color="auto" w:fill="auto"/>
            <w:noWrap/>
            <w:vAlign w:val="bottom"/>
            <w:hideMark/>
          </w:tcPr>
          <w:p w14:paraId="66F68FF4" w14:textId="77777777" w:rsidR="00FA354D" w:rsidRPr="004C7942" w:rsidRDefault="00FA354D" w:rsidP="00FA354D">
            <w:pPr>
              <w:spacing w:before="0" w:after="0" w:line="240" w:lineRule="auto"/>
              <w:jc w:val="right"/>
              <w:rPr>
                <w:rFonts w:ascii="Arial" w:hAnsi="Arial" w:cs="Arial"/>
                <w:b/>
                <w:bCs/>
                <w:sz w:val="16"/>
                <w:szCs w:val="16"/>
              </w:rPr>
            </w:pPr>
            <w:r w:rsidRPr="004C7942">
              <w:rPr>
                <w:rFonts w:ascii="Arial" w:hAnsi="Arial" w:cs="Arial"/>
                <w:b/>
                <w:bCs/>
                <w:sz w:val="16"/>
                <w:szCs w:val="16"/>
              </w:rPr>
              <w:t xml:space="preserve">- </w:t>
            </w:r>
          </w:p>
        </w:tc>
      </w:tr>
      <w:tr w:rsidR="00FA354D" w:rsidRPr="00A5617C" w14:paraId="7E6A931D" w14:textId="77777777" w:rsidTr="00FA354D">
        <w:trPr>
          <w:trHeight w:val="204"/>
        </w:trPr>
        <w:tc>
          <w:tcPr>
            <w:tcW w:w="3279" w:type="pct"/>
            <w:gridSpan w:val="3"/>
            <w:tcBorders>
              <w:top w:val="nil"/>
              <w:left w:val="nil"/>
              <w:bottom w:val="single" w:sz="4" w:space="0" w:color="auto"/>
              <w:right w:val="nil"/>
            </w:tcBorders>
            <w:shd w:val="clear" w:color="auto" w:fill="auto"/>
            <w:noWrap/>
            <w:vAlign w:val="center"/>
            <w:hideMark/>
          </w:tcPr>
          <w:p w14:paraId="652E245E" w14:textId="77777777" w:rsidR="00FA354D" w:rsidRPr="004C7942" w:rsidRDefault="00FA354D" w:rsidP="00FA354D">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Note: Impact of net cash appropriation arrangements</w:t>
            </w:r>
          </w:p>
        </w:tc>
        <w:tc>
          <w:tcPr>
            <w:tcW w:w="574" w:type="pct"/>
            <w:tcBorders>
              <w:top w:val="nil"/>
              <w:left w:val="nil"/>
              <w:bottom w:val="single" w:sz="4" w:space="0" w:color="auto"/>
              <w:right w:val="nil"/>
            </w:tcBorders>
            <w:shd w:val="clear" w:color="auto" w:fill="auto"/>
            <w:noWrap/>
            <w:vAlign w:val="bottom"/>
            <w:hideMark/>
          </w:tcPr>
          <w:p w14:paraId="36360E2E" w14:textId="77777777" w:rsidR="00FA354D" w:rsidRPr="004C7942" w:rsidRDefault="00FA354D" w:rsidP="00FA354D">
            <w:pPr>
              <w:spacing w:before="0" w:after="0" w:line="240" w:lineRule="auto"/>
              <w:jc w:val="right"/>
              <w:rPr>
                <w:rFonts w:ascii="Arial" w:hAnsi="Arial" w:cs="Arial"/>
                <w:sz w:val="16"/>
                <w:szCs w:val="16"/>
              </w:rPr>
            </w:pPr>
            <w:r w:rsidRPr="004C7942">
              <w:rPr>
                <w:rFonts w:ascii="Arial" w:hAnsi="Arial" w:cs="Arial"/>
                <w:sz w:val="16"/>
                <w:szCs w:val="16"/>
              </w:rPr>
              <w:t> </w:t>
            </w:r>
          </w:p>
        </w:tc>
        <w:tc>
          <w:tcPr>
            <w:tcW w:w="574" w:type="pct"/>
            <w:tcBorders>
              <w:top w:val="nil"/>
              <w:left w:val="nil"/>
              <w:bottom w:val="single" w:sz="4" w:space="0" w:color="auto"/>
              <w:right w:val="nil"/>
            </w:tcBorders>
            <w:shd w:val="clear" w:color="auto" w:fill="auto"/>
            <w:noWrap/>
            <w:vAlign w:val="bottom"/>
            <w:hideMark/>
          </w:tcPr>
          <w:p w14:paraId="52CAC0FE" w14:textId="77777777" w:rsidR="00FA354D" w:rsidRPr="004C7942" w:rsidRDefault="00FA354D" w:rsidP="00FA354D">
            <w:pPr>
              <w:spacing w:before="0" w:after="0" w:line="240" w:lineRule="auto"/>
              <w:jc w:val="right"/>
              <w:rPr>
                <w:rFonts w:ascii="Arial" w:hAnsi="Arial" w:cs="Arial"/>
                <w:sz w:val="16"/>
                <w:szCs w:val="16"/>
              </w:rPr>
            </w:pPr>
            <w:r w:rsidRPr="004C7942">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475AB8A6" w14:textId="77777777" w:rsidR="00FA354D" w:rsidRPr="004C7942" w:rsidRDefault="00FA354D" w:rsidP="00FA354D">
            <w:pPr>
              <w:spacing w:before="0" w:after="0" w:line="240" w:lineRule="auto"/>
              <w:jc w:val="right"/>
              <w:rPr>
                <w:rFonts w:ascii="Arial" w:hAnsi="Arial" w:cs="Arial"/>
                <w:sz w:val="16"/>
                <w:szCs w:val="16"/>
              </w:rPr>
            </w:pPr>
            <w:r w:rsidRPr="004C7942">
              <w:rPr>
                <w:rFonts w:ascii="Arial" w:hAnsi="Arial" w:cs="Arial"/>
                <w:sz w:val="16"/>
                <w:szCs w:val="16"/>
              </w:rPr>
              <w:t> </w:t>
            </w:r>
          </w:p>
        </w:tc>
      </w:tr>
      <w:tr w:rsidR="00FA354D" w:rsidRPr="00A5617C" w14:paraId="21C00A3E" w14:textId="77777777" w:rsidTr="00FA354D">
        <w:trPr>
          <w:trHeight w:val="204"/>
        </w:trPr>
        <w:tc>
          <w:tcPr>
            <w:tcW w:w="2100" w:type="pct"/>
            <w:tcBorders>
              <w:top w:val="nil"/>
              <w:left w:val="nil"/>
              <w:bottom w:val="nil"/>
              <w:right w:val="nil"/>
            </w:tcBorders>
            <w:shd w:val="clear" w:color="auto" w:fill="auto"/>
            <w:hideMark/>
          </w:tcPr>
          <w:p w14:paraId="599AC56E" w14:textId="77777777" w:rsidR="00FA354D" w:rsidRPr="004C7942" w:rsidRDefault="00FA354D" w:rsidP="00FA354D">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Total comprehensive income/(loss)- as per statement of Comprehensive Income</w:t>
            </w:r>
          </w:p>
        </w:tc>
        <w:tc>
          <w:tcPr>
            <w:tcW w:w="605" w:type="pct"/>
            <w:tcBorders>
              <w:top w:val="nil"/>
              <w:left w:val="nil"/>
              <w:bottom w:val="nil"/>
              <w:right w:val="nil"/>
            </w:tcBorders>
            <w:shd w:val="clear" w:color="auto" w:fill="auto"/>
            <w:noWrap/>
            <w:vAlign w:val="bottom"/>
            <w:hideMark/>
          </w:tcPr>
          <w:p w14:paraId="2194FD95" w14:textId="77777777" w:rsidR="00FA354D" w:rsidRPr="004C7942" w:rsidRDefault="00FA354D" w:rsidP="00FA354D">
            <w:pPr>
              <w:spacing w:before="0" w:after="0" w:line="240" w:lineRule="auto"/>
              <w:jc w:val="right"/>
              <w:rPr>
                <w:rFonts w:ascii="Arial" w:hAnsi="Arial" w:cs="Arial"/>
                <w:b/>
                <w:bCs/>
                <w:color w:val="000000"/>
                <w:sz w:val="16"/>
                <w:szCs w:val="16"/>
              </w:rPr>
            </w:pPr>
            <w:r w:rsidRPr="004C7942">
              <w:rPr>
                <w:rFonts w:ascii="Arial" w:hAnsi="Arial" w:cs="Arial"/>
                <w:b/>
                <w:bCs/>
                <w:color w:val="000000"/>
                <w:sz w:val="16"/>
                <w:szCs w:val="16"/>
              </w:rPr>
              <w:t xml:space="preserve">- </w:t>
            </w:r>
          </w:p>
        </w:tc>
        <w:tc>
          <w:tcPr>
            <w:tcW w:w="574" w:type="pct"/>
            <w:tcBorders>
              <w:top w:val="nil"/>
              <w:left w:val="nil"/>
              <w:bottom w:val="nil"/>
              <w:right w:val="nil"/>
            </w:tcBorders>
            <w:shd w:val="clear" w:color="000000" w:fill="E6E6E6"/>
            <w:noWrap/>
            <w:vAlign w:val="bottom"/>
            <w:hideMark/>
          </w:tcPr>
          <w:p w14:paraId="6BD0F0D4" w14:textId="77777777" w:rsidR="00FA354D" w:rsidRPr="004C7942" w:rsidRDefault="00FA354D" w:rsidP="00FA354D">
            <w:pPr>
              <w:spacing w:before="0" w:after="0" w:line="240" w:lineRule="auto"/>
              <w:jc w:val="right"/>
              <w:rPr>
                <w:rFonts w:ascii="Arial" w:hAnsi="Arial" w:cs="Arial"/>
                <w:b/>
                <w:bCs/>
                <w:color w:val="000000"/>
                <w:sz w:val="16"/>
                <w:szCs w:val="16"/>
              </w:rPr>
            </w:pPr>
            <w:r w:rsidRPr="004C7942">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49B3DB98" w14:textId="77777777" w:rsidR="00FA354D" w:rsidRPr="004C7942" w:rsidRDefault="00FA354D" w:rsidP="00FA354D">
            <w:pPr>
              <w:spacing w:before="0" w:after="0" w:line="240" w:lineRule="auto"/>
              <w:jc w:val="right"/>
              <w:rPr>
                <w:rFonts w:ascii="Arial" w:hAnsi="Arial" w:cs="Arial"/>
                <w:b/>
                <w:bCs/>
                <w:color w:val="000000"/>
                <w:sz w:val="16"/>
                <w:szCs w:val="16"/>
              </w:rPr>
            </w:pPr>
            <w:r w:rsidRPr="004C7942">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bottom"/>
            <w:hideMark/>
          </w:tcPr>
          <w:p w14:paraId="13FC2353" w14:textId="77777777" w:rsidR="00FA354D" w:rsidRPr="004C7942" w:rsidRDefault="00FA354D" w:rsidP="00FA354D">
            <w:pPr>
              <w:spacing w:before="0" w:after="0" w:line="240" w:lineRule="auto"/>
              <w:jc w:val="right"/>
              <w:rPr>
                <w:rFonts w:ascii="Arial" w:hAnsi="Arial" w:cs="Arial"/>
                <w:b/>
                <w:bCs/>
                <w:color w:val="000000"/>
                <w:sz w:val="16"/>
                <w:szCs w:val="16"/>
              </w:rPr>
            </w:pPr>
            <w:r w:rsidRPr="004C7942">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4AE3D71B" w14:textId="77777777" w:rsidR="00FA354D" w:rsidRPr="004C7942" w:rsidRDefault="00FA354D" w:rsidP="00FA354D">
            <w:pPr>
              <w:spacing w:before="0" w:after="0" w:line="240" w:lineRule="auto"/>
              <w:jc w:val="right"/>
              <w:rPr>
                <w:rFonts w:ascii="Arial" w:hAnsi="Arial" w:cs="Arial"/>
                <w:b/>
                <w:bCs/>
                <w:color w:val="000000"/>
                <w:sz w:val="16"/>
                <w:szCs w:val="16"/>
              </w:rPr>
            </w:pPr>
            <w:r w:rsidRPr="004C7942">
              <w:rPr>
                <w:rFonts w:ascii="Arial" w:hAnsi="Arial" w:cs="Arial"/>
                <w:b/>
                <w:bCs/>
                <w:color w:val="000000"/>
                <w:sz w:val="16"/>
                <w:szCs w:val="16"/>
              </w:rPr>
              <w:t xml:space="preserve">- </w:t>
            </w:r>
          </w:p>
        </w:tc>
      </w:tr>
      <w:tr w:rsidR="004C7942" w:rsidRPr="00A5617C" w14:paraId="3E005512" w14:textId="77777777" w:rsidTr="00FA354D">
        <w:trPr>
          <w:trHeight w:val="204"/>
        </w:trPr>
        <w:tc>
          <w:tcPr>
            <w:tcW w:w="2100" w:type="pct"/>
            <w:tcBorders>
              <w:top w:val="nil"/>
              <w:left w:val="nil"/>
              <w:bottom w:val="nil"/>
              <w:right w:val="nil"/>
            </w:tcBorders>
            <w:shd w:val="clear" w:color="auto" w:fill="auto"/>
            <w:hideMark/>
          </w:tcPr>
          <w:p w14:paraId="5F55A16C" w14:textId="2ECCB983" w:rsidR="004C7942" w:rsidRPr="004C7942" w:rsidRDefault="004C7942" w:rsidP="004C7942">
            <w:pPr>
              <w:spacing w:before="0" w:after="0" w:line="240" w:lineRule="auto"/>
              <w:ind w:left="113"/>
              <w:rPr>
                <w:rFonts w:ascii="Arial" w:hAnsi="Arial" w:cs="Arial"/>
                <w:color w:val="000000"/>
                <w:sz w:val="16"/>
                <w:szCs w:val="16"/>
              </w:rPr>
            </w:pPr>
            <w:r w:rsidRPr="004C7942">
              <w:rPr>
                <w:rFonts w:ascii="Arial" w:hAnsi="Arial" w:cs="Arial"/>
                <w:color w:val="000000"/>
                <w:sz w:val="16"/>
                <w:szCs w:val="16"/>
              </w:rPr>
              <w:t>plus: depreciation/amortisation expenses for ROU assets</w:t>
            </w:r>
            <w:r w:rsidRPr="004C7942">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731E8F36" w14:textId="2683F1CB"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1,035</w:t>
            </w:r>
          </w:p>
        </w:tc>
        <w:tc>
          <w:tcPr>
            <w:tcW w:w="574" w:type="pct"/>
            <w:tcBorders>
              <w:top w:val="nil"/>
              <w:left w:val="nil"/>
              <w:bottom w:val="nil"/>
              <w:right w:val="nil"/>
            </w:tcBorders>
            <w:shd w:val="clear" w:color="000000" w:fill="E6E6E6"/>
            <w:noWrap/>
            <w:vAlign w:val="bottom"/>
            <w:hideMark/>
          </w:tcPr>
          <w:p w14:paraId="766908CB" w14:textId="59EC89B1"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391</w:t>
            </w:r>
          </w:p>
        </w:tc>
        <w:tc>
          <w:tcPr>
            <w:tcW w:w="574" w:type="pct"/>
            <w:tcBorders>
              <w:top w:val="nil"/>
              <w:left w:val="nil"/>
              <w:bottom w:val="nil"/>
              <w:right w:val="nil"/>
            </w:tcBorders>
            <w:shd w:val="clear" w:color="auto" w:fill="auto"/>
            <w:noWrap/>
            <w:vAlign w:val="bottom"/>
            <w:hideMark/>
          </w:tcPr>
          <w:p w14:paraId="36834F74" w14:textId="44B039EA"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391</w:t>
            </w:r>
          </w:p>
        </w:tc>
        <w:tc>
          <w:tcPr>
            <w:tcW w:w="574" w:type="pct"/>
            <w:tcBorders>
              <w:top w:val="nil"/>
              <w:left w:val="nil"/>
              <w:bottom w:val="nil"/>
              <w:right w:val="nil"/>
            </w:tcBorders>
            <w:shd w:val="clear" w:color="auto" w:fill="auto"/>
            <w:noWrap/>
            <w:vAlign w:val="bottom"/>
            <w:hideMark/>
          </w:tcPr>
          <w:p w14:paraId="668BEAC8" w14:textId="24DA9B00"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391</w:t>
            </w:r>
          </w:p>
        </w:tc>
        <w:tc>
          <w:tcPr>
            <w:tcW w:w="573" w:type="pct"/>
            <w:tcBorders>
              <w:top w:val="nil"/>
              <w:left w:val="nil"/>
              <w:bottom w:val="nil"/>
              <w:right w:val="nil"/>
            </w:tcBorders>
            <w:shd w:val="clear" w:color="auto" w:fill="auto"/>
            <w:noWrap/>
            <w:vAlign w:val="bottom"/>
            <w:hideMark/>
          </w:tcPr>
          <w:p w14:paraId="20BAEC1A" w14:textId="4F09BE52"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391</w:t>
            </w:r>
          </w:p>
        </w:tc>
      </w:tr>
      <w:tr w:rsidR="004C7942" w:rsidRPr="00A5617C" w14:paraId="624B529C" w14:textId="77777777" w:rsidTr="00FA354D">
        <w:trPr>
          <w:trHeight w:val="204"/>
        </w:trPr>
        <w:tc>
          <w:tcPr>
            <w:tcW w:w="2100" w:type="pct"/>
            <w:tcBorders>
              <w:top w:val="nil"/>
              <w:left w:val="nil"/>
              <w:bottom w:val="nil"/>
              <w:right w:val="nil"/>
            </w:tcBorders>
            <w:shd w:val="clear" w:color="auto" w:fill="auto"/>
            <w:hideMark/>
          </w:tcPr>
          <w:p w14:paraId="2DCC7326" w14:textId="77777777" w:rsidR="004C7942" w:rsidRPr="004C7942" w:rsidRDefault="004C7942" w:rsidP="004C7942">
            <w:pPr>
              <w:spacing w:before="0" w:after="0" w:line="240" w:lineRule="auto"/>
              <w:ind w:left="113"/>
              <w:rPr>
                <w:rFonts w:ascii="Arial" w:hAnsi="Arial" w:cs="Arial"/>
                <w:color w:val="000000"/>
                <w:sz w:val="16"/>
                <w:szCs w:val="16"/>
              </w:rPr>
            </w:pPr>
            <w:r w:rsidRPr="004C7942">
              <w:rPr>
                <w:rFonts w:ascii="Arial" w:hAnsi="Arial" w:cs="Arial"/>
                <w:color w:val="000000"/>
                <w:sz w:val="16"/>
                <w:szCs w:val="16"/>
              </w:rPr>
              <w:t>less: lease principal repayments</w:t>
            </w:r>
            <w:r w:rsidRPr="004C7942">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176A49F4" w14:textId="32C07C01"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(1,142)</w:t>
            </w:r>
          </w:p>
        </w:tc>
        <w:tc>
          <w:tcPr>
            <w:tcW w:w="574" w:type="pct"/>
            <w:tcBorders>
              <w:top w:val="nil"/>
              <w:left w:val="nil"/>
              <w:bottom w:val="nil"/>
              <w:right w:val="nil"/>
            </w:tcBorders>
            <w:shd w:val="clear" w:color="000000" w:fill="E6E6E6"/>
            <w:noWrap/>
            <w:vAlign w:val="bottom"/>
            <w:hideMark/>
          </w:tcPr>
          <w:p w14:paraId="63A3E49D" w14:textId="52339E53" w:rsidR="004C7942" w:rsidRPr="004C7942" w:rsidRDefault="004C7942" w:rsidP="004C7942">
            <w:pPr>
              <w:spacing w:before="0" w:after="0" w:line="240" w:lineRule="auto"/>
              <w:jc w:val="right"/>
              <w:rPr>
                <w:rFonts w:ascii="Arial" w:hAnsi="Arial" w:cs="Arial"/>
                <w:bCs/>
                <w:sz w:val="16"/>
                <w:szCs w:val="16"/>
              </w:rPr>
            </w:pPr>
            <w:r w:rsidRPr="0038345C">
              <w:rPr>
                <w:rFonts w:ascii="Arial" w:hAnsi="Arial" w:cs="Arial"/>
                <w:bCs/>
                <w:sz w:val="16"/>
                <w:szCs w:val="16"/>
              </w:rPr>
              <w:t>(566)</w:t>
            </w:r>
          </w:p>
        </w:tc>
        <w:tc>
          <w:tcPr>
            <w:tcW w:w="574" w:type="pct"/>
            <w:tcBorders>
              <w:top w:val="nil"/>
              <w:left w:val="nil"/>
              <w:bottom w:val="nil"/>
              <w:right w:val="nil"/>
            </w:tcBorders>
            <w:shd w:val="clear" w:color="auto" w:fill="auto"/>
            <w:noWrap/>
            <w:vAlign w:val="bottom"/>
            <w:hideMark/>
          </w:tcPr>
          <w:p w14:paraId="2186461C" w14:textId="3E709D69"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(701)</w:t>
            </w:r>
          </w:p>
        </w:tc>
        <w:tc>
          <w:tcPr>
            <w:tcW w:w="574" w:type="pct"/>
            <w:tcBorders>
              <w:top w:val="nil"/>
              <w:left w:val="nil"/>
              <w:bottom w:val="nil"/>
              <w:right w:val="nil"/>
            </w:tcBorders>
            <w:shd w:val="clear" w:color="auto" w:fill="auto"/>
            <w:noWrap/>
            <w:vAlign w:val="bottom"/>
            <w:hideMark/>
          </w:tcPr>
          <w:p w14:paraId="373C694E" w14:textId="7CCB2076"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(729)</w:t>
            </w:r>
          </w:p>
        </w:tc>
        <w:tc>
          <w:tcPr>
            <w:tcW w:w="573" w:type="pct"/>
            <w:tcBorders>
              <w:top w:val="nil"/>
              <w:left w:val="nil"/>
              <w:bottom w:val="nil"/>
              <w:right w:val="nil"/>
            </w:tcBorders>
            <w:shd w:val="clear" w:color="auto" w:fill="auto"/>
            <w:noWrap/>
            <w:vAlign w:val="bottom"/>
            <w:hideMark/>
          </w:tcPr>
          <w:p w14:paraId="23A0939A" w14:textId="54DE07BD" w:rsidR="004C7942" w:rsidRPr="004C7942" w:rsidRDefault="004C7942" w:rsidP="004C7942">
            <w:pPr>
              <w:spacing w:before="0" w:after="0" w:line="240" w:lineRule="auto"/>
              <w:jc w:val="right"/>
              <w:rPr>
                <w:rFonts w:ascii="Arial" w:hAnsi="Arial" w:cs="Arial"/>
                <w:sz w:val="16"/>
                <w:szCs w:val="16"/>
              </w:rPr>
            </w:pPr>
            <w:r w:rsidRPr="00443C79">
              <w:rPr>
                <w:rFonts w:ascii="Arial" w:hAnsi="Arial" w:cs="Arial"/>
                <w:sz w:val="16"/>
                <w:szCs w:val="16"/>
              </w:rPr>
              <w:t>(758)</w:t>
            </w:r>
          </w:p>
        </w:tc>
      </w:tr>
      <w:tr w:rsidR="004C7942" w:rsidRPr="00A5617C" w14:paraId="3E019220" w14:textId="77777777" w:rsidTr="00FA354D">
        <w:trPr>
          <w:trHeight w:val="204"/>
        </w:trPr>
        <w:tc>
          <w:tcPr>
            <w:tcW w:w="2100" w:type="pct"/>
            <w:tcBorders>
              <w:top w:val="nil"/>
              <w:left w:val="nil"/>
              <w:bottom w:val="single" w:sz="4" w:space="0" w:color="auto"/>
              <w:right w:val="nil"/>
            </w:tcBorders>
            <w:shd w:val="clear" w:color="auto" w:fill="auto"/>
            <w:vAlign w:val="center"/>
            <w:hideMark/>
          </w:tcPr>
          <w:p w14:paraId="7EAD1870" w14:textId="199C6B6B" w:rsidR="004C7942" w:rsidRPr="004C7942" w:rsidRDefault="004C7942" w:rsidP="004C7942">
            <w:pPr>
              <w:spacing w:before="0" w:after="0" w:line="240" w:lineRule="auto"/>
              <w:rPr>
                <w:rFonts w:ascii="Arial" w:hAnsi="Arial" w:cs="Arial"/>
                <w:b/>
                <w:bCs/>
                <w:color w:val="000000"/>
                <w:sz w:val="16"/>
                <w:szCs w:val="16"/>
              </w:rPr>
            </w:pPr>
            <w:r w:rsidRPr="004C7942">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5" w:type="pct"/>
            <w:tcBorders>
              <w:top w:val="single" w:sz="4" w:space="0" w:color="auto"/>
              <w:left w:val="nil"/>
              <w:bottom w:val="single" w:sz="4" w:space="0" w:color="auto"/>
              <w:right w:val="nil"/>
            </w:tcBorders>
            <w:shd w:val="clear" w:color="auto" w:fill="auto"/>
            <w:vAlign w:val="bottom"/>
            <w:hideMark/>
          </w:tcPr>
          <w:p w14:paraId="518F84DC" w14:textId="5D660C4C" w:rsidR="004C7942" w:rsidRPr="004C7942" w:rsidRDefault="004C7942" w:rsidP="004C7942">
            <w:pPr>
              <w:spacing w:before="0" w:after="0" w:line="240" w:lineRule="auto"/>
              <w:jc w:val="right"/>
              <w:rPr>
                <w:rFonts w:ascii="Arial" w:hAnsi="Arial" w:cs="Arial"/>
                <w:b/>
                <w:bCs/>
                <w:sz w:val="16"/>
                <w:szCs w:val="16"/>
              </w:rPr>
            </w:pPr>
            <w:r>
              <w:rPr>
                <w:rFonts w:ascii="Arial" w:hAnsi="Arial" w:cs="Arial"/>
                <w:b/>
                <w:sz w:val="16"/>
                <w:szCs w:val="16"/>
              </w:rPr>
              <w:t>(107)</w:t>
            </w:r>
          </w:p>
        </w:tc>
        <w:tc>
          <w:tcPr>
            <w:tcW w:w="574" w:type="pct"/>
            <w:tcBorders>
              <w:top w:val="single" w:sz="4" w:space="0" w:color="auto"/>
              <w:left w:val="nil"/>
              <w:bottom w:val="single" w:sz="4" w:space="0" w:color="auto"/>
              <w:right w:val="nil"/>
            </w:tcBorders>
            <w:shd w:val="clear" w:color="000000" w:fill="E6E6E6"/>
            <w:vAlign w:val="bottom"/>
            <w:hideMark/>
          </w:tcPr>
          <w:p w14:paraId="09E8D5A6" w14:textId="2F9BD86B"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(175)</w:t>
            </w:r>
          </w:p>
        </w:tc>
        <w:tc>
          <w:tcPr>
            <w:tcW w:w="574" w:type="pct"/>
            <w:tcBorders>
              <w:top w:val="single" w:sz="4" w:space="0" w:color="auto"/>
              <w:left w:val="nil"/>
              <w:bottom w:val="single" w:sz="4" w:space="0" w:color="auto"/>
              <w:right w:val="nil"/>
            </w:tcBorders>
            <w:shd w:val="clear" w:color="auto" w:fill="auto"/>
            <w:vAlign w:val="bottom"/>
            <w:hideMark/>
          </w:tcPr>
          <w:p w14:paraId="44590018" w14:textId="5676E4BF"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(310)</w:t>
            </w:r>
          </w:p>
        </w:tc>
        <w:tc>
          <w:tcPr>
            <w:tcW w:w="574" w:type="pct"/>
            <w:tcBorders>
              <w:top w:val="single" w:sz="4" w:space="0" w:color="auto"/>
              <w:left w:val="nil"/>
              <w:bottom w:val="single" w:sz="4" w:space="0" w:color="auto"/>
              <w:right w:val="nil"/>
            </w:tcBorders>
            <w:shd w:val="clear" w:color="auto" w:fill="auto"/>
            <w:vAlign w:val="bottom"/>
            <w:hideMark/>
          </w:tcPr>
          <w:p w14:paraId="25657ACD" w14:textId="65A16910"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(338)</w:t>
            </w:r>
          </w:p>
        </w:tc>
        <w:tc>
          <w:tcPr>
            <w:tcW w:w="573" w:type="pct"/>
            <w:tcBorders>
              <w:top w:val="single" w:sz="4" w:space="0" w:color="auto"/>
              <w:left w:val="nil"/>
              <w:bottom w:val="single" w:sz="4" w:space="0" w:color="auto"/>
              <w:right w:val="nil"/>
            </w:tcBorders>
            <w:shd w:val="clear" w:color="auto" w:fill="auto"/>
            <w:vAlign w:val="bottom"/>
            <w:hideMark/>
          </w:tcPr>
          <w:p w14:paraId="4124DB65" w14:textId="0097C8DA" w:rsidR="004C7942" w:rsidRPr="004C7942" w:rsidRDefault="004C7942" w:rsidP="004C7942">
            <w:pPr>
              <w:spacing w:before="0" w:after="0" w:line="240" w:lineRule="auto"/>
              <w:jc w:val="right"/>
              <w:rPr>
                <w:rFonts w:ascii="Arial" w:hAnsi="Arial" w:cs="Arial"/>
                <w:b/>
                <w:bCs/>
                <w:sz w:val="16"/>
                <w:szCs w:val="16"/>
              </w:rPr>
            </w:pPr>
            <w:r>
              <w:rPr>
                <w:rFonts w:ascii="Arial" w:hAnsi="Arial" w:cs="Arial"/>
                <w:b/>
                <w:bCs/>
                <w:sz w:val="16"/>
                <w:szCs w:val="16"/>
              </w:rPr>
              <w:t>(367)</w:t>
            </w:r>
          </w:p>
        </w:tc>
      </w:tr>
    </w:tbl>
    <w:p w14:paraId="5D4FA6B2" w14:textId="77777777" w:rsidR="00FA354D" w:rsidRPr="00C753BC" w:rsidRDefault="00FA354D" w:rsidP="00FA354D">
      <w:pPr>
        <w:pStyle w:val="Source"/>
        <w:spacing w:after="0"/>
        <w:ind w:left="0" w:firstLine="0"/>
        <w:rPr>
          <w:rFonts w:cs="Arial"/>
        </w:rPr>
      </w:pPr>
      <w:r w:rsidRPr="00C753BC">
        <w:t>Prepared on Australian Accounting Standards basis.</w:t>
      </w:r>
    </w:p>
    <w:p w14:paraId="53BAE908" w14:textId="77777777" w:rsidR="00FA354D" w:rsidRPr="00E87CB1" w:rsidRDefault="00FA354D" w:rsidP="00B43339">
      <w:pPr>
        <w:pStyle w:val="ChartandTableFootnoteAlpha"/>
        <w:numPr>
          <w:ilvl w:val="0"/>
          <w:numId w:val="113"/>
        </w:numPr>
        <w:ind w:left="357" w:hanging="357"/>
        <w:rPr>
          <w:rFonts w:cs="Arial"/>
        </w:rPr>
      </w:pPr>
      <w:r w:rsidRPr="00E87CB1">
        <w:rPr>
          <w:rFonts w:cs="Arial"/>
        </w:rPr>
        <w:t>Applies leases under AASB 16 Leases.</w:t>
      </w:r>
    </w:p>
    <w:p w14:paraId="448AC71A" w14:textId="2402C23D" w:rsidR="00FA354D" w:rsidRDefault="00FA354D" w:rsidP="00FA354D">
      <w:pPr>
        <w:pStyle w:val="TableHeading"/>
        <w:rPr>
          <w:b w:val="0"/>
        </w:rPr>
      </w:pPr>
      <w:r>
        <w:br w:type="page"/>
      </w:r>
      <w:r w:rsidRPr="00A6256B">
        <w:lastRenderedPageBreak/>
        <w:t xml:space="preserve">Table 3.2: Budgeted </w:t>
      </w:r>
      <w:r w:rsidR="003352C5">
        <w:t>Departmental</w:t>
      </w:r>
      <w:r w:rsidRPr="00A6256B">
        <w:t xml:space="preserve"> balance sheet (as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603CF4" w:rsidRPr="00E3450B" w14:paraId="4D1E3628" w14:textId="77777777" w:rsidTr="00B219F6">
        <w:trPr>
          <w:trHeight w:val="204"/>
        </w:trPr>
        <w:tc>
          <w:tcPr>
            <w:tcW w:w="2100" w:type="pct"/>
            <w:tcBorders>
              <w:top w:val="single" w:sz="4" w:space="0" w:color="auto"/>
              <w:left w:val="nil"/>
              <w:bottom w:val="nil"/>
              <w:right w:val="nil"/>
            </w:tcBorders>
            <w:shd w:val="clear" w:color="auto" w:fill="auto"/>
            <w:noWrap/>
            <w:hideMark/>
          </w:tcPr>
          <w:p w14:paraId="1B04F934" w14:textId="77777777" w:rsidR="00603CF4" w:rsidRPr="00E3450B" w:rsidRDefault="00603CF4" w:rsidP="00603CF4">
            <w:pPr>
              <w:spacing w:before="0" w:after="0" w:line="240" w:lineRule="auto"/>
              <w:rPr>
                <w:rFonts w:ascii="Arial" w:hAnsi="Arial" w:cs="Arial"/>
                <w:b/>
                <w:bCs/>
                <w:sz w:val="16"/>
                <w:szCs w:val="16"/>
              </w:rPr>
            </w:pPr>
            <w:r w:rsidRPr="00E3450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8D901AE" w14:textId="512B0AED"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Estimated</w:t>
            </w:r>
            <w:r w:rsidRPr="004C7942">
              <w:rPr>
                <w:rFonts w:ascii="Arial" w:hAnsi="Arial" w:cs="Arial"/>
                <w:sz w:val="16"/>
                <w:szCs w:val="16"/>
              </w:rPr>
              <w:br/>
              <w:t>actual</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822361F" w14:textId="1F7B7A59"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Budget</w:t>
            </w:r>
            <w:r w:rsidRPr="004C7942">
              <w:rPr>
                <w:rFonts w:ascii="Arial" w:hAnsi="Arial" w:cs="Arial"/>
                <w:sz w:val="16"/>
                <w:szCs w:val="16"/>
              </w:rPr>
              <w:br/>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38308CC" w14:textId="381E6452"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4F5432B" w14:textId="486E8113"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01E7FEC" w14:textId="7A5725FB"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r>
      <w:tr w:rsidR="00FA354D" w:rsidRPr="00E3450B" w14:paraId="601EAFE9" w14:textId="77777777" w:rsidTr="00E5157C">
        <w:trPr>
          <w:trHeight w:val="204"/>
        </w:trPr>
        <w:tc>
          <w:tcPr>
            <w:tcW w:w="2100" w:type="pct"/>
            <w:tcBorders>
              <w:top w:val="nil"/>
              <w:left w:val="nil"/>
              <w:bottom w:val="nil"/>
              <w:right w:val="nil"/>
            </w:tcBorders>
            <w:shd w:val="clear" w:color="auto" w:fill="auto"/>
            <w:noWrap/>
            <w:vAlign w:val="center"/>
            <w:hideMark/>
          </w:tcPr>
          <w:p w14:paraId="1B1089EE"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64882A6D"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6D095ED"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B148861"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DC0BE90"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65B8588" w14:textId="77777777" w:rsidR="00FA354D" w:rsidRPr="004C7942" w:rsidRDefault="00FA354D" w:rsidP="00FA354D">
            <w:pPr>
              <w:spacing w:before="0" w:after="0" w:line="240" w:lineRule="auto"/>
              <w:jc w:val="right"/>
              <w:rPr>
                <w:rFonts w:ascii="Times New Roman" w:hAnsi="Times New Roman"/>
                <w:sz w:val="20"/>
              </w:rPr>
            </w:pPr>
          </w:p>
        </w:tc>
      </w:tr>
      <w:tr w:rsidR="00FA354D" w:rsidRPr="00E3450B" w14:paraId="715EA6F8" w14:textId="77777777" w:rsidTr="00E5157C">
        <w:trPr>
          <w:trHeight w:val="204"/>
        </w:trPr>
        <w:tc>
          <w:tcPr>
            <w:tcW w:w="2100" w:type="pct"/>
            <w:tcBorders>
              <w:top w:val="nil"/>
              <w:left w:val="nil"/>
              <w:bottom w:val="nil"/>
              <w:right w:val="nil"/>
            </w:tcBorders>
            <w:shd w:val="clear" w:color="auto" w:fill="auto"/>
            <w:noWrap/>
            <w:vAlign w:val="center"/>
            <w:hideMark/>
          </w:tcPr>
          <w:p w14:paraId="144F6101"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4449114B"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2295159"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6229AC6"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89876CC"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C1233EB"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126AF25C" w14:textId="77777777" w:rsidTr="00E5157C">
        <w:trPr>
          <w:trHeight w:val="204"/>
        </w:trPr>
        <w:tc>
          <w:tcPr>
            <w:tcW w:w="2100" w:type="pct"/>
            <w:tcBorders>
              <w:top w:val="nil"/>
              <w:left w:val="nil"/>
              <w:bottom w:val="nil"/>
              <w:right w:val="nil"/>
            </w:tcBorders>
            <w:shd w:val="clear" w:color="auto" w:fill="auto"/>
            <w:noWrap/>
            <w:vAlign w:val="center"/>
            <w:hideMark/>
          </w:tcPr>
          <w:p w14:paraId="573867D0"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 xml:space="preserve">Cash </w:t>
            </w:r>
            <w:r w:rsidRPr="00E3450B">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29F369CF" w14:textId="2689E2FA"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4,997</w:t>
            </w:r>
          </w:p>
        </w:tc>
        <w:tc>
          <w:tcPr>
            <w:tcW w:w="574" w:type="pct"/>
            <w:tcBorders>
              <w:top w:val="nil"/>
              <w:left w:val="nil"/>
              <w:bottom w:val="nil"/>
              <w:right w:val="nil"/>
            </w:tcBorders>
            <w:shd w:val="clear" w:color="000000" w:fill="E6E6E6"/>
            <w:noWrap/>
            <w:vAlign w:val="bottom"/>
            <w:hideMark/>
          </w:tcPr>
          <w:p w14:paraId="7A2EFC78" w14:textId="1B8CFF1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5,681</w:t>
            </w:r>
          </w:p>
        </w:tc>
        <w:tc>
          <w:tcPr>
            <w:tcW w:w="574" w:type="pct"/>
            <w:tcBorders>
              <w:top w:val="nil"/>
              <w:left w:val="nil"/>
              <w:bottom w:val="nil"/>
              <w:right w:val="nil"/>
            </w:tcBorders>
            <w:shd w:val="clear" w:color="auto" w:fill="auto"/>
            <w:noWrap/>
            <w:vAlign w:val="bottom"/>
            <w:hideMark/>
          </w:tcPr>
          <w:p w14:paraId="7798725D" w14:textId="30E3B11B"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5,657</w:t>
            </w:r>
          </w:p>
        </w:tc>
        <w:tc>
          <w:tcPr>
            <w:tcW w:w="574" w:type="pct"/>
            <w:tcBorders>
              <w:top w:val="nil"/>
              <w:left w:val="nil"/>
              <w:bottom w:val="nil"/>
              <w:right w:val="nil"/>
            </w:tcBorders>
            <w:shd w:val="clear" w:color="auto" w:fill="auto"/>
            <w:noWrap/>
            <w:vAlign w:val="bottom"/>
            <w:hideMark/>
          </w:tcPr>
          <w:p w14:paraId="2E6853D8" w14:textId="7A2AA4F8"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5,661</w:t>
            </w:r>
          </w:p>
        </w:tc>
        <w:tc>
          <w:tcPr>
            <w:tcW w:w="573" w:type="pct"/>
            <w:tcBorders>
              <w:top w:val="nil"/>
              <w:left w:val="nil"/>
              <w:bottom w:val="nil"/>
              <w:right w:val="nil"/>
            </w:tcBorders>
            <w:shd w:val="clear" w:color="auto" w:fill="auto"/>
            <w:noWrap/>
            <w:vAlign w:val="bottom"/>
            <w:hideMark/>
          </w:tcPr>
          <w:p w14:paraId="73655B42" w14:textId="3158989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5,667</w:t>
            </w:r>
          </w:p>
        </w:tc>
      </w:tr>
      <w:tr w:rsidR="004C7942" w:rsidRPr="00E3450B" w14:paraId="1914E407" w14:textId="77777777" w:rsidTr="00E5157C">
        <w:trPr>
          <w:trHeight w:val="204"/>
        </w:trPr>
        <w:tc>
          <w:tcPr>
            <w:tcW w:w="2100" w:type="pct"/>
            <w:tcBorders>
              <w:top w:val="nil"/>
              <w:left w:val="nil"/>
              <w:bottom w:val="nil"/>
              <w:right w:val="nil"/>
            </w:tcBorders>
            <w:shd w:val="clear" w:color="auto" w:fill="auto"/>
            <w:noWrap/>
            <w:vAlign w:val="center"/>
            <w:hideMark/>
          </w:tcPr>
          <w:p w14:paraId="2BE05ECF" w14:textId="77777777" w:rsidR="004C7942" w:rsidRPr="00E3450B" w:rsidRDefault="004C7942" w:rsidP="004C7942">
            <w:pPr>
              <w:spacing w:before="0" w:after="0" w:line="240" w:lineRule="auto"/>
              <w:ind w:left="113"/>
              <w:rPr>
                <w:rFonts w:ascii="Arial" w:hAnsi="Arial" w:cs="Arial"/>
                <w:sz w:val="16"/>
                <w:szCs w:val="16"/>
              </w:rPr>
            </w:pPr>
            <w:r w:rsidRPr="00F5380E">
              <w:rPr>
                <w:rFonts w:ascii="Arial" w:hAnsi="Arial" w:cs="Arial"/>
                <w:color w:val="000000"/>
                <w:sz w:val="16"/>
                <w:szCs w:val="16"/>
              </w:rPr>
              <w:t>Trade</w:t>
            </w:r>
            <w:r w:rsidRPr="00E3450B">
              <w:rPr>
                <w:rFonts w:ascii="Arial" w:hAnsi="Arial" w:cs="Arial"/>
                <w:sz w:val="16"/>
                <w:szCs w:val="16"/>
              </w:rPr>
              <w:t xml:space="preserve"> and other receivables</w:t>
            </w:r>
          </w:p>
        </w:tc>
        <w:tc>
          <w:tcPr>
            <w:tcW w:w="605" w:type="pct"/>
            <w:tcBorders>
              <w:top w:val="nil"/>
              <w:left w:val="nil"/>
              <w:bottom w:val="nil"/>
              <w:right w:val="nil"/>
            </w:tcBorders>
            <w:shd w:val="clear" w:color="auto" w:fill="auto"/>
            <w:noWrap/>
            <w:vAlign w:val="bottom"/>
            <w:hideMark/>
          </w:tcPr>
          <w:p w14:paraId="59A1E531" w14:textId="25E5E758"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39</w:t>
            </w:r>
          </w:p>
        </w:tc>
        <w:tc>
          <w:tcPr>
            <w:tcW w:w="574" w:type="pct"/>
            <w:tcBorders>
              <w:top w:val="nil"/>
              <w:left w:val="nil"/>
              <w:bottom w:val="nil"/>
              <w:right w:val="nil"/>
            </w:tcBorders>
            <w:shd w:val="clear" w:color="000000" w:fill="E6E6E6"/>
            <w:noWrap/>
            <w:vAlign w:val="bottom"/>
            <w:hideMark/>
          </w:tcPr>
          <w:p w14:paraId="32E27945" w14:textId="25526E67"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31</w:t>
            </w:r>
          </w:p>
        </w:tc>
        <w:tc>
          <w:tcPr>
            <w:tcW w:w="574" w:type="pct"/>
            <w:tcBorders>
              <w:top w:val="nil"/>
              <w:left w:val="nil"/>
              <w:bottom w:val="nil"/>
              <w:right w:val="nil"/>
            </w:tcBorders>
            <w:shd w:val="clear" w:color="auto" w:fill="auto"/>
            <w:noWrap/>
            <w:vAlign w:val="bottom"/>
            <w:hideMark/>
          </w:tcPr>
          <w:p w14:paraId="35531832" w14:textId="5D984CE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31</w:t>
            </w:r>
          </w:p>
        </w:tc>
        <w:tc>
          <w:tcPr>
            <w:tcW w:w="574" w:type="pct"/>
            <w:tcBorders>
              <w:top w:val="nil"/>
              <w:left w:val="nil"/>
              <w:bottom w:val="nil"/>
              <w:right w:val="nil"/>
            </w:tcBorders>
            <w:shd w:val="clear" w:color="auto" w:fill="auto"/>
            <w:noWrap/>
            <w:vAlign w:val="bottom"/>
            <w:hideMark/>
          </w:tcPr>
          <w:p w14:paraId="4FD3FE9E" w14:textId="1E7B75F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31</w:t>
            </w:r>
          </w:p>
        </w:tc>
        <w:tc>
          <w:tcPr>
            <w:tcW w:w="573" w:type="pct"/>
            <w:tcBorders>
              <w:top w:val="nil"/>
              <w:left w:val="nil"/>
              <w:bottom w:val="nil"/>
              <w:right w:val="nil"/>
            </w:tcBorders>
            <w:shd w:val="clear" w:color="auto" w:fill="auto"/>
            <w:noWrap/>
            <w:vAlign w:val="bottom"/>
            <w:hideMark/>
          </w:tcPr>
          <w:p w14:paraId="12DBE60B" w14:textId="4C3F66E7"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31</w:t>
            </w:r>
          </w:p>
        </w:tc>
      </w:tr>
      <w:tr w:rsidR="004C7942" w:rsidRPr="00E3450B" w14:paraId="7CC46EF1" w14:textId="77777777" w:rsidTr="00E5157C">
        <w:trPr>
          <w:trHeight w:val="204"/>
        </w:trPr>
        <w:tc>
          <w:tcPr>
            <w:tcW w:w="2100" w:type="pct"/>
            <w:tcBorders>
              <w:top w:val="nil"/>
              <w:left w:val="nil"/>
              <w:bottom w:val="nil"/>
              <w:right w:val="nil"/>
            </w:tcBorders>
            <w:shd w:val="clear" w:color="auto" w:fill="auto"/>
            <w:noWrap/>
            <w:vAlign w:val="center"/>
            <w:hideMark/>
          </w:tcPr>
          <w:p w14:paraId="517CA494" w14:textId="77777777" w:rsidR="004C7942" w:rsidRPr="00E3450B" w:rsidRDefault="004C7942" w:rsidP="004C7942">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35C298E8" w14:textId="4FC7E259" w:rsidR="004C7942" w:rsidRPr="004C7942" w:rsidRDefault="004C7942" w:rsidP="004C7942">
            <w:pPr>
              <w:spacing w:before="0" w:after="0" w:line="240" w:lineRule="auto"/>
              <w:jc w:val="right"/>
              <w:rPr>
                <w:rFonts w:ascii="Arial" w:hAnsi="Arial" w:cs="Arial"/>
                <w:b/>
                <w:bCs/>
                <w:i/>
                <w:iCs/>
                <w:color w:val="000000"/>
                <w:sz w:val="16"/>
                <w:szCs w:val="16"/>
              </w:rPr>
            </w:pPr>
            <w:r w:rsidRPr="004C7942">
              <w:rPr>
                <w:rFonts w:ascii="Arial" w:hAnsi="Arial" w:cs="Arial"/>
                <w:b/>
                <w:bCs/>
                <w:i/>
                <w:iCs/>
                <w:color w:val="000000"/>
                <w:sz w:val="16"/>
                <w:szCs w:val="16"/>
              </w:rPr>
              <w:t xml:space="preserve">5,036 </w:t>
            </w:r>
          </w:p>
        </w:tc>
        <w:tc>
          <w:tcPr>
            <w:tcW w:w="574" w:type="pct"/>
            <w:tcBorders>
              <w:top w:val="single" w:sz="4" w:space="0" w:color="000000"/>
              <w:left w:val="nil"/>
              <w:bottom w:val="single" w:sz="4" w:space="0" w:color="000000"/>
              <w:right w:val="nil"/>
            </w:tcBorders>
            <w:shd w:val="clear" w:color="000000" w:fill="E6E6E6"/>
            <w:noWrap/>
            <w:vAlign w:val="bottom"/>
            <w:hideMark/>
          </w:tcPr>
          <w:p w14:paraId="0570DFA4" w14:textId="2E33011C" w:rsidR="004C7942" w:rsidRPr="004C7942" w:rsidRDefault="004C7942" w:rsidP="004C7942">
            <w:pPr>
              <w:spacing w:before="0" w:after="0" w:line="240" w:lineRule="auto"/>
              <w:jc w:val="right"/>
              <w:rPr>
                <w:rFonts w:ascii="Arial" w:hAnsi="Arial" w:cs="Arial"/>
                <w:b/>
                <w:bCs/>
                <w:i/>
                <w:iCs/>
                <w:color w:val="000000"/>
                <w:sz w:val="16"/>
                <w:szCs w:val="16"/>
              </w:rPr>
            </w:pPr>
            <w:r w:rsidRPr="004C7942">
              <w:rPr>
                <w:rFonts w:ascii="Arial" w:hAnsi="Arial" w:cs="Arial"/>
                <w:b/>
                <w:bCs/>
                <w:i/>
                <w:iCs/>
                <w:color w:val="000000"/>
                <w:sz w:val="16"/>
                <w:szCs w:val="16"/>
              </w:rPr>
              <w:t xml:space="preserve">5,712 </w:t>
            </w:r>
          </w:p>
        </w:tc>
        <w:tc>
          <w:tcPr>
            <w:tcW w:w="574" w:type="pct"/>
            <w:tcBorders>
              <w:top w:val="single" w:sz="4" w:space="0" w:color="000000"/>
              <w:left w:val="nil"/>
              <w:bottom w:val="single" w:sz="4" w:space="0" w:color="000000"/>
              <w:right w:val="nil"/>
            </w:tcBorders>
            <w:shd w:val="clear" w:color="auto" w:fill="auto"/>
            <w:noWrap/>
            <w:vAlign w:val="bottom"/>
            <w:hideMark/>
          </w:tcPr>
          <w:p w14:paraId="56404482" w14:textId="22C7212C" w:rsidR="004C7942" w:rsidRPr="004C7942" w:rsidRDefault="004C7942" w:rsidP="004C7942">
            <w:pPr>
              <w:spacing w:before="0" w:after="0" w:line="240" w:lineRule="auto"/>
              <w:jc w:val="right"/>
              <w:rPr>
                <w:rFonts w:ascii="Arial" w:hAnsi="Arial" w:cs="Arial"/>
                <w:b/>
                <w:bCs/>
                <w:i/>
                <w:iCs/>
                <w:color w:val="000000"/>
                <w:sz w:val="16"/>
                <w:szCs w:val="16"/>
              </w:rPr>
            </w:pPr>
            <w:r w:rsidRPr="004C7942">
              <w:rPr>
                <w:rFonts w:ascii="Arial" w:hAnsi="Arial" w:cs="Arial"/>
                <w:b/>
                <w:bCs/>
                <w:i/>
                <w:iCs/>
                <w:color w:val="000000"/>
                <w:sz w:val="16"/>
                <w:szCs w:val="16"/>
              </w:rPr>
              <w:t xml:space="preserve">5,688 </w:t>
            </w:r>
          </w:p>
        </w:tc>
        <w:tc>
          <w:tcPr>
            <w:tcW w:w="574" w:type="pct"/>
            <w:tcBorders>
              <w:top w:val="single" w:sz="4" w:space="0" w:color="000000"/>
              <w:left w:val="nil"/>
              <w:bottom w:val="single" w:sz="4" w:space="0" w:color="000000"/>
              <w:right w:val="nil"/>
            </w:tcBorders>
            <w:shd w:val="clear" w:color="auto" w:fill="auto"/>
            <w:noWrap/>
            <w:vAlign w:val="bottom"/>
            <w:hideMark/>
          </w:tcPr>
          <w:p w14:paraId="7A911653" w14:textId="4176CBD4" w:rsidR="004C7942" w:rsidRPr="004C7942" w:rsidRDefault="004C7942" w:rsidP="004C7942">
            <w:pPr>
              <w:spacing w:before="0" w:after="0" w:line="240" w:lineRule="auto"/>
              <w:jc w:val="right"/>
              <w:rPr>
                <w:rFonts w:ascii="Arial" w:hAnsi="Arial" w:cs="Arial"/>
                <w:b/>
                <w:bCs/>
                <w:i/>
                <w:iCs/>
                <w:color w:val="000000"/>
                <w:sz w:val="16"/>
                <w:szCs w:val="16"/>
              </w:rPr>
            </w:pPr>
            <w:r w:rsidRPr="004C7942">
              <w:rPr>
                <w:rFonts w:ascii="Arial" w:hAnsi="Arial" w:cs="Arial"/>
                <w:b/>
                <w:bCs/>
                <w:i/>
                <w:iCs/>
                <w:color w:val="000000"/>
                <w:sz w:val="16"/>
                <w:szCs w:val="16"/>
              </w:rPr>
              <w:t xml:space="preserve">5,692 </w:t>
            </w:r>
          </w:p>
        </w:tc>
        <w:tc>
          <w:tcPr>
            <w:tcW w:w="573" w:type="pct"/>
            <w:tcBorders>
              <w:top w:val="single" w:sz="4" w:space="0" w:color="000000"/>
              <w:left w:val="nil"/>
              <w:bottom w:val="single" w:sz="4" w:space="0" w:color="000000"/>
              <w:right w:val="nil"/>
            </w:tcBorders>
            <w:shd w:val="clear" w:color="auto" w:fill="auto"/>
            <w:noWrap/>
            <w:vAlign w:val="bottom"/>
            <w:hideMark/>
          </w:tcPr>
          <w:p w14:paraId="2B126BF5" w14:textId="29CA62EC" w:rsidR="004C7942" w:rsidRPr="004C7942" w:rsidRDefault="004C7942" w:rsidP="004C7942">
            <w:pPr>
              <w:spacing w:before="0" w:after="0" w:line="240" w:lineRule="auto"/>
              <w:jc w:val="right"/>
              <w:rPr>
                <w:rFonts w:ascii="Arial" w:hAnsi="Arial" w:cs="Arial"/>
                <w:b/>
                <w:bCs/>
                <w:i/>
                <w:iCs/>
                <w:color w:val="000000"/>
                <w:sz w:val="16"/>
                <w:szCs w:val="16"/>
              </w:rPr>
            </w:pPr>
            <w:r w:rsidRPr="004C7942">
              <w:rPr>
                <w:rFonts w:ascii="Arial" w:hAnsi="Arial" w:cs="Arial"/>
                <w:b/>
                <w:bCs/>
                <w:i/>
                <w:iCs/>
                <w:color w:val="000000"/>
                <w:sz w:val="16"/>
                <w:szCs w:val="16"/>
              </w:rPr>
              <w:t xml:space="preserve">5,698 </w:t>
            </w:r>
          </w:p>
        </w:tc>
      </w:tr>
      <w:tr w:rsidR="00FA354D" w:rsidRPr="00E3450B" w14:paraId="44A16CDC" w14:textId="77777777" w:rsidTr="00E5157C">
        <w:trPr>
          <w:trHeight w:val="204"/>
        </w:trPr>
        <w:tc>
          <w:tcPr>
            <w:tcW w:w="2100" w:type="pct"/>
            <w:tcBorders>
              <w:top w:val="nil"/>
              <w:left w:val="nil"/>
              <w:bottom w:val="nil"/>
              <w:right w:val="nil"/>
            </w:tcBorders>
            <w:shd w:val="clear" w:color="auto" w:fill="auto"/>
            <w:noWrap/>
            <w:vAlign w:val="center"/>
            <w:hideMark/>
          </w:tcPr>
          <w:p w14:paraId="16E104B2"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517DDEEE"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4DE2820"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9B64165"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FF79D81"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9622138"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473DE087" w14:textId="77777777" w:rsidTr="00E5157C">
        <w:trPr>
          <w:trHeight w:val="204"/>
        </w:trPr>
        <w:tc>
          <w:tcPr>
            <w:tcW w:w="2100" w:type="pct"/>
            <w:tcBorders>
              <w:top w:val="nil"/>
              <w:left w:val="nil"/>
              <w:bottom w:val="nil"/>
              <w:right w:val="nil"/>
            </w:tcBorders>
            <w:shd w:val="clear" w:color="auto" w:fill="auto"/>
            <w:noWrap/>
            <w:vAlign w:val="center"/>
            <w:hideMark/>
          </w:tcPr>
          <w:p w14:paraId="7FDA1626"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6C90B506" w14:textId="281298D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3,285</w:t>
            </w:r>
          </w:p>
        </w:tc>
        <w:tc>
          <w:tcPr>
            <w:tcW w:w="574" w:type="pct"/>
            <w:tcBorders>
              <w:top w:val="nil"/>
              <w:left w:val="nil"/>
              <w:bottom w:val="nil"/>
              <w:right w:val="nil"/>
            </w:tcBorders>
            <w:shd w:val="clear" w:color="000000" w:fill="E6E6E6"/>
            <w:noWrap/>
            <w:vAlign w:val="bottom"/>
            <w:hideMark/>
          </w:tcPr>
          <w:p w14:paraId="067DA5E3" w14:textId="34E7475E"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2,642</w:t>
            </w:r>
          </w:p>
        </w:tc>
        <w:tc>
          <w:tcPr>
            <w:tcW w:w="574" w:type="pct"/>
            <w:tcBorders>
              <w:top w:val="nil"/>
              <w:left w:val="nil"/>
              <w:bottom w:val="nil"/>
              <w:right w:val="nil"/>
            </w:tcBorders>
            <w:shd w:val="clear" w:color="auto" w:fill="auto"/>
            <w:noWrap/>
            <w:vAlign w:val="bottom"/>
            <w:hideMark/>
          </w:tcPr>
          <w:p w14:paraId="1D51AEF0" w14:textId="32A2EE2C"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1,999</w:t>
            </w:r>
          </w:p>
        </w:tc>
        <w:tc>
          <w:tcPr>
            <w:tcW w:w="574" w:type="pct"/>
            <w:tcBorders>
              <w:top w:val="nil"/>
              <w:left w:val="nil"/>
              <w:bottom w:val="nil"/>
              <w:right w:val="nil"/>
            </w:tcBorders>
            <w:shd w:val="clear" w:color="auto" w:fill="auto"/>
            <w:noWrap/>
            <w:vAlign w:val="bottom"/>
            <w:hideMark/>
          </w:tcPr>
          <w:p w14:paraId="61B0ECE0" w14:textId="71FB977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1,356</w:t>
            </w:r>
          </w:p>
        </w:tc>
        <w:tc>
          <w:tcPr>
            <w:tcW w:w="573" w:type="pct"/>
            <w:tcBorders>
              <w:top w:val="nil"/>
              <w:left w:val="nil"/>
              <w:bottom w:val="nil"/>
              <w:right w:val="nil"/>
            </w:tcBorders>
            <w:shd w:val="clear" w:color="auto" w:fill="auto"/>
            <w:noWrap/>
            <w:vAlign w:val="bottom"/>
            <w:hideMark/>
          </w:tcPr>
          <w:p w14:paraId="5B7C3659" w14:textId="4B1C00E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713</w:t>
            </w:r>
          </w:p>
        </w:tc>
      </w:tr>
      <w:tr w:rsidR="004C7942" w:rsidRPr="00E3450B" w14:paraId="3CA5090C" w14:textId="77777777" w:rsidTr="00E5157C">
        <w:trPr>
          <w:trHeight w:val="204"/>
        </w:trPr>
        <w:tc>
          <w:tcPr>
            <w:tcW w:w="2100" w:type="pct"/>
            <w:tcBorders>
              <w:top w:val="nil"/>
              <w:left w:val="nil"/>
              <w:bottom w:val="nil"/>
              <w:right w:val="nil"/>
            </w:tcBorders>
            <w:shd w:val="clear" w:color="auto" w:fill="auto"/>
            <w:noWrap/>
            <w:vAlign w:val="center"/>
            <w:hideMark/>
          </w:tcPr>
          <w:p w14:paraId="2BDB7FF9"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1EC940A3" w14:textId="09E8C86F"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181</w:t>
            </w:r>
          </w:p>
        </w:tc>
        <w:tc>
          <w:tcPr>
            <w:tcW w:w="574" w:type="pct"/>
            <w:tcBorders>
              <w:top w:val="nil"/>
              <w:left w:val="nil"/>
              <w:bottom w:val="nil"/>
              <w:right w:val="nil"/>
            </w:tcBorders>
            <w:shd w:val="clear" w:color="000000" w:fill="E6E6E6"/>
            <w:noWrap/>
            <w:vAlign w:val="bottom"/>
            <w:hideMark/>
          </w:tcPr>
          <w:p w14:paraId="29C16424" w14:textId="28E769C7"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183</w:t>
            </w:r>
          </w:p>
        </w:tc>
        <w:tc>
          <w:tcPr>
            <w:tcW w:w="574" w:type="pct"/>
            <w:tcBorders>
              <w:top w:val="nil"/>
              <w:left w:val="nil"/>
              <w:bottom w:val="nil"/>
              <w:right w:val="nil"/>
            </w:tcBorders>
            <w:shd w:val="clear" w:color="auto" w:fill="auto"/>
            <w:noWrap/>
            <w:vAlign w:val="bottom"/>
            <w:hideMark/>
          </w:tcPr>
          <w:p w14:paraId="7B2B7205" w14:textId="1B17851F"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169</w:t>
            </w:r>
          </w:p>
        </w:tc>
        <w:tc>
          <w:tcPr>
            <w:tcW w:w="574" w:type="pct"/>
            <w:tcBorders>
              <w:top w:val="nil"/>
              <w:left w:val="nil"/>
              <w:bottom w:val="nil"/>
              <w:right w:val="nil"/>
            </w:tcBorders>
            <w:shd w:val="clear" w:color="auto" w:fill="auto"/>
            <w:noWrap/>
            <w:vAlign w:val="bottom"/>
            <w:hideMark/>
          </w:tcPr>
          <w:p w14:paraId="4CC22BD1" w14:textId="6530BB2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155</w:t>
            </w:r>
          </w:p>
        </w:tc>
        <w:tc>
          <w:tcPr>
            <w:tcW w:w="573" w:type="pct"/>
            <w:tcBorders>
              <w:top w:val="nil"/>
              <w:left w:val="nil"/>
              <w:bottom w:val="nil"/>
              <w:right w:val="nil"/>
            </w:tcBorders>
            <w:shd w:val="clear" w:color="auto" w:fill="auto"/>
            <w:noWrap/>
            <w:vAlign w:val="bottom"/>
            <w:hideMark/>
          </w:tcPr>
          <w:p w14:paraId="5017D075" w14:textId="38C3EC8D"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81</w:t>
            </w:r>
          </w:p>
        </w:tc>
      </w:tr>
      <w:tr w:rsidR="004C7942" w:rsidRPr="00E3450B" w14:paraId="55CEE253" w14:textId="77777777" w:rsidTr="00E5157C">
        <w:trPr>
          <w:trHeight w:val="204"/>
        </w:trPr>
        <w:tc>
          <w:tcPr>
            <w:tcW w:w="2100" w:type="pct"/>
            <w:tcBorders>
              <w:top w:val="nil"/>
              <w:left w:val="nil"/>
              <w:bottom w:val="nil"/>
              <w:right w:val="nil"/>
            </w:tcBorders>
            <w:shd w:val="clear" w:color="auto" w:fill="auto"/>
            <w:noWrap/>
            <w:vAlign w:val="center"/>
            <w:hideMark/>
          </w:tcPr>
          <w:p w14:paraId="2258E475"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474120D7" w14:textId="4B4F82C7"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243</w:t>
            </w:r>
          </w:p>
        </w:tc>
        <w:tc>
          <w:tcPr>
            <w:tcW w:w="574" w:type="pct"/>
            <w:tcBorders>
              <w:top w:val="nil"/>
              <w:left w:val="nil"/>
              <w:bottom w:val="nil"/>
              <w:right w:val="nil"/>
            </w:tcBorders>
            <w:shd w:val="clear" w:color="000000" w:fill="E6E6E6"/>
            <w:noWrap/>
            <w:vAlign w:val="bottom"/>
            <w:hideMark/>
          </w:tcPr>
          <w:p w14:paraId="2895A4C2" w14:textId="2483D55E"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243</w:t>
            </w:r>
          </w:p>
        </w:tc>
        <w:tc>
          <w:tcPr>
            <w:tcW w:w="574" w:type="pct"/>
            <w:tcBorders>
              <w:top w:val="nil"/>
              <w:left w:val="nil"/>
              <w:bottom w:val="nil"/>
              <w:right w:val="nil"/>
            </w:tcBorders>
            <w:shd w:val="clear" w:color="auto" w:fill="auto"/>
            <w:noWrap/>
            <w:vAlign w:val="bottom"/>
            <w:hideMark/>
          </w:tcPr>
          <w:p w14:paraId="0FDE795A" w14:textId="599E409B"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243</w:t>
            </w:r>
          </w:p>
        </w:tc>
        <w:tc>
          <w:tcPr>
            <w:tcW w:w="574" w:type="pct"/>
            <w:tcBorders>
              <w:top w:val="nil"/>
              <w:left w:val="nil"/>
              <w:bottom w:val="nil"/>
              <w:right w:val="nil"/>
            </w:tcBorders>
            <w:shd w:val="clear" w:color="auto" w:fill="auto"/>
            <w:noWrap/>
            <w:vAlign w:val="bottom"/>
            <w:hideMark/>
          </w:tcPr>
          <w:p w14:paraId="64E2211F" w14:textId="44D40568"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243</w:t>
            </w:r>
          </w:p>
        </w:tc>
        <w:tc>
          <w:tcPr>
            <w:tcW w:w="573" w:type="pct"/>
            <w:tcBorders>
              <w:top w:val="nil"/>
              <w:left w:val="nil"/>
              <w:bottom w:val="nil"/>
              <w:right w:val="nil"/>
            </w:tcBorders>
            <w:shd w:val="clear" w:color="auto" w:fill="auto"/>
            <w:noWrap/>
            <w:vAlign w:val="bottom"/>
            <w:hideMark/>
          </w:tcPr>
          <w:p w14:paraId="521DA1A4" w14:textId="7BA8939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243</w:t>
            </w:r>
          </w:p>
        </w:tc>
      </w:tr>
      <w:tr w:rsidR="004C7942" w:rsidRPr="00E3450B" w14:paraId="7838883A" w14:textId="77777777" w:rsidTr="00E5157C">
        <w:trPr>
          <w:trHeight w:val="204"/>
        </w:trPr>
        <w:tc>
          <w:tcPr>
            <w:tcW w:w="2100" w:type="pct"/>
            <w:tcBorders>
              <w:top w:val="nil"/>
              <w:left w:val="nil"/>
              <w:bottom w:val="nil"/>
              <w:right w:val="nil"/>
            </w:tcBorders>
            <w:shd w:val="clear" w:color="auto" w:fill="auto"/>
            <w:noWrap/>
            <w:vAlign w:val="center"/>
            <w:hideMark/>
          </w:tcPr>
          <w:p w14:paraId="7CCD6A82" w14:textId="77777777" w:rsidR="004C7942" w:rsidRPr="00E3450B" w:rsidRDefault="004C7942" w:rsidP="004C7942">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6F7BEDB1" w14:textId="2B69C470"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3,709</w:t>
            </w:r>
          </w:p>
        </w:tc>
        <w:tc>
          <w:tcPr>
            <w:tcW w:w="574" w:type="pct"/>
            <w:tcBorders>
              <w:top w:val="single" w:sz="4" w:space="0" w:color="000000"/>
              <w:left w:val="nil"/>
              <w:bottom w:val="single" w:sz="4" w:space="0" w:color="000000"/>
              <w:right w:val="nil"/>
            </w:tcBorders>
            <w:shd w:val="clear" w:color="000000" w:fill="E6E6E6"/>
            <w:noWrap/>
            <w:vAlign w:val="bottom"/>
            <w:hideMark/>
          </w:tcPr>
          <w:p w14:paraId="005A91DF" w14:textId="46EB67AF"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3,068</w:t>
            </w:r>
          </w:p>
        </w:tc>
        <w:tc>
          <w:tcPr>
            <w:tcW w:w="574" w:type="pct"/>
            <w:tcBorders>
              <w:top w:val="single" w:sz="4" w:space="0" w:color="000000"/>
              <w:left w:val="nil"/>
              <w:bottom w:val="single" w:sz="4" w:space="0" w:color="000000"/>
              <w:right w:val="nil"/>
            </w:tcBorders>
            <w:shd w:val="clear" w:color="auto" w:fill="auto"/>
            <w:noWrap/>
            <w:vAlign w:val="bottom"/>
            <w:hideMark/>
          </w:tcPr>
          <w:p w14:paraId="2D9AC126" w14:textId="199DFE2D"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2,411</w:t>
            </w:r>
          </w:p>
        </w:tc>
        <w:tc>
          <w:tcPr>
            <w:tcW w:w="574" w:type="pct"/>
            <w:tcBorders>
              <w:top w:val="single" w:sz="4" w:space="0" w:color="000000"/>
              <w:left w:val="nil"/>
              <w:bottom w:val="single" w:sz="4" w:space="0" w:color="000000"/>
              <w:right w:val="nil"/>
            </w:tcBorders>
            <w:shd w:val="clear" w:color="auto" w:fill="auto"/>
            <w:noWrap/>
            <w:vAlign w:val="bottom"/>
            <w:hideMark/>
          </w:tcPr>
          <w:p w14:paraId="24F09DEF" w14:textId="4B73D023"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1,754</w:t>
            </w:r>
          </w:p>
        </w:tc>
        <w:tc>
          <w:tcPr>
            <w:tcW w:w="573" w:type="pct"/>
            <w:tcBorders>
              <w:top w:val="single" w:sz="4" w:space="0" w:color="000000"/>
              <w:left w:val="nil"/>
              <w:bottom w:val="single" w:sz="4" w:space="0" w:color="000000"/>
              <w:right w:val="nil"/>
            </w:tcBorders>
            <w:shd w:val="clear" w:color="auto" w:fill="auto"/>
            <w:noWrap/>
            <w:vAlign w:val="bottom"/>
            <w:hideMark/>
          </w:tcPr>
          <w:p w14:paraId="3DE7947E" w14:textId="687BC2D2"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1,037</w:t>
            </w:r>
          </w:p>
        </w:tc>
      </w:tr>
      <w:tr w:rsidR="004C7942" w:rsidRPr="00E3450B" w14:paraId="7366ABF8" w14:textId="77777777" w:rsidTr="00E5157C">
        <w:trPr>
          <w:trHeight w:val="204"/>
        </w:trPr>
        <w:tc>
          <w:tcPr>
            <w:tcW w:w="2100" w:type="pct"/>
            <w:tcBorders>
              <w:top w:val="nil"/>
              <w:left w:val="nil"/>
              <w:bottom w:val="nil"/>
              <w:right w:val="nil"/>
            </w:tcBorders>
            <w:shd w:val="clear" w:color="auto" w:fill="auto"/>
            <w:noWrap/>
            <w:vAlign w:val="center"/>
            <w:hideMark/>
          </w:tcPr>
          <w:p w14:paraId="02A47912" w14:textId="77777777" w:rsidR="004C7942" w:rsidRPr="00E3450B" w:rsidRDefault="004C7942" w:rsidP="004C7942">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7AC563EE" w14:textId="7D1D4B9A"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8,745</w:t>
            </w:r>
          </w:p>
        </w:tc>
        <w:tc>
          <w:tcPr>
            <w:tcW w:w="574" w:type="pct"/>
            <w:tcBorders>
              <w:top w:val="nil"/>
              <w:left w:val="nil"/>
              <w:bottom w:val="single" w:sz="4" w:space="0" w:color="000000"/>
              <w:right w:val="nil"/>
            </w:tcBorders>
            <w:shd w:val="clear" w:color="000000" w:fill="E6E6E6"/>
            <w:noWrap/>
            <w:vAlign w:val="bottom"/>
            <w:hideMark/>
          </w:tcPr>
          <w:p w14:paraId="01978ABE" w14:textId="51CC87DC"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8,780</w:t>
            </w:r>
          </w:p>
        </w:tc>
        <w:tc>
          <w:tcPr>
            <w:tcW w:w="574" w:type="pct"/>
            <w:tcBorders>
              <w:top w:val="nil"/>
              <w:left w:val="nil"/>
              <w:bottom w:val="single" w:sz="4" w:space="0" w:color="000000"/>
              <w:right w:val="nil"/>
            </w:tcBorders>
            <w:shd w:val="clear" w:color="auto" w:fill="auto"/>
            <w:noWrap/>
            <w:vAlign w:val="bottom"/>
            <w:hideMark/>
          </w:tcPr>
          <w:p w14:paraId="2DB24702" w14:textId="75CBE917"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8,099</w:t>
            </w:r>
          </w:p>
        </w:tc>
        <w:tc>
          <w:tcPr>
            <w:tcW w:w="574" w:type="pct"/>
            <w:tcBorders>
              <w:top w:val="nil"/>
              <w:left w:val="nil"/>
              <w:bottom w:val="single" w:sz="4" w:space="0" w:color="000000"/>
              <w:right w:val="nil"/>
            </w:tcBorders>
            <w:shd w:val="clear" w:color="auto" w:fill="auto"/>
            <w:noWrap/>
            <w:vAlign w:val="bottom"/>
            <w:hideMark/>
          </w:tcPr>
          <w:p w14:paraId="2B5AE31B" w14:textId="1EEB062A"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7,446</w:t>
            </w:r>
          </w:p>
        </w:tc>
        <w:tc>
          <w:tcPr>
            <w:tcW w:w="573" w:type="pct"/>
            <w:tcBorders>
              <w:top w:val="nil"/>
              <w:left w:val="nil"/>
              <w:bottom w:val="single" w:sz="4" w:space="0" w:color="000000"/>
              <w:right w:val="nil"/>
            </w:tcBorders>
            <w:shd w:val="clear" w:color="auto" w:fill="auto"/>
            <w:noWrap/>
            <w:vAlign w:val="bottom"/>
            <w:hideMark/>
          </w:tcPr>
          <w:p w14:paraId="58C75DCF" w14:textId="680D71AA"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6,735</w:t>
            </w:r>
          </w:p>
        </w:tc>
      </w:tr>
      <w:tr w:rsidR="00FA354D" w:rsidRPr="00E3450B" w14:paraId="73AA0C80" w14:textId="77777777" w:rsidTr="00E5157C">
        <w:trPr>
          <w:trHeight w:val="204"/>
        </w:trPr>
        <w:tc>
          <w:tcPr>
            <w:tcW w:w="2100" w:type="pct"/>
            <w:tcBorders>
              <w:top w:val="nil"/>
              <w:left w:val="nil"/>
              <w:bottom w:val="nil"/>
              <w:right w:val="nil"/>
            </w:tcBorders>
            <w:shd w:val="clear" w:color="auto" w:fill="auto"/>
            <w:noWrap/>
            <w:vAlign w:val="center"/>
            <w:hideMark/>
          </w:tcPr>
          <w:p w14:paraId="44E0427A"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6A63260C"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8B7917E"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55587A2"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D412B3E"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824B7C0" w14:textId="77777777" w:rsidR="00FA354D" w:rsidRPr="004C7942" w:rsidRDefault="00FA354D" w:rsidP="00FA354D">
            <w:pPr>
              <w:spacing w:before="0" w:after="0" w:line="240" w:lineRule="auto"/>
              <w:jc w:val="right"/>
              <w:rPr>
                <w:rFonts w:ascii="Times New Roman" w:hAnsi="Times New Roman"/>
                <w:sz w:val="20"/>
              </w:rPr>
            </w:pPr>
          </w:p>
        </w:tc>
      </w:tr>
      <w:tr w:rsidR="00FA354D" w:rsidRPr="00E3450B" w14:paraId="40E27D10" w14:textId="77777777" w:rsidTr="00E5157C">
        <w:trPr>
          <w:trHeight w:val="204"/>
        </w:trPr>
        <w:tc>
          <w:tcPr>
            <w:tcW w:w="2100" w:type="pct"/>
            <w:tcBorders>
              <w:top w:val="nil"/>
              <w:left w:val="nil"/>
              <w:bottom w:val="nil"/>
              <w:right w:val="nil"/>
            </w:tcBorders>
            <w:shd w:val="clear" w:color="auto" w:fill="auto"/>
            <w:noWrap/>
            <w:vAlign w:val="center"/>
            <w:hideMark/>
          </w:tcPr>
          <w:p w14:paraId="5DAE7CD7"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09F82524"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FB5922D"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3B56F63"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27EF4CB"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B81E2B0"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4BC5069D" w14:textId="77777777" w:rsidTr="00E5157C">
        <w:trPr>
          <w:trHeight w:val="204"/>
        </w:trPr>
        <w:tc>
          <w:tcPr>
            <w:tcW w:w="2100" w:type="pct"/>
            <w:tcBorders>
              <w:top w:val="nil"/>
              <w:left w:val="nil"/>
              <w:bottom w:val="nil"/>
              <w:right w:val="nil"/>
            </w:tcBorders>
            <w:shd w:val="clear" w:color="auto" w:fill="auto"/>
            <w:noWrap/>
            <w:vAlign w:val="center"/>
            <w:hideMark/>
          </w:tcPr>
          <w:p w14:paraId="4BE4A3DB"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1D6EE89E" w14:textId="776FC24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633</w:t>
            </w:r>
          </w:p>
        </w:tc>
        <w:tc>
          <w:tcPr>
            <w:tcW w:w="574" w:type="pct"/>
            <w:tcBorders>
              <w:top w:val="nil"/>
              <w:left w:val="nil"/>
              <w:bottom w:val="nil"/>
              <w:right w:val="nil"/>
            </w:tcBorders>
            <w:shd w:val="clear" w:color="000000" w:fill="E6E6E6"/>
            <w:noWrap/>
            <w:vAlign w:val="bottom"/>
            <w:hideMark/>
          </w:tcPr>
          <w:p w14:paraId="42DEC9FE" w14:textId="0554C57A"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683</w:t>
            </w:r>
          </w:p>
        </w:tc>
        <w:tc>
          <w:tcPr>
            <w:tcW w:w="574" w:type="pct"/>
            <w:tcBorders>
              <w:top w:val="nil"/>
              <w:left w:val="nil"/>
              <w:bottom w:val="nil"/>
              <w:right w:val="nil"/>
            </w:tcBorders>
            <w:shd w:val="clear" w:color="auto" w:fill="auto"/>
            <w:noWrap/>
            <w:vAlign w:val="bottom"/>
            <w:hideMark/>
          </w:tcPr>
          <w:p w14:paraId="77F7F1E2" w14:textId="4CB176AC"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683</w:t>
            </w:r>
          </w:p>
        </w:tc>
        <w:tc>
          <w:tcPr>
            <w:tcW w:w="574" w:type="pct"/>
            <w:tcBorders>
              <w:top w:val="nil"/>
              <w:left w:val="nil"/>
              <w:bottom w:val="nil"/>
              <w:right w:val="nil"/>
            </w:tcBorders>
            <w:shd w:val="clear" w:color="auto" w:fill="auto"/>
            <w:noWrap/>
            <w:vAlign w:val="bottom"/>
            <w:hideMark/>
          </w:tcPr>
          <w:p w14:paraId="7E07586B" w14:textId="7957E7B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683</w:t>
            </w:r>
          </w:p>
        </w:tc>
        <w:tc>
          <w:tcPr>
            <w:tcW w:w="573" w:type="pct"/>
            <w:tcBorders>
              <w:top w:val="nil"/>
              <w:left w:val="nil"/>
              <w:bottom w:val="nil"/>
              <w:right w:val="nil"/>
            </w:tcBorders>
            <w:shd w:val="clear" w:color="auto" w:fill="auto"/>
            <w:noWrap/>
            <w:vAlign w:val="bottom"/>
            <w:hideMark/>
          </w:tcPr>
          <w:p w14:paraId="7AD801AB" w14:textId="5A3FDB93"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683</w:t>
            </w:r>
          </w:p>
        </w:tc>
      </w:tr>
      <w:tr w:rsidR="004C7942" w:rsidRPr="00E3450B" w14:paraId="267214D6" w14:textId="77777777" w:rsidTr="00E5157C">
        <w:trPr>
          <w:trHeight w:val="204"/>
        </w:trPr>
        <w:tc>
          <w:tcPr>
            <w:tcW w:w="2100" w:type="pct"/>
            <w:tcBorders>
              <w:top w:val="nil"/>
              <w:left w:val="nil"/>
              <w:bottom w:val="nil"/>
              <w:right w:val="nil"/>
            </w:tcBorders>
            <w:shd w:val="clear" w:color="auto" w:fill="auto"/>
            <w:noWrap/>
            <w:vAlign w:val="center"/>
            <w:hideMark/>
          </w:tcPr>
          <w:p w14:paraId="609B9ADC"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4C90E45B" w14:textId="096CF28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130</w:t>
            </w:r>
          </w:p>
        </w:tc>
        <w:tc>
          <w:tcPr>
            <w:tcW w:w="574" w:type="pct"/>
            <w:tcBorders>
              <w:top w:val="nil"/>
              <w:left w:val="nil"/>
              <w:bottom w:val="nil"/>
              <w:right w:val="nil"/>
            </w:tcBorders>
            <w:shd w:val="clear" w:color="000000" w:fill="E6E6E6"/>
            <w:noWrap/>
            <w:vAlign w:val="bottom"/>
            <w:hideMark/>
          </w:tcPr>
          <w:p w14:paraId="6D954941" w14:textId="499182E0"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135</w:t>
            </w:r>
          </w:p>
        </w:tc>
        <w:tc>
          <w:tcPr>
            <w:tcW w:w="574" w:type="pct"/>
            <w:tcBorders>
              <w:top w:val="nil"/>
              <w:left w:val="nil"/>
              <w:bottom w:val="nil"/>
              <w:right w:val="nil"/>
            </w:tcBorders>
            <w:shd w:val="clear" w:color="auto" w:fill="auto"/>
            <w:noWrap/>
            <w:vAlign w:val="bottom"/>
            <w:hideMark/>
          </w:tcPr>
          <w:p w14:paraId="1328266C" w14:textId="0DCD97FE"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135</w:t>
            </w:r>
          </w:p>
        </w:tc>
        <w:tc>
          <w:tcPr>
            <w:tcW w:w="574" w:type="pct"/>
            <w:tcBorders>
              <w:top w:val="nil"/>
              <w:left w:val="nil"/>
              <w:bottom w:val="nil"/>
              <w:right w:val="nil"/>
            </w:tcBorders>
            <w:shd w:val="clear" w:color="auto" w:fill="auto"/>
            <w:noWrap/>
            <w:vAlign w:val="bottom"/>
            <w:hideMark/>
          </w:tcPr>
          <w:p w14:paraId="0656AE9E" w14:textId="4C424B2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135</w:t>
            </w:r>
          </w:p>
        </w:tc>
        <w:tc>
          <w:tcPr>
            <w:tcW w:w="573" w:type="pct"/>
            <w:tcBorders>
              <w:top w:val="nil"/>
              <w:left w:val="nil"/>
              <w:bottom w:val="nil"/>
              <w:right w:val="nil"/>
            </w:tcBorders>
            <w:shd w:val="clear" w:color="auto" w:fill="auto"/>
            <w:noWrap/>
            <w:vAlign w:val="bottom"/>
            <w:hideMark/>
          </w:tcPr>
          <w:p w14:paraId="46758B69" w14:textId="5D591FDB"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135</w:t>
            </w:r>
          </w:p>
        </w:tc>
      </w:tr>
      <w:tr w:rsidR="004C7942" w:rsidRPr="00E3450B" w14:paraId="758E8F88" w14:textId="77777777" w:rsidTr="00E5157C">
        <w:trPr>
          <w:trHeight w:val="204"/>
        </w:trPr>
        <w:tc>
          <w:tcPr>
            <w:tcW w:w="2100" w:type="pct"/>
            <w:tcBorders>
              <w:top w:val="nil"/>
              <w:left w:val="nil"/>
              <w:bottom w:val="nil"/>
              <w:right w:val="nil"/>
            </w:tcBorders>
            <w:shd w:val="clear" w:color="auto" w:fill="auto"/>
            <w:noWrap/>
            <w:vAlign w:val="center"/>
            <w:hideMark/>
          </w:tcPr>
          <w:p w14:paraId="0196197B" w14:textId="77777777" w:rsidR="004C7942" w:rsidRPr="00E3450B" w:rsidRDefault="004C7942" w:rsidP="004C7942">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765C3EF3" w14:textId="47F3BA8D"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763</w:t>
            </w:r>
          </w:p>
        </w:tc>
        <w:tc>
          <w:tcPr>
            <w:tcW w:w="574" w:type="pct"/>
            <w:tcBorders>
              <w:top w:val="single" w:sz="4" w:space="0" w:color="000000"/>
              <w:left w:val="nil"/>
              <w:bottom w:val="single" w:sz="4" w:space="0" w:color="000000"/>
              <w:right w:val="nil"/>
            </w:tcBorders>
            <w:shd w:val="clear" w:color="000000" w:fill="E6E6E6"/>
            <w:noWrap/>
            <w:vAlign w:val="bottom"/>
            <w:hideMark/>
          </w:tcPr>
          <w:p w14:paraId="4BE7E41E" w14:textId="0816B1B5"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818</w:t>
            </w:r>
          </w:p>
        </w:tc>
        <w:tc>
          <w:tcPr>
            <w:tcW w:w="574" w:type="pct"/>
            <w:tcBorders>
              <w:top w:val="single" w:sz="4" w:space="0" w:color="000000"/>
              <w:left w:val="nil"/>
              <w:bottom w:val="single" w:sz="4" w:space="0" w:color="000000"/>
              <w:right w:val="nil"/>
            </w:tcBorders>
            <w:shd w:val="clear" w:color="auto" w:fill="auto"/>
            <w:noWrap/>
            <w:vAlign w:val="bottom"/>
            <w:hideMark/>
          </w:tcPr>
          <w:p w14:paraId="1A27313C" w14:textId="04A7E1DE"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818</w:t>
            </w:r>
          </w:p>
        </w:tc>
        <w:tc>
          <w:tcPr>
            <w:tcW w:w="574" w:type="pct"/>
            <w:tcBorders>
              <w:top w:val="single" w:sz="4" w:space="0" w:color="000000"/>
              <w:left w:val="nil"/>
              <w:bottom w:val="single" w:sz="4" w:space="0" w:color="000000"/>
              <w:right w:val="nil"/>
            </w:tcBorders>
            <w:shd w:val="clear" w:color="auto" w:fill="auto"/>
            <w:noWrap/>
            <w:vAlign w:val="bottom"/>
            <w:hideMark/>
          </w:tcPr>
          <w:p w14:paraId="6C989892" w14:textId="147FCE06"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818</w:t>
            </w:r>
          </w:p>
        </w:tc>
        <w:tc>
          <w:tcPr>
            <w:tcW w:w="573" w:type="pct"/>
            <w:tcBorders>
              <w:top w:val="single" w:sz="4" w:space="0" w:color="000000"/>
              <w:left w:val="nil"/>
              <w:bottom w:val="single" w:sz="4" w:space="0" w:color="000000"/>
              <w:right w:val="nil"/>
            </w:tcBorders>
            <w:shd w:val="clear" w:color="auto" w:fill="auto"/>
            <w:noWrap/>
            <w:vAlign w:val="bottom"/>
            <w:hideMark/>
          </w:tcPr>
          <w:p w14:paraId="352207B6" w14:textId="5D43BF60"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818</w:t>
            </w:r>
          </w:p>
        </w:tc>
      </w:tr>
      <w:tr w:rsidR="00FA354D" w:rsidRPr="00E3450B" w14:paraId="731D6C04" w14:textId="77777777" w:rsidTr="00E5157C">
        <w:trPr>
          <w:trHeight w:val="204"/>
        </w:trPr>
        <w:tc>
          <w:tcPr>
            <w:tcW w:w="2100" w:type="pct"/>
            <w:tcBorders>
              <w:top w:val="nil"/>
              <w:left w:val="nil"/>
              <w:bottom w:val="nil"/>
              <w:right w:val="nil"/>
            </w:tcBorders>
            <w:shd w:val="clear" w:color="auto" w:fill="auto"/>
            <w:noWrap/>
            <w:vAlign w:val="center"/>
            <w:hideMark/>
          </w:tcPr>
          <w:p w14:paraId="79253A01"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242F4442"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45A503F"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7C56A89"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94E7F4"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A9361D8"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6642F13B" w14:textId="77777777" w:rsidTr="00E5157C">
        <w:trPr>
          <w:trHeight w:val="204"/>
        </w:trPr>
        <w:tc>
          <w:tcPr>
            <w:tcW w:w="2100" w:type="pct"/>
            <w:tcBorders>
              <w:top w:val="nil"/>
              <w:left w:val="nil"/>
              <w:bottom w:val="nil"/>
              <w:right w:val="nil"/>
            </w:tcBorders>
            <w:shd w:val="clear" w:color="auto" w:fill="auto"/>
            <w:noWrap/>
            <w:vAlign w:val="center"/>
            <w:hideMark/>
          </w:tcPr>
          <w:p w14:paraId="4AC5B968"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1E66B09C" w14:textId="34051B0E"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3,296</w:t>
            </w:r>
          </w:p>
        </w:tc>
        <w:tc>
          <w:tcPr>
            <w:tcW w:w="574" w:type="pct"/>
            <w:tcBorders>
              <w:top w:val="nil"/>
              <w:left w:val="nil"/>
              <w:bottom w:val="nil"/>
              <w:right w:val="nil"/>
            </w:tcBorders>
            <w:shd w:val="clear" w:color="000000" w:fill="E6E6E6"/>
            <w:noWrap/>
            <w:vAlign w:val="bottom"/>
            <w:hideMark/>
          </w:tcPr>
          <w:p w14:paraId="649224BD" w14:textId="6AC8E3C4"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2,885</w:t>
            </w:r>
          </w:p>
        </w:tc>
        <w:tc>
          <w:tcPr>
            <w:tcW w:w="574" w:type="pct"/>
            <w:tcBorders>
              <w:top w:val="nil"/>
              <w:left w:val="nil"/>
              <w:bottom w:val="nil"/>
              <w:right w:val="nil"/>
            </w:tcBorders>
            <w:shd w:val="clear" w:color="auto" w:fill="auto"/>
            <w:noWrap/>
            <w:vAlign w:val="bottom"/>
            <w:hideMark/>
          </w:tcPr>
          <w:p w14:paraId="55985F38" w14:textId="453484D3"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2,204</w:t>
            </w:r>
          </w:p>
        </w:tc>
        <w:tc>
          <w:tcPr>
            <w:tcW w:w="574" w:type="pct"/>
            <w:tcBorders>
              <w:top w:val="nil"/>
              <w:left w:val="nil"/>
              <w:bottom w:val="nil"/>
              <w:right w:val="nil"/>
            </w:tcBorders>
            <w:shd w:val="clear" w:color="auto" w:fill="auto"/>
            <w:noWrap/>
            <w:vAlign w:val="bottom"/>
            <w:hideMark/>
          </w:tcPr>
          <w:p w14:paraId="5189CB26" w14:textId="2CBB4474"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1,551</w:t>
            </w:r>
          </w:p>
        </w:tc>
        <w:tc>
          <w:tcPr>
            <w:tcW w:w="573" w:type="pct"/>
            <w:tcBorders>
              <w:top w:val="nil"/>
              <w:left w:val="nil"/>
              <w:bottom w:val="nil"/>
              <w:right w:val="nil"/>
            </w:tcBorders>
            <w:shd w:val="clear" w:color="auto" w:fill="auto"/>
            <w:noWrap/>
            <w:vAlign w:val="bottom"/>
            <w:hideMark/>
          </w:tcPr>
          <w:p w14:paraId="2E43488C" w14:textId="0D5A6B4D"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840</w:t>
            </w:r>
          </w:p>
        </w:tc>
      </w:tr>
      <w:tr w:rsidR="004C7942" w:rsidRPr="00E3450B" w14:paraId="118BCBDC" w14:textId="77777777" w:rsidTr="00E5157C">
        <w:trPr>
          <w:trHeight w:val="204"/>
        </w:trPr>
        <w:tc>
          <w:tcPr>
            <w:tcW w:w="2100" w:type="pct"/>
            <w:tcBorders>
              <w:top w:val="nil"/>
              <w:left w:val="nil"/>
              <w:bottom w:val="nil"/>
              <w:right w:val="nil"/>
            </w:tcBorders>
            <w:shd w:val="clear" w:color="auto" w:fill="auto"/>
            <w:noWrap/>
            <w:vAlign w:val="center"/>
            <w:hideMark/>
          </w:tcPr>
          <w:p w14:paraId="312D647D" w14:textId="77777777" w:rsidR="004C7942" w:rsidRPr="00E3450B" w:rsidRDefault="004C7942" w:rsidP="004C7942">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3574D325" w14:textId="53D6D505"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3,296</w:t>
            </w:r>
          </w:p>
        </w:tc>
        <w:tc>
          <w:tcPr>
            <w:tcW w:w="574" w:type="pct"/>
            <w:tcBorders>
              <w:top w:val="single" w:sz="4" w:space="0" w:color="000000"/>
              <w:left w:val="nil"/>
              <w:bottom w:val="single" w:sz="4" w:space="0" w:color="000000"/>
              <w:right w:val="nil"/>
            </w:tcBorders>
            <w:shd w:val="clear" w:color="000000" w:fill="E6E6E6"/>
            <w:noWrap/>
            <w:vAlign w:val="bottom"/>
            <w:hideMark/>
          </w:tcPr>
          <w:p w14:paraId="5DD51412" w14:textId="2363DF47"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2,885</w:t>
            </w:r>
          </w:p>
        </w:tc>
        <w:tc>
          <w:tcPr>
            <w:tcW w:w="574" w:type="pct"/>
            <w:tcBorders>
              <w:top w:val="single" w:sz="4" w:space="0" w:color="000000"/>
              <w:left w:val="nil"/>
              <w:bottom w:val="single" w:sz="4" w:space="0" w:color="000000"/>
              <w:right w:val="nil"/>
            </w:tcBorders>
            <w:shd w:val="clear" w:color="auto" w:fill="auto"/>
            <w:noWrap/>
            <w:vAlign w:val="bottom"/>
            <w:hideMark/>
          </w:tcPr>
          <w:p w14:paraId="526FEA61" w14:textId="4E775E32"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2,204</w:t>
            </w:r>
          </w:p>
        </w:tc>
        <w:tc>
          <w:tcPr>
            <w:tcW w:w="574" w:type="pct"/>
            <w:tcBorders>
              <w:top w:val="single" w:sz="4" w:space="0" w:color="000000"/>
              <w:left w:val="nil"/>
              <w:bottom w:val="single" w:sz="4" w:space="0" w:color="000000"/>
              <w:right w:val="nil"/>
            </w:tcBorders>
            <w:shd w:val="clear" w:color="auto" w:fill="auto"/>
            <w:noWrap/>
            <w:vAlign w:val="bottom"/>
            <w:hideMark/>
          </w:tcPr>
          <w:p w14:paraId="2A7F5E09" w14:textId="11315A6A"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1,551</w:t>
            </w:r>
          </w:p>
        </w:tc>
        <w:tc>
          <w:tcPr>
            <w:tcW w:w="573" w:type="pct"/>
            <w:tcBorders>
              <w:top w:val="single" w:sz="4" w:space="0" w:color="000000"/>
              <w:left w:val="nil"/>
              <w:bottom w:val="single" w:sz="4" w:space="0" w:color="000000"/>
              <w:right w:val="nil"/>
            </w:tcBorders>
            <w:shd w:val="clear" w:color="auto" w:fill="auto"/>
            <w:noWrap/>
            <w:vAlign w:val="bottom"/>
            <w:hideMark/>
          </w:tcPr>
          <w:p w14:paraId="73474E17" w14:textId="6983A349"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840</w:t>
            </w:r>
          </w:p>
        </w:tc>
      </w:tr>
      <w:tr w:rsidR="00FA354D" w:rsidRPr="00E3450B" w14:paraId="7D923AE7" w14:textId="77777777" w:rsidTr="00E5157C">
        <w:trPr>
          <w:trHeight w:val="204"/>
        </w:trPr>
        <w:tc>
          <w:tcPr>
            <w:tcW w:w="2100" w:type="pct"/>
            <w:tcBorders>
              <w:top w:val="nil"/>
              <w:left w:val="nil"/>
              <w:bottom w:val="nil"/>
              <w:right w:val="nil"/>
            </w:tcBorders>
            <w:shd w:val="clear" w:color="auto" w:fill="auto"/>
            <w:noWrap/>
            <w:vAlign w:val="center"/>
            <w:hideMark/>
          </w:tcPr>
          <w:p w14:paraId="3B186202"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3174AB36"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3D91134"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75E8E3"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B73FCA4"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BB017EB"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0C3AEB96" w14:textId="77777777" w:rsidTr="00E5157C">
        <w:trPr>
          <w:trHeight w:val="204"/>
        </w:trPr>
        <w:tc>
          <w:tcPr>
            <w:tcW w:w="2100" w:type="pct"/>
            <w:tcBorders>
              <w:top w:val="nil"/>
              <w:left w:val="nil"/>
              <w:bottom w:val="nil"/>
              <w:right w:val="nil"/>
            </w:tcBorders>
            <w:shd w:val="clear" w:color="auto" w:fill="auto"/>
            <w:noWrap/>
            <w:vAlign w:val="center"/>
            <w:hideMark/>
          </w:tcPr>
          <w:p w14:paraId="6DEABA62"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60FD3537" w14:textId="19F18868"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1,417</w:t>
            </w:r>
          </w:p>
        </w:tc>
        <w:tc>
          <w:tcPr>
            <w:tcW w:w="574" w:type="pct"/>
            <w:tcBorders>
              <w:top w:val="nil"/>
              <w:left w:val="nil"/>
              <w:bottom w:val="nil"/>
              <w:right w:val="nil"/>
            </w:tcBorders>
            <w:shd w:val="clear" w:color="000000" w:fill="E6E6E6"/>
            <w:noWrap/>
            <w:vAlign w:val="bottom"/>
            <w:hideMark/>
          </w:tcPr>
          <w:p w14:paraId="6CEF634F" w14:textId="4EF16624"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1,767</w:t>
            </w:r>
          </w:p>
        </w:tc>
        <w:tc>
          <w:tcPr>
            <w:tcW w:w="574" w:type="pct"/>
            <w:tcBorders>
              <w:top w:val="nil"/>
              <w:left w:val="nil"/>
              <w:bottom w:val="nil"/>
              <w:right w:val="nil"/>
            </w:tcBorders>
            <w:shd w:val="clear" w:color="auto" w:fill="auto"/>
            <w:noWrap/>
            <w:vAlign w:val="bottom"/>
            <w:hideMark/>
          </w:tcPr>
          <w:p w14:paraId="36C1AFDB" w14:textId="7337CC6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1,767</w:t>
            </w:r>
          </w:p>
        </w:tc>
        <w:tc>
          <w:tcPr>
            <w:tcW w:w="574" w:type="pct"/>
            <w:tcBorders>
              <w:top w:val="nil"/>
              <w:left w:val="nil"/>
              <w:bottom w:val="nil"/>
              <w:right w:val="nil"/>
            </w:tcBorders>
            <w:shd w:val="clear" w:color="auto" w:fill="auto"/>
            <w:noWrap/>
            <w:vAlign w:val="bottom"/>
            <w:hideMark/>
          </w:tcPr>
          <w:p w14:paraId="3F843C9A" w14:textId="158178A3"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1,767</w:t>
            </w:r>
          </w:p>
        </w:tc>
        <w:tc>
          <w:tcPr>
            <w:tcW w:w="573" w:type="pct"/>
            <w:tcBorders>
              <w:top w:val="nil"/>
              <w:left w:val="nil"/>
              <w:bottom w:val="nil"/>
              <w:right w:val="nil"/>
            </w:tcBorders>
            <w:shd w:val="clear" w:color="auto" w:fill="auto"/>
            <w:noWrap/>
            <w:vAlign w:val="bottom"/>
            <w:hideMark/>
          </w:tcPr>
          <w:p w14:paraId="4F15A3D4" w14:textId="79DCD8E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1,767</w:t>
            </w:r>
          </w:p>
        </w:tc>
      </w:tr>
      <w:tr w:rsidR="004C7942" w:rsidRPr="00E3450B" w14:paraId="0B043113" w14:textId="77777777" w:rsidTr="00E5157C">
        <w:trPr>
          <w:trHeight w:val="204"/>
        </w:trPr>
        <w:tc>
          <w:tcPr>
            <w:tcW w:w="2100" w:type="pct"/>
            <w:tcBorders>
              <w:top w:val="nil"/>
              <w:left w:val="nil"/>
              <w:bottom w:val="nil"/>
              <w:right w:val="nil"/>
            </w:tcBorders>
            <w:shd w:val="clear" w:color="auto" w:fill="auto"/>
            <w:noWrap/>
            <w:vAlign w:val="center"/>
            <w:hideMark/>
          </w:tcPr>
          <w:p w14:paraId="4B6C9EBA"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2112191E" w14:textId="5FBD8111"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122</w:t>
            </w:r>
          </w:p>
        </w:tc>
        <w:tc>
          <w:tcPr>
            <w:tcW w:w="574" w:type="pct"/>
            <w:tcBorders>
              <w:top w:val="nil"/>
              <w:left w:val="nil"/>
              <w:bottom w:val="nil"/>
              <w:right w:val="nil"/>
            </w:tcBorders>
            <w:shd w:val="clear" w:color="000000" w:fill="E6E6E6"/>
            <w:noWrap/>
            <w:vAlign w:val="bottom"/>
            <w:hideMark/>
          </w:tcPr>
          <w:p w14:paraId="4E5A5BAE" w14:textId="0B9FE454"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163</w:t>
            </w:r>
          </w:p>
        </w:tc>
        <w:tc>
          <w:tcPr>
            <w:tcW w:w="574" w:type="pct"/>
            <w:tcBorders>
              <w:top w:val="nil"/>
              <w:left w:val="nil"/>
              <w:bottom w:val="nil"/>
              <w:right w:val="nil"/>
            </w:tcBorders>
            <w:shd w:val="clear" w:color="auto" w:fill="auto"/>
            <w:noWrap/>
            <w:vAlign w:val="bottom"/>
            <w:hideMark/>
          </w:tcPr>
          <w:p w14:paraId="7B7BFC7F" w14:textId="7B05573A"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163</w:t>
            </w:r>
          </w:p>
        </w:tc>
        <w:tc>
          <w:tcPr>
            <w:tcW w:w="574" w:type="pct"/>
            <w:tcBorders>
              <w:top w:val="nil"/>
              <w:left w:val="nil"/>
              <w:bottom w:val="nil"/>
              <w:right w:val="nil"/>
            </w:tcBorders>
            <w:shd w:val="clear" w:color="auto" w:fill="auto"/>
            <w:noWrap/>
            <w:vAlign w:val="bottom"/>
            <w:hideMark/>
          </w:tcPr>
          <w:p w14:paraId="5E928F9E" w14:textId="1CC77E73"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163</w:t>
            </w:r>
          </w:p>
        </w:tc>
        <w:tc>
          <w:tcPr>
            <w:tcW w:w="573" w:type="pct"/>
            <w:tcBorders>
              <w:top w:val="nil"/>
              <w:left w:val="nil"/>
              <w:bottom w:val="nil"/>
              <w:right w:val="nil"/>
            </w:tcBorders>
            <w:shd w:val="clear" w:color="auto" w:fill="auto"/>
            <w:noWrap/>
            <w:vAlign w:val="bottom"/>
            <w:hideMark/>
          </w:tcPr>
          <w:p w14:paraId="379C876D" w14:textId="4D3740D2"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163</w:t>
            </w:r>
          </w:p>
        </w:tc>
      </w:tr>
      <w:tr w:rsidR="004C7942" w:rsidRPr="00E3450B" w14:paraId="10AA1935" w14:textId="77777777" w:rsidTr="00E5157C">
        <w:trPr>
          <w:trHeight w:val="204"/>
        </w:trPr>
        <w:tc>
          <w:tcPr>
            <w:tcW w:w="2100" w:type="pct"/>
            <w:tcBorders>
              <w:top w:val="nil"/>
              <w:left w:val="nil"/>
              <w:bottom w:val="nil"/>
              <w:right w:val="nil"/>
            </w:tcBorders>
            <w:shd w:val="clear" w:color="auto" w:fill="auto"/>
            <w:noWrap/>
            <w:vAlign w:val="center"/>
            <w:hideMark/>
          </w:tcPr>
          <w:p w14:paraId="3ADB5C87" w14:textId="77777777" w:rsidR="004C7942" w:rsidRPr="00E3450B" w:rsidRDefault="004C7942" w:rsidP="004C7942">
            <w:pPr>
              <w:spacing w:before="0" w:after="0" w:line="240" w:lineRule="auto"/>
              <w:rPr>
                <w:rFonts w:ascii="Arial" w:hAnsi="Arial" w:cs="Arial"/>
                <w:b/>
                <w:bCs/>
                <w:i/>
                <w:iCs/>
                <w:color w:val="000000"/>
                <w:sz w:val="16"/>
                <w:szCs w:val="16"/>
              </w:rPr>
            </w:pPr>
            <w:r w:rsidRPr="00E3450B">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0C796A7B" w14:textId="6B4D29E9"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1,539</w:t>
            </w:r>
          </w:p>
        </w:tc>
        <w:tc>
          <w:tcPr>
            <w:tcW w:w="574" w:type="pct"/>
            <w:tcBorders>
              <w:top w:val="single" w:sz="4" w:space="0" w:color="000000"/>
              <w:left w:val="nil"/>
              <w:bottom w:val="single" w:sz="4" w:space="0" w:color="000000"/>
              <w:right w:val="nil"/>
            </w:tcBorders>
            <w:shd w:val="clear" w:color="000000" w:fill="E6E6E6"/>
            <w:noWrap/>
            <w:vAlign w:val="bottom"/>
            <w:hideMark/>
          </w:tcPr>
          <w:p w14:paraId="28F6B672" w14:textId="775BA576"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1,930</w:t>
            </w:r>
          </w:p>
        </w:tc>
        <w:tc>
          <w:tcPr>
            <w:tcW w:w="574" w:type="pct"/>
            <w:tcBorders>
              <w:top w:val="single" w:sz="4" w:space="0" w:color="000000"/>
              <w:left w:val="nil"/>
              <w:bottom w:val="single" w:sz="4" w:space="0" w:color="000000"/>
              <w:right w:val="nil"/>
            </w:tcBorders>
            <w:shd w:val="clear" w:color="auto" w:fill="auto"/>
            <w:noWrap/>
            <w:vAlign w:val="bottom"/>
            <w:hideMark/>
          </w:tcPr>
          <w:p w14:paraId="1BC1EB03" w14:textId="56F98E0D"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1,930</w:t>
            </w:r>
          </w:p>
        </w:tc>
        <w:tc>
          <w:tcPr>
            <w:tcW w:w="574" w:type="pct"/>
            <w:tcBorders>
              <w:top w:val="single" w:sz="4" w:space="0" w:color="000000"/>
              <w:left w:val="nil"/>
              <w:bottom w:val="single" w:sz="4" w:space="0" w:color="000000"/>
              <w:right w:val="nil"/>
            </w:tcBorders>
            <w:shd w:val="clear" w:color="auto" w:fill="auto"/>
            <w:noWrap/>
            <w:vAlign w:val="bottom"/>
            <w:hideMark/>
          </w:tcPr>
          <w:p w14:paraId="7961A362" w14:textId="3451BF06"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1,930</w:t>
            </w:r>
          </w:p>
        </w:tc>
        <w:tc>
          <w:tcPr>
            <w:tcW w:w="573" w:type="pct"/>
            <w:tcBorders>
              <w:top w:val="single" w:sz="4" w:space="0" w:color="000000"/>
              <w:left w:val="nil"/>
              <w:bottom w:val="single" w:sz="4" w:space="0" w:color="000000"/>
              <w:right w:val="nil"/>
            </w:tcBorders>
            <w:shd w:val="clear" w:color="auto" w:fill="auto"/>
            <w:noWrap/>
            <w:vAlign w:val="bottom"/>
            <w:hideMark/>
          </w:tcPr>
          <w:p w14:paraId="31C5E9E1" w14:textId="7BF1853B" w:rsidR="004C7942" w:rsidRPr="004C7942" w:rsidRDefault="004C7942" w:rsidP="004C7942">
            <w:pPr>
              <w:spacing w:before="0" w:after="0" w:line="240" w:lineRule="auto"/>
              <w:jc w:val="right"/>
              <w:rPr>
                <w:rFonts w:ascii="Arial" w:hAnsi="Arial" w:cs="Arial"/>
                <w:b/>
                <w:bCs/>
                <w:i/>
                <w:iCs/>
                <w:color w:val="000000"/>
                <w:sz w:val="16"/>
                <w:szCs w:val="16"/>
              </w:rPr>
            </w:pPr>
            <w:r w:rsidRPr="00B93437">
              <w:rPr>
                <w:rFonts w:ascii="Arial" w:hAnsi="Arial" w:cs="Arial"/>
                <w:b/>
                <w:bCs/>
                <w:iCs/>
                <w:color w:val="000000"/>
                <w:sz w:val="16"/>
                <w:szCs w:val="16"/>
              </w:rPr>
              <w:t>1,930</w:t>
            </w:r>
          </w:p>
        </w:tc>
      </w:tr>
      <w:tr w:rsidR="004C7942" w:rsidRPr="00E3450B" w14:paraId="503001FC" w14:textId="77777777" w:rsidTr="00584080">
        <w:trPr>
          <w:trHeight w:val="204"/>
        </w:trPr>
        <w:tc>
          <w:tcPr>
            <w:tcW w:w="2100" w:type="pct"/>
            <w:tcBorders>
              <w:top w:val="nil"/>
              <w:left w:val="nil"/>
              <w:right w:val="nil"/>
            </w:tcBorders>
            <w:shd w:val="clear" w:color="auto" w:fill="auto"/>
            <w:noWrap/>
            <w:vAlign w:val="center"/>
            <w:hideMark/>
          </w:tcPr>
          <w:p w14:paraId="6895D022" w14:textId="77777777" w:rsidR="004C7942" w:rsidRPr="00E3450B" w:rsidRDefault="004C7942" w:rsidP="004C7942">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565E85F0" w14:textId="15F17308"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5,598</w:t>
            </w:r>
          </w:p>
        </w:tc>
        <w:tc>
          <w:tcPr>
            <w:tcW w:w="574" w:type="pct"/>
            <w:tcBorders>
              <w:top w:val="single" w:sz="4" w:space="0" w:color="auto"/>
              <w:left w:val="nil"/>
              <w:bottom w:val="single" w:sz="4" w:space="0" w:color="auto"/>
              <w:right w:val="nil"/>
            </w:tcBorders>
            <w:shd w:val="clear" w:color="000000" w:fill="E6E6E6"/>
            <w:noWrap/>
            <w:vAlign w:val="bottom"/>
            <w:hideMark/>
          </w:tcPr>
          <w:p w14:paraId="03451D03" w14:textId="7704DFA6"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5,633</w:t>
            </w:r>
          </w:p>
        </w:tc>
        <w:tc>
          <w:tcPr>
            <w:tcW w:w="574" w:type="pct"/>
            <w:tcBorders>
              <w:top w:val="single" w:sz="4" w:space="0" w:color="auto"/>
              <w:left w:val="nil"/>
              <w:bottom w:val="single" w:sz="4" w:space="0" w:color="auto"/>
              <w:right w:val="nil"/>
            </w:tcBorders>
            <w:shd w:val="clear" w:color="auto" w:fill="auto"/>
            <w:noWrap/>
            <w:vAlign w:val="bottom"/>
            <w:hideMark/>
          </w:tcPr>
          <w:p w14:paraId="0D76A0E2" w14:textId="02D4EB07"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4,952</w:t>
            </w:r>
          </w:p>
        </w:tc>
        <w:tc>
          <w:tcPr>
            <w:tcW w:w="574" w:type="pct"/>
            <w:tcBorders>
              <w:top w:val="single" w:sz="4" w:space="0" w:color="auto"/>
              <w:left w:val="nil"/>
              <w:bottom w:val="single" w:sz="4" w:space="0" w:color="auto"/>
              <w:right w:val="nil"/>
            </w:tcBorders>
            <w:shd w:val="clear" w:color="auto" w:fill="auto"/>
            <w:noWrap/>
            <w:vAlign w:val="bottom"/>
            <w:hideMark/>
          </w:tcPr>
          <w:p w14:paraId="1B06B8B3" w14:textId="73F2B0D6"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4,299</w:t>
            </w:r>
          </w:p>
        </w:tc>
        <w:tc>
          <w:tcPr>
            <w:tcW w:w="573" w:type="pct"/>
            <w:tcBorders>
              <w:top w:val="single" w:sz="4" w:space="0" w:color="auto"/>
              <w:left w:val="nil"/>
              <w:bottom w:val="single" w:sz="4" w:space="0" w:color="auto"/>
              <w:right w:val="nil"/>
            </w:tcBorders>
            <w:shd w:val="clear" w:color="auto" w:fill="auto"/>
            <w:noWrap/>
            <w:vAlign w:val="bottom"/>
            <w:hideMark/>
          </w:tcPr>
          <w:p w14:paraId="6BE87727" w14:textId="05BE7E9B"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3,588</w:t>
            </w:r>
          </w:p>
        </w:tc>
      </w:tr>
      <w:tr w:rsidR="004C7942" w:rsidRPr="00E3450B" w14:paraId="1F3EFF11" w14:textId="77777777" w:rsidTr="00584080">
        <w:trPr>
          <w:trHeight w:val="204"/>
        </w:trPr>
        <w:tc>
          <w:tcPr>
            <w:tcW w:w="2100" w:type="pct"/>
            <w:tcBorders>
              <w:top w:val="nil"/>
              <w:left w:val="nil"/>
              <w:right w:val="nil"/>
            </w:tcBorders>
            <w:shd w:val="clear" w:color="auto" w:fill="auto"/>
            <w:noWrap/>
            <w:vAlign w:val="center"/>
            <w:hideMark/>
          </w:tcPr>
          <w:p w14:paraId="5CC91343" w14:textId="77777777" w:rsidR="004C7942" w:rsidRPr="00E3450B" w:rsidRDefault="004C7942" w:rsidP="004C7942">
            <w:pPr>
              <w:spacing w:before="0" w:after="0" w:line="240" w:lineRule="auto"/>
              <w:rPr>
                <w:rFonts w:ascii="Arial" w:hAnsi="Arial" w:cs="Arial"/>
                <w:b/>
                <w:bCs/>
                <w:sz w:val="16"/>
                <w:szCs w:val="16"/>
              </w:rPr>
            </w:pPr>
            <w:r w:rsidRPr="00E3450B">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28F4CEB4" w14:textId="37DA2B83"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nil"/>
              <w:left w:val="nil"/>
              <w:bottom w:val="single" w:sz="4" w:space="0" w:color="auto"/>
              <w:right w:val="nil"/>
            </w:tcBorders>
            <w:shd w:val="clear" w:color="000000" w:fill="E6E6E6"/>
            <w:noWrap/>
            <w:vAlign w:val="bottom"/>
            <w:hideMark/>
          </w:tcPr>
          <w:p w14:paraId="52AA8F4E" w14:textId="261AB650"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nil"/>
              <w:left w:val="nil"/>
              <w:bottom w:val="single" w:sz="4" w:space="0" w:color="auto"/>
              <w:right w:val="nil"/>
            </w:tcBorders>
            <w:shd w:val="clear" w:color="auto" w:fill="auto"/>
            <w:noWrap/>
            <w:vAlign w:val="bottom"/>
            <w:hideMark/>
          </w:tcPr>
          <w:p w14:paraId="74487AD9" w14:textId="65A593FE"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nil"/>
              <w:left w:val="nil"/>
              <w:bottom w:val="single" w:sz="4" w:space="0" w:color="auto"/>
              <w:right w:val="nil"/>
            </w:tcBorders>
            <w:shd w:val="clear" w:color="auto" w:fill="auto"/>
            <w:noWrap/>
            <w:vAlign w:val="bottom"/>
            <w:hideMark/>
          </w:tcPr>
          <w:p w14:paraId="1B9DDD08" w14:textId="237342D6"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3" w:type="pct"/>
            <w:tcBorders>
              <w:top w:val="nil"/>
              <w:left w:val="nil"/>
              <w:bottom w:val="single" w:sz="4" w:space="0" w:color="auto"/>
              <w:right w:val="nil"/>
            </w:tcBorders>
            <w:shd w:val="clear" w:color="auto" w:fill="auto"/>
            <w:noWrap/>
            <w:vAlign w:val="bottom"/>
            <w:hideMark/>
          </w:tcPr>
          <w:p w14:paraId="12353BAC" w14:textId="4B28AF94"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r>
      <w:tr w:rsidR="00FA354D" w:rsidRPr="00E3450B" w14:paraId="0A692B11" w14:textId="77777777" w:rsidTr="00584080">
        <w:trPr>
          <w:trHeight w:val="204"/>
        </w:trPr>
        <w:tc>
          <w:tcPr>
            <w:tcW w:w="2100" w:type="pct"/>
            <w:tcBorders>
              <w:left w:val="nil"/>
              <w:bottom w:val="nil"/>
              <w:right w:val="nil"/>
            </w:tcBorders>
            <w:shd w:val="clear" w:color="auto" w:fill="auto"/>
            <w:noWrap/>
            <w:vAlign w:val="center"/>
            <w:hideMark/>
          </w:tcPr>
          <w:p w14:paraId="4ECBF0E3" w14:textId="4275BA2E"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0E519C6"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01A6438"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F83A764"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8B96DB0"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CB1C1EB" w14:textId="77777777" w:rsidR="00FA354D" w:rsidRPr="004C7942" w:rsidRDefault="00FA354D" w:rsidP="00FA354D">
            <w:pPr>
              <w:spacing w:before="0" w:after="0" w:line="240" w:lineRule="auto"/>
              <w:jc w:val="right"/>
              <w:rPr>
                <w:rFonts w:ascii="Times New Roman" w:hAnsi="Times New Roman"/>
                <w:sz w:val="20"/>
              </w:rPr>
            </w:pPr>
          </w:p>
        </w:tc>
      </w:tr>
      <w:tr w:rsidR="00FA354D" w:rsidRPr="00E3450B" w14:paraId="20E21A70" w14:textId="77777777" w:rsidTr="00E5157C">
        <w:trPr>
          <w:trHeight w:val="204"/>
        </w:trPr>
        <w:tc>
          <w:tcPr>
            <w:tcW w:w="2100" w:type="pct"/>
            <w:tcBorders>
              <w:top w:val="nil"/>
              <w:left w:val="nil"/>
              <w:bottom w:val="nil"/>
              <w:right w:val="nil"/>
            </w:tcBorders>
            <w:shd w:val="clear" w:color="auto" w:fill="auto"/>
            <w:noWrap/>
            <w:vAlign w:val="center"/>
            <w:hideMark/>
          </w:tcPr>
          <w:p w14:paraId="7FA5E4B8" w14:textId="77777777" w:rsidR="00FA354D" w:rsidRPr="00E3450B" w:rsidRDefault="00FA354D" w:rsidP="00FA354D">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1A4453DE" w14:textId="77777777" w:rsidR="00FA354D" w:rsidRPr="004C7942" w:rsidRDefault="00FA354D"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A522A37"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D2A4D28" w14:textId="77777777" w:rsidR="00FA354D" w:rsidRPr="004C7942" w:rsidRDefault="00FA354D"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ADED4D1" w14:textId="77777777" w:rsidR="00FA354D" w:rsidRPr="004C7942" w:rsidRDefault="00FA354D"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197353D" w14:textId="77777777" w:rsidR="00FA354D" w:rsidRPr="004C7942" w:rsidRDefault="00FA354D" w:rsidP="00FA354D">
            <w:pPr>
              <w:spacing w:before="0" w:after="0" w:line="240" w:lineRule="auto"/>
              <w:jc w:val="right"/>
              <w:rPr>
                <w:rFonts w:ascii="Times New Roman" w:hAnsi="Times New Roman"/>
                <w:sz w:val="20"/>
              </w:rPr>
            </w:pPr>
          </w:p>
        </w:tc>
      </w:tr>
      <w:tr w:rsidR="004C7942" w:rsidRPr="00E3450B" w14:paraId="7305FC3E" w14:textId="77777777" w:rsidTr="004C7942">
        <w:trPr>
          <w:trHeight w:val="204"/>
        </w:trPr>
        <w:tc>
          <w:tcPr>
            <w:tcW w:w="2100" w:type="pct"/>
            <w:tcBorders>
              <w:top w:val="nil"/>
              <w:left w:val="nil"/>
              <w:bottom w:val="nil"/>
              <w:right w:val="nil"/>
            </w:tcBorders>
            <w:shd w:val="clear" w:color="auto" w:fill="auto"/>
            <w:noWrap/>
            <w:vAlign w:val="center"/>
            <w:hideMark/>
          </w:tcPr>
          <w:p w14:paraId="1D1CF3C9"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center"/>
            <w:hideMark/>
          </w:tcPr>
          <w:p w14:paraId="7AC134BA" w14:textId="254C7682"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(1,263)</w:t>
            </w:r>
          </w:p>
        </w:tc>
        <w:tc>
          <w:tcPr>
            <w:tcW w:w="574" w:type="pct"/>
            <w:tcBorders>
              <w:top w:val="nil"/>
              <w:left w:val="nil"/>
              <w:bottom w:val="nil"/>
              <w:right w:val="nil"/>
            </w:tcBorders>
            <w:shd w:val="clear" w:color="000000" w:fill="E6E6E6"/>
            <w:noWrap/>
            <w:vAlign w:val="center"/>
            <w:hideMark/>
          </w:tcPr>
          <w:p w14:paraId="6110CFCC" w14:textId="054B8A9D"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(1,263)</w:t>
            </w:r>
          </w:p>
        </w:tc>
        <w:tc>
          <w:tcPr>
            <w:tcW w:w="574" w:type="pct"/>
            <w:tcBorders>
              <w:top w:val="nil"/>
              <w:left w:val="nil"/>
              <w:bottom w:val="nil"/>
              <w:right w:val="nil"/>
            </w:tcBorders>
            <w:shd w:val="clear" w:color="auto" w:fill="auto"/>
            <w:noWrap/>
            <w:vAlign w:val="center"/>
            <w:hideMark/>
          </w:tcPr>
          <w:p w14:paraId="5D00AFE1" w14:textId="3D22133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(1,263)</w:t>
            </w:r>
          </w:p>
        </w:tc>
        <w:tc>
          <w:tcPr>
            <w:tcW w:w="574" w:type="pct"/>
            <w:tcBorders>
              <w:top w:val="nil"/>
              <w:left w:val="nil"/>
              <w:bottom w:val="nil"/>
              <w:right w:val="nil"/>
            </w:tcBorders>
            <w:shd w:val="clear" w:color="auto" w:fill="auto"/>
            <w:noWrap/>
            <w:vAlign w:val="center"/>
            <w:hideMark/>
          </w:tcPr>
          <w:p w14:paraId="7E6844B8" w14:textId="7159649E"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(1,263)</w:t>
            </w:r>
          </w:p>
        </w:tc>
        <w:tc>
          <w:tcPr>
            <w:tcW w:w="573" w:type="pct"/>
            <w:tcBorders>
              <w:top w:val="nil"/>
              <w:left w:val="nil"/>
              <w:bottom w:val="nil"/>
              <w:right w:val="nil"/>
            </w:tcBorders>
            <w:shd w:val="clear" w:color="auto" w:fill="auto"/>
            <w:noWrap/>
            <w:vAlign w:val="center"/>
            <w:hideMark/>
          </w:tcPr>
          <w:p w14:paraId="01213BF6" w14:textId="022B4E14"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(1,263)</w:t>
            </w:r>
          </w:p>
        </w:tc>
      </w:tr>
      <w:tr w:rsidR="004C7942" w:rsidRPr="00E3450B" w14:paraId="56C5106A" w14:textId="77777777" w:rsidTr="004C7942">
        <w:trPr>
          <w:trHeight w:val="204"/>
        </w:trPr>
        <w:tc>
          <w:tcPr>
            <w:tcW w:w="2100" w:type="pct"/>
            <w:tcBorders>
              <w:top w:val="nil"/>
              <w:left w:val="nil"/>
              <w:bottom w:val="nil"/>
              <w:right w:val="nil"/>
            </w:tcBorders>
            <w:shd w:val="clear" w:color="auto" w:fill="auto"/>
            <w:noWrap/>
            <w:vAlign w:val="center"/>
            <w:hideMark/>
          </w:tcPr>
          <w:p w14:paraId="47AAD959"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center"/>
            <w:hideMark/>
          </w:tcPr>
          <w:p w14:paraId="00611642" w14:textId="20B46BA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(25)</w:t>
            </w:r>
          </w:p>
        </w:tc>
        <w:tc>
          <w:tcPr>
            <w:tcW w:w="574" w:type="pct"/>
            <w:tcBorders>
              <w:top w:val="nil"/>
              <w:left w:val="nil"/>
              <w:bottom w:val="nil"/>
              <w:right w:val="nil"/>
            </w:tcBorders>
            <w:shd w:val="clear" w:color="000000" w:fill="E6E6E6"/>
            <w:noWrap/>
            <w:vAlign w:val="center"/>
            <w:hideMark/>
          </w:tcPr>
          <w:p w14:paraId="279F9D2C" w14:textId="5460D879"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(25)</w:t>
            </w:r>
          </w:p>
        </w:tc>
        <w:tc>
          <w:tcPr>
            <w:tcW w:w="574" w:type="pct"/>
            <w:tcBorders>
              <w:top w:val="nil"/>
              <w:left w:val="nil"/>
              <w:bottom w:val="nil"/>
              <w:right w:val="nil"/>
            </w:tcBorders>
            <w:shd w:val="clear" w:color="auto" w:fill="auto"/>
            <w:noWrap/>
            <w:vAlign w:val="center"/>
            <w:hideMark/>
          </w:tcPr>
          <w:p w14:paraId="315D677F" w14:textId="7852523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(25)</w:t>
            </w:r>
          </w:p>
        </w:tc>
        <w:tc>
          <w:tcPr>
            <w:tcW w:w="574" w:type="pct"/>
            <w:tcBorders>
              <w:top w:val="nil"/>
              <w:left w:val="nil"/>
              <w:bottom w:val="nil"/>
              <w:right w:val="nil"/>
            </w:tcBorders>
            <w:shd w:val="clear" w:color="auto" w:fill="auto"/>
            <w:noWrap/>
            <w:vAlign w:val="center"/>
            <w:hideMark/>
          </w:tcPr>
          <w:p w14:paraId="67583213" w14:textId="783F652F"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(25)</w:t>
            </w:r>
          </w:p>
        </w:tc>
        <w:tc>
          <w:tcPr>
            <w:tcW w:w="573" w:type="pct"/>
            <w:tcBorders>
              <w:top w:val="nil"/>
              <w:left w:val="nil"/>
              <w:bottom w:val="nil"/>
              <w:right w:val="nil"/>
            </w:tcBorders>
            <w:shd w:val="clear" w:color="auto" w:fill="auto"/>
            <w:noWrap/>
            <w:vAlign w:val="center"/>
            <w:hideMark/>
          </w:tcPr>
          <w:p w14:paraId="3D85F2EC" w14:textId="79BE0B20"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(25)</w:t>
            </w:r>
          </w:p>
        </w:tc>
      </w:tr>
      <w:tr w:rsidR="004C7942" w:rsidRPr="00E3450B" w14:paraId="7CF29C12" w14:textId="77777777" w:rsidTr="00E5157C">
        <w:trPr>
          <w:trHeight w:val="204"/>
        </w:trPr>
        <w:tc>
          <w:tcPr>
            <w:tcW w:w="2100" w:type="pct"/>
            <w:tcBorders>
              <w:top w:val="nil"/>
              <w:left w:val="nil"/>
              <w:bottom w:val="nil"/>
              <w:right w:val="nil"/>
            </w:tcBorders>
            <w:shd w:val="clear" w:color="auto" w:fill="auto"/>
            <w:vAlign w:val="center"/>
            <w:hideMark/>
          </w:tcPr>
          <w:p w14:paraId="611393B0" w14:textId="77777777" w:rsidR="004C7942" w:rsidRPr="00E3450B" w:rsidRDefault="004C7942" w:rsidP="004C7942">
            <w:pPr>
              <w:spacing w:before="0" w:after="0" w:line="240" w:lineRule="auto"/>
              <w:ind w:left="113"/>
              <w:rPr>
                <w:rFonts w:ascii="Arial" w:hAnsi="Arial" w:cs="Arial"/>
                <w:color w:val="000000"/>
                <w:sz w:val="16"/>
                <w:szCs w:val="16"/>
              </w:rPr>
            </w:pPr>
            <w:r w:rsidRPr="00E3450B">
              <w:rPr>
                <w:rFonts w:ascii="Arial" w:hAnsi="Arial" w:cs="Arial"/>
                <w:color w:val="000000"/>
                <w:sz w:val="16"/>
                <w:szCs w:val="16"/>
              </w:rPr>
              <w:t>Retained surplus (accumulated</w:t>
            </w:r>
            <w:r>
              <w:rPr>
                <w:rFonts w:ascii="Arial" w:hAnsi="Arial" w:cs="Arial"/>
                <w:color w:val="000000"/>
                <w:sz w:val="16"/>
                <w:szCs w:val="16"/>
              </w:rPr>
              <w:t xml:space="preserve"> </w:t>
            </w:r>
            <w:r w:rsidRPr="00E3450B">
              <w:rPr>
                <w:rFonts w:ascii="Arial" w:hAnsi="Arial" w:cs="Arial"/>
                <w:color w:val="000000"/>
                <w:sz w:val="16"/>
                <w:szCs w:val="16"/>
              </w:rPr>
              <w:t>deficit)</w:t>
            </w:r>
          </w:p>
        </w:tc>
        <w:tc>
          <w:tcPr>
            <w:tcW w:w="605" w:type="pct"/>
            <w:tcBorders>
              <w:top w:val="nil"/>
              <w:left w:val="nil"/>
              <w:bottom w:val="nil"/>
              <w:right w:val="nil"/>
            </w:tcBorders>
            <w:shd w:val="clear" w:color="auto" w:fill="auto"/>
            <w:noWrap/>
            <w:vAlign w:val="bottom"/>
            <w:hideMark/>
          </w:tcPr>
          <w:p w14:paraId="4715B754" w14:textId="4742A7D5"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4,435</w:t>
            </w:r>
          </w:p>
        </w:tc>
        <w:tc>
          <w:tcPr>
            <w:tcW w:w="574" w:type="pct"/>
            <w:tcBorders>
              <w:top w:val="nil"/>
              <w:left w:val="nil"/>
              <w:bottom w:val="nil"/>
              <w:right w:val="nil"/>
            </w:tcBorders>
            <w:shd w:val="clear" w:color="000000" w:fill="E6E6E6"/>
            <w:noWrap/>
            <w:vAlign w:val="bottom"/>
            <w:hideMark/>
          </w:tcPr>
          <w:p w14:paraId="2726FD0A" w14:textId="632D698C"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4,435</w:t>
            </w:r>
          </w:p>
        </w:tc>
        <w:tc>
          <w:tcPr>
            <w:tcW w:w="574" w:type="pct"/>
            <w:tcBorders>
              <w:top w:val="nil"/>
              <w:left w:val="nil"/>
              <w:bottom w:val="nil"/>
              <w:right w:val="nil"/>
            </w:tcBorders>
            <w:shd w:val="clear" w:color="auto" w:fill="auto"/>
            <w:noWrap/>
            <w:vAlign w:val="bottom"/>
            <w:hideMark/>
          </w:tcPr>
          <w:p w14:paraId="1DC63536" w14:textId="60371186"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4,435</w:t>
            </w:r>
          </w:p>
        </w:tc>
        <w:tc>
          <w:tcPr>
            <w:tcW w:w="574" w:type="pct"/>
            <w:tcBorders>
              <w:top w:val="nil"/>
              <w:left w:val="nil"/>
              <w:bottom w:val="nil"/>
              <w:right w:val="nil"/>
            </w:tcBorders>
            <w:shd w:val="clear" w:color="auto" w:fill="auto"/>
            <w:noWrap/>
            <w:vAlign w:val="bottom"/>
            <w:hideMark/>
          </w:tcPr>
          <w:p w14:paraId="57F42485" w14:textId="3BA83093"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4,435</w:t>
            </w:r>
          </w:p>
        </w:tc>
        <w:tc>
          <w:tcPr>
            <w:tcW w:w="573" w:type="pct"/>
            <w:tcBorders>
              <w:top w:val="nil"/>
              <w:left w:val="nil"/>
              <w:bottom w:val="nil"/>
              <w:right w:val="nil"/>
            </w:tcBorders>
            <w:shd w:val="clear" w:color="auto" w:fill="auto"/>
            <w:noWrap/>
            <w:vAlign w:val="bottom"/>
            <w:hideMark/>
          </w:tcPr>
          <w:p w14:paraId="4C29DC3B" w14:textId="3E5C4AA6" w:rsidR="004C7942" w:rsidRPr="004C7942" w:rsidRDefault="004C7942" w:rsidP="004C7942">
            <w:pPr>
              <w:spacing w:before="0" w:after="0" w:line="240" w:lineRule="auto"/>
              <w:jc w:val="right"/>
              <w:rPr>
                <w:rFonts w:ascii="Arial" w:hAnsi="Arial" w:cs="Arial"/>
                <w:color w:val="000000"/>
                <w:sz w:val="16"/>
                <w:szCs w:val="16"/>
              </w:rPr>
            </w:pPr>
            <w:r w:rsidRPr="00B93437">
              <w:rPr>
                <w:rFonts w:ascii="Arial" w:hAnsi="Arial" w:cs="Arial"/>
                <w:color w:val="000000"/>
                <w:sz w:val="16"/>
                <w:szCs w:val="16"/>
              </w:rPr>
              <w:t>4,435</w:t>
            </w:r>
          </w:p>
        </w:tc>
      </w:tr>
      <w:tr w:rsidR="004C7942" w:rsidRPr="00E3450B" w14:paraId="25B59371" w14:textId="77777777" w:rsidTr="00E5157C">
        <w:trPr>
          <w:trHeight w:val="204"/>
        </w:trPr>
        <w:tc>
          <w:tcPr>
            <w:tcW w:w="2100" w:type="pct"/>
            <w:tcBorders>
              <w:top w:val="nil"/>
              <w:left w:val="nil"/>
              <w:bottom w:val="single" w:sz="4" w:space="0" w:color="000000"/>
              <w:right w:val="nil"/>
            </w:tcBorders>
            <w:shd w:val="clear" w:color="auto" w:fill="auto"/>
            <w:noWrap/>
            <w:vAlign w:val="center"/>
            <w:hideMark/>
          </w:tcPr>
          <w:p w14:paraId="025A5A2D" w14:textId="77777777" w:rsidR="004C7942" w:rsidRPr="00E3450B" w:rsidRDefault="004C7942" w:rsidP="004C7942">
            <w:pPr>
              <w:spacing w:before="0" w:after="0" w:line="240" w:lineRule="auto"/>
              <w:rPr>
                <w:rFonts w:ascii="Arial" w:hAnsi="Arial" w:cs="Arial"/>
                <w:b/>
                <w:bCs/>
                <w:color w:val="000000"/>
                <w:sz w:val="16"/>
                <w:szCs w:val="16"/>
              </w:rPr>
            </w:pPr>
            <w:r w:rsidRPr="00E3450B">
              <w:rPr>
                <w:rFonts w:ascii="Arial" w:hAnsi="Arial" w:cs="Arial"/>
                <w:b/>
                <w:bCs/>
                <w:color w:val="000000"/>
                <w:sz w:val="16"/>
                <w:szCs w:val="16"/>
              </w:rPr>
              <w:t>Total equity</w:t>
            </w:r>
          </w:p>
        </w:tc>
        <w:tc>
          <w:tcPr>
            <w:tcW w:w="605" w:type="pct"/>
            <w:tcBorders>
              <w:top w:val="single" w:sz="4" w:space="0" w:color="auto"/>
              <w:left w:val="nil"/>
              <w:bottom w:val="single" w:sz="4" w:space="0" w:color="auto"/>
              <w:right w:val="nil"/>
            </w:tcBorders>
            <w:shd w:val="clear" w:color="auto" w:fill="auto"/>
            <w:noWrap/>
            <w:vAlign w:val="bottom"/>
            <w:hideMark/>
          </w:tcPr>
          <w:p w14:paraId="5F4218BC" w14:textId="3D7B8019"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single" w:sz="4" w:space="0" w:color="auto"/>
              <w:left w:val="nil"/>
              <w:bottom w:val="single" w:sz="4" w:space="0" w:color="auto"/>
              <w:right w:val="nil"/>
            </w:tcBorders>
            <w:shd w:val="clear" w:color="000000" w:fill="E6E6E6"/>
            <w:noWrap/>
            <w:vAlign w:val="bottom"/>
            <w:hideMark/>
          </w:tcPr>
          <w:p w14:paraId="05BBBA78" w14:textId="430BC179"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single" w:sz="4" w:space="0" w:color="auto"/>
              <w:left w:val="nil"/>
              <w:bottom w:val="single" w:sz="4" w:space="0" w:color="auto"/>
              <w:right w:val="nil"/>
            </w:tcBorders>
            <w:shd w:val="clear" w:color="auto" w:fill="auto"/>
            <w:noWrap/>
            <w:vAlign w:val="bottom"/>
            <w:hideMark/>
          </w:tcPr>
          <w:p w14:paraId="0DED53BB" w14:textId="395B4ABB"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4" w:type="pct"/>
            <w:tcBorders>
              <w:top w:val="single" w:sz="4" w:space="0" w:color="auto"/>
              <w:left w:val="nil"/>
              <w:bottom w:val="single" w:sz="4" w:space="0" w:color="auto"/>
              <w:right w:val="nil"/>
            </w:tcBorders>
            <w:shd w:val="clear" w:color="auto" w:fill="auto"/>
            <w:noWrap/>
            <w:vAlign w:val="bottom"/>
            <w:hideMark/>
          </w:tcPr>
          <w:p w14:paraId="64B1E102" w14:textId="1E88930D"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c>
          <w:tcPr>
            <w:tcW w:w="573" w:type="pct"/>
            <w:tcBorders>
              <w:top w:val="single" w:sz="4" w:space="0" w:color="auto"/>
              <w:left w:val="nil"/>
              <w:bottom w:val="single" w:sz="4" w:space="0" w:color="auto"/>
              <w:right w:val="nil"/>
            </w:tcBorders>
            <w:shd w:val="clear" w:color="auto" w:fill="auto"/>
            <w:noWrap/>
            <w:vAlign w:val="bottom"/>
            <w:hideMark/>
          </w:tcPr>
          <w:p w14:paraId="1711ECC9" w14:textId="13921F50" w:rsidR="004C7942" w:rsidRPr="004C7942" w:rsidRDefault="004C7942" w:rsidP="004C7942">
            <w:pPr>
              <w:spacing w:before="0" w:after="0" w:line="240" w:lineRule="auto"/>
              <w:jc w:val="right"/>
              <w:rPr>
                <w:rFonts w:ascii="Arial" w:hAnsi="Arial" w:cs="Arial"/>
                <w:b/>
                <w:bCs/>
                <w:color w:val="000000"/>
                <w:sz w:val="16"/>
                <w:szCs w:val="16"/>
              </w:rPr>
            </w:pPr>
            <w:r w:rsidRPr="00B93437">
              <w:rPr>
                <w:rFonts w:ascii="Arial" w:hAnsi="Arial" w:cs="Arial"/>
                <w:b/>
                <w:bCs/>
                <w:color w:val="000000"/>
                <w:sz w:val="16"/>
                <w:szCs w:val="16"/>
              </w:rPr>
              <w:t>3,147</w:t>
            </w:r>
          </w:p>
        </w:tc>
      </w:tr>
    </w:tbl>
    <w:p w14:paraId="41E62746" w14:textId="77777777" w:rsidR="00FA354D" w:rsidRPr="00132F9E" w:rsidRDefault="00FA354D" w:rsidP="00FA354D">
      <w:pPr>
        <w:pStyle w:val="ChartandTableFootnote"/>
      </w:pPr>
      <w:r w:rsidRPr="00132F9E">
        <w:t xml:space="preserve">Prepared on </w:t>
      </w:r>
      <w:r w:rsidRPr="00446EE2">
        <w:rPr>
          <w:rStyle w:val="ChartandTableFootnoteChar"/>
        </w:rPr>
        <w:t>Australian</w:t>
      </w:r>
      <w:r w:rsidRPr="00132F9E">
        <w:t xml:space="preserve"> Accounting Standards basis.</w:t>
      </w:r>
    </w:p>
    <w:p w14:paraId="2A65E977" w14:textId="3D79AADA" w:rsidR="00FA354D" w:rsidRPr="00E12339" w:rsidRDefault="00FA354D" w:rsidP="00FA354D">
      <w:pPr>
        <w:pStyle w:val="TableHeading"/>
        <w:rPr>
          <w:b w:val="0"/>
        </w:rPr>
      </w:pPr>
      <w:r>
        <w:br w:type="page"/>
      </w:r>
      <w:r w:rsidRPr="00E12339">
        <w:lastRenderedPageBreak/>
        <w:t xml:space="preserve">Table 3.3: </w:t>
      </w:r>
      <w:r w:rsidR="003352C5">
        <w:t>Departmental</w:t>
      </w:r>
      <w:r w:rsidRPr="00E12339">
        <w:t xml:space="preserve"> statement of changes in equity – summary of movement (Budget year 202</w:t>
      </w:r>
      <w:r w:rsidR="00603CF4">
        <w:t>5</w:t>
      </w:r>
      <w:r w:rsidRPr="00E12339">
        <w:t>–2</w:t>
      </w:r>
      <w:r w:rsidR="00603CF4">
        <w:t>6</w:t>
      </w:r>
      <w:r w:rsidRPr="00E12339">
        <w:t>)</w:t>
      </w:r>
      <w:r w:rsidRPr="00E12339">
        <w:rPr>
          <w:b w:val="0"/>
        </w:rPr>
        <w:t xml:space="preserve"> </w:t>
      </w:r>
    </w:p>
    <w:tbl>
      <w:tblPr>
        <w:tblW w:w="5000" w:type="pct"/>
        <w:tblLook w:val="04A0" w:firstRow="1" w:lastRow="0" w:firstColumn="1" w:lastColumn="0" w:noHBand="0" w:noVBand="1"/>
      </w:tblPr>
      <w:tblGrid>
        <w:gridCol w:w="3432"/>
        <w:gridCol w:w="979"/>
        <w:gridCol w:w="1144"/>
        <w:gridCol w:w="1197"/>
        <w:gridCol w:w="958"/>
      </w:tblGrid>
      <w:tr w:rsidR="0020223C" w:rsidRPr="007E4799" w14:paraId="2A023C55" w14:textId="77777777" w:rsidTr="004C7942">
        <w:trPr>
          <w:trHeight w:val="204"/>
        </w:trPr>
        <w:tc>
          <w:tcPr>
            <w:tcW w:w="2226" w:type="pct"/>
            <w:tcBorders>
              <w:top w:val="single" w:sz="4" w:space="0" w:color="auto"/>
              <w:left w:val="nil"/>
              <w:bottom w:val="nil"/>
              <w:right w:val="nil"/>
            </w:tcBorders>
            <w:shd w:val="clear" w:color="auto" w:fill="auto"/>
            <w:noWrap/>
            <w:vAlign w:val="center"/>
            <w:hideMark/>
          </w:tcPr>
          <w:p w14:paraId="22BA43BD" w14:textId="77777777" w:rsidR="0020223C" w:rsidRPr="007E4799" w:rsidRDefault="0020223C" w:rsidP="00FA354D">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 </w:t>
            </w:r>
          </w:p>
        </w:tc>
        <w:tc>
          <w:tcPr>
            <w:tcW w:w="635" w:type="pct"/>
            <w:tcBorders>
              <w:top w:val="single" w:sz="4" w:space="0" w:color="auto"/>
              <w:left w:val="nil"/>
              <w:bottom w:val="single" w:sz="4" w:space="0" w:color="000000"/>
              <w:right w:val="nil"/>
            </w:tcBorders>
            <w:shd w:val="clear" w:color="auto" w:fill="auto"/>
            <w:hideMark/>
          </w:tcPr>
          <w:p w14:paraId="5EC56467" w14:textId="77777777" w:rsidR="0020223C" w:rsidRPr="007E4799" w:rsidRDefault="0020223C" w:rsidP="00FA354D">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Retained</w:t>
            </w:r>
            <w:r w:rsidRPr="007E4799">
              <w:rPr>
                <w:rFonts w:ascii="Arial" w:hAnsi="Arial" w:cs="Arial"/>
                <w:color w:val="000000"/>
                <w:sz w:val="16"/>
                <w:szCs w:val="16"/>
              </w:rPr>
              <w:br/>
              <w:t>earnings</w:t>
            </w:r>
            <w:r w:rsidRPr="007E4799">
              <w:rPr>
                <w:rFonts w:ascii="Arial" w:hAnsi="Arial" w:cs="Arial"/>
                <w:color w:val="000000"/>
                <w:sz w:val="16"/>
                <w:szCs w:val="16"/>
              </w:rPr>
              <w:br/>
            </w:r>
            <w:r w:rsidRPr="007E4799">
              <w:rPr>
                <w:rFonts w:ascii="Arial" w:hAnsi="Arial" w:cs="Arial"/>
                <w:color w:val="000000"/>
                <w:sz w:val="16"/>
                <w:szCs w:val="16"/>
              </w:rPr>
              <w:br/>
              <w:t>$'000</w:t>
            </w:r>
          </w:p>
        </w:tc>
        <w:tc>
          <w:tcPr>
            <w:tcW w:w="742" w:type="pct"/>
            <w:tcBorders>
              <w:top w:val="single" w:sz="4" w:space="0" w:color="auto"/>
              <w:left w:val="nil"/>
              <w:bottom w:val="single" w:sz="4" w:space="0" w:color="000000"/>
              <w:right w:val="nil"/>
            </w:tcBorders>
            <w:shd w:val="clear" w:color="auto" w:fill="auto"/>
            <w:hideMark/>
          </w:tcPr>
          <w:p w14:paraId="55A9ACD7" w14:textId="77777777" w:rsidR="0020223C" w:rsidRPr="007E4799" w:rsidRDefault="0020223C" w:rsidP="00FA354D">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Asset</w:t>
            </w:r>
            <w:r w:rsidRPr="007E4799">
              <w:rPr>
                <w:rFonts w:ascii="Arial" w:hAnsi="Arial" w:cs="Arial"/>
                <w:color w:val="000000"/>
                <w:sz w:val="16"/>
                <w:szCs w:val="16"/>
              </w:rPr>
              <w:br/>
              <w:t>revaluation</w:t>
            </w:r>
            <w:r w:rsidRPr="007E4799">
              <w:rPr>
                <w:rFonts w:ascii="Arial" w:hAnsi="Arial" w:cs="Arial"/>
                <w:color w:val="000000"/>
                <w:sz w:val="16"/>
                <w:szCs w:val="16"/>
              </w:rPr>
              <w:br/>
              <w:t>reserve</w:t>
            </w:r>
            <w:r w:rsidRPr="007E4799">
              <w:rPr>
                <w:rFonts w:ascii="Arial" w:hAnsi="Arial" w:cs="Arial"/>
                <w:color w:val="000000"/>
                <w:sz w:val="16"/>
                <w:szCs w:val="16"/>
              </w:rPr>
              <w:br/>
              <w:t>$'000</w:t>
            </w:r>
          </w:p>
        </w:tc>
        <w:tc>
          <w:tcPr>
            <w:tcW w:w="776" w:type="pct"/>
            <w:tcBorders>
              <w:top w:val="single" w:sz="4" w:space="0" w:color="auto"/>
              <w:left w:val="nil"/>
              <w:bottom w:val="single" w:sz="4" w:space="0" w:color="000000"/>
              <w:right w:val="nil"/>
            </w:tcBorders>
            <w:shd w:val="clear" w:color="auto" w:fill="auto"/>
            <w:hideMark/>
          </w:tcPr>
          <w:p w14:paraId="088EC8F5" w14:textId="77777777" w:rsidR="0020223C" w:rsidRPr="007E4799" w:rsidRDefault="0020223C" w:rsidP="00FA354D">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Contributed</w:t>
            </w:r>
            <w:r w:rsidRPr="007E4799">
              <w:rPr>
                <w:rFonts w:ascii="Arial" w:hAnsi="Arial" w:cs="Arial"/>
                <w:color w:val="000000"/>
                <w:sz w:val="16"/>
                <w:szCs w:val="16"/>
              </w:rPr>
              <w:br/>
              <w:t>equity/</w:t>
            </w:r>
            <w:r w:rsidRPr="007E4799">
              <w:rPr>
                <w:rFonts w:ascii="Arial" w:hAnsi="Arial" w:cs="Arial"/>
                <w:color w:val="000000"/>
                <w:sz w:val="16"/>
                <w:szCs w:val="16"/>
              </w:rPr>
              <w:br/>
              <w:t>capital</w:t>
            </w:r>
            <w:r w:rsidRPr="007E4799">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hideMark/>
          </w:tcPr>
          <w:p w14:paraId="68C00810" w14:textId="77777777" w:rsidR="0020223C" w:rsidRPr="007E4799" w:rsidRDefault="0020223C" w:rsidP="00FA354D">
            <w:pPr>
              <w:spacing w:before="0" w:after="0" w:line="240" w:lineRule="auto"/>
              <w:jc w:val="right"/>
              <w:rPr>
                <w:rFonts w:ascii="Arial" w:hAnsi="Arial" w:cs="Arial"/>
                <w:color w:val="000000"/>
                <w:sz w:val="16"/>
                <w:szCs w:val="16"/>
              </w:rPr>
            </w:pPr>
            <w:r w:rsidRPr="007E4799">
              <w:rPr>
                <w:rFonts w:ascii="Arial" w:hAnsi="Arial" w:cs="Arial"/>
                <w:color w:val="000000"/>
                <w:sz w:val="16"/>
                <w:szCs w:val="16"/>
              </w:rPr>
              <w:t>Total</w:t>
            </w:r>
            <w:r w:rsidRPr="007E4799">
              <w:rPr>
                <w:rFonts w:ascii="Arial" w:hAnsi="Arial" w:cs="Arial"/>
                <w:color w:val="000000"/>
                <w:sz w:val="16"/>
                <w:szCs w:val="16"/>
              </w:rPr>
              <w:br/>
              <w:t>equity</w:t>
            </w:r>
            <w:r>
              <w:rPr>
                <w:rFonts w:ascii="Arial" w:hAnsi="Arial" w:cs="Arial"/>
                <w:color w:val="000000"/>
                <w:sz w:val="16"/>
                <w:szCs w:val="16"/>
              </w:rPr>
              <w:br/>
            </w:r>
            <w:r w:rsidRPr="007E4799">
              <w:rPr>
                <w:rFonts w:ascii="Arial" w:hAnsi="Arial" w:cs="Arial"/>
                <w:color w:val="000000"/>
                <w:sz w:val="16"/>
                <w:szCs w:val="16"/>
              </w:rPr>
              <w:br/>
              <w:t>$'000</w:t>
            </w:r>
          </w:p>
        </w:tc>
      </w:tr>
      <w:tr w:rsidR="0020223C" w:rsidRPr="007E4799" w14:paraId="75C065E1" w14:textId="77777777" w:rsidTr="004C7942">
        <w:trPr>
          <w:trHeight w:val="204"/>
        </w:trPr>
        <w:tc>
          <w:tcPr>
            <w:tcW w:w="2226" w:type="pct"/>
            <w:tcBorders>
              <w:top w:val="nil"/>
              <w:left w:val="nil"/>
              <w:bottom w:val="nil"/>
              <w:right w:val="nil"/>
            </w:tcBorders>
            <w:shd w:val="clear" w:color="auto" w:fill="auto"/>
            <w:vAlign w:val="center"/>
            <w:hideMark/>
          </w:tcPr>
          <w:p w14:paraId="32D15FA6" w14:textId="30450A77" w:rsidR="0020223C" w:rsidRPr="007E4799" w:rsidRDefault="0020223C" w:rsidP="00FA354D">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Opening balance as at 1 July 202</w:t>
            </w:r>
            <w:r w:rsidR="004C7942">
              <w:rPr>
                <w:rFonts w:ascii="Arial" w:hAnsi="Arial" w:cs="Arial"/>
                <w:b/>
                <w:bCs/>
                <w:color w:val="000000"/>
                <w:sz w:val="16"/>
                <w:szCs w:val="16"/>
              </w:rPr>
              <w:t>5</w:t>
            </w:r>
          </w:p>
        </w:tc>
        <w:tc>
          <w:tcPr>
            <w:tcW w:w="635" w:type="pct"/>
            <w:tcBorders>
              <w:top w:val="nil"/>
              <w:left w:val="nil"/>
              <w:bottom w:val="nil"/>
              <w:right w:val="nil"/>
            </w:tcBorders>
            <w:shd w:val="clear" w:color="auto" w:fill="auto"/>
            <w:noWrap/>
            <w:vAlign w:val="center"/>
            <w:hideMark/>
          </w:tcPr>
          <w:p w14:paraId="254F23D2" w14:textId="77777777" w:rsidR="0020223C" w:rsidRPr="00917BB0" w:rsidRDefault="0020223C" w:rsidP="00FA354D">
            <w:pPr>
              <w:spacing w:before="0" w:after="0" w:line="240" w:lineRule="auto"/>
              <w:jc w:val="right"/>
              <w:rPr>
                <w:rFonts w:ascii="Arial" w:hAnsi="Arial" w:cs="Arial"/>
                <w:b/>
                <w:bCs/>
                <w:color w:val="000000"/>
                <w:sz w:val="16"/>
                <w:szCs w:val="16"/>
              </w:rPr>
            </w:pPr>
          </w:p>
        </w:tc>
        <w:tc>
          <w:tcPr>
            <w:tcW w:w="742" w:type="pct"/>
            <w:tcBorders>
              <w:top w:val="nil"/>
              <w:left w:val="nil"/>
              <w:bottom w:val="nil"/>
              <w:right w:val="nil"/>
            </w:tcBorders>
            <w:shd w:val="clear" w:color="auto" w:fill="auto"/>
            <w:noWrap/>
            <w:vAlign w:val="center"/>
            <w:hideMark/>
          </w:tcPr>
          <w:p w14:paraId="681DF1D3" w14:textId="77777777" w:rsidR="0020223C" w:rsidRPr="00917BB0" w:rsidRDefault="0020223C" w:rsidP="00FA354D">
            <w:pPr>
              <w:spacing w:before="0" w:after="0" w:line="240" w:lineRule="auto"/>
              <w:jc w:val="right"/>
              <w:rPr>
                <w:rFonts w:ascii="Arial" w:hAnsi="Arial" w:cs="Arial"/>
                <w:b/>
                <w:bCs/>
                <w:color w:val="000000"/>
                <w:sz w:val="16"/>
                <w:szCs w:val="16"/>
              </w:rPr>
            </w:pPr>
          </w:p>
        </w:tc>
        <w:tc>
          <w:tcPr>
            <w:tcW w:w="776" w:type="pct"/>
            <w:tcBorders>
              <w:top w:val="nil"/>
              <w:left w:val="nil"/>
              <w:bottom w:val="nil"/>
              <w:right w:val="nil"/>
            </w:tcBorders>
            <w:shd w:val="clear" w:color="auto" w:fill="auto"/>
            <w:noWrap/>
            <w:vAlign w:val="center"/>
            <w:hideMark/>
          </w:tcPr>
          <w:p w14:paraId="3F3B70CA" w14:textId="77777777" w:rsidR="0020223C" w:rsidRPr="00917BB0" w:rsidRDefault="0020223C" w:rsidP="00FA354D">
            <w:pPr>
              <w:spacing w:before="0"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auto"/>
            <w:noWrap/>
            <w:vAlign w:val="center"/>
            <w:hideMark/>
          </w:tcPr>
          <w:p w14:paraId="6662C22F" w14:textId="77777777" w:rsidR="0020223C" w:rsidRPr="00917BB0" w:rsidRDefault="0020223C" w:rsidP="00FA354D">
            <w:pPr>
              <w:spacing w:before="0" w:after="0" w:line="240" w:lineRule="auto"/>
              <w:jc w:val="right"/>
              <w:rPr>
                <w:rFonts w:ascii="Arial" w:hAnsi="Arial" w:cs="Arial"/>
                <w:b/>
                <w:bCs/>
                <w:color w:val="000000"/>
                <w:sz w:val="16"/>
                <w:szCs w:val="16"/>
              </w:rPr>
            </w:pPr>
          </w:p>
        </w:tc>
      </w:tr>
      <w:tr w:rsidR="004C7942" w:rsidRPr="007E4799" w14:paraId="62BB18B9" w14:textId="77777777" w:rsidTr="004C7942">
        <w:trPr>
          <w:trHeight w:val="204"/>
        </w:trPr>
        <w:tc>
          <w:tcPr>
            <w:tcW w:w="2226" w:type="pct"/>
            <w:tcBorders>
              <w:top w:val="nil"/>
              <w:left w:val="nil"/>
              <w:bottom w:val="nil"/>
              <w:right w:val="nil"/>
            </w:tcBorders>
            <w:shd w:val="clear" w:color="auto" w:fill="auto"/>
            <w:vAlign w:val="center"/>
            <w:hideMark/>
          </w:tcPr>
          <w:p w14:paraId="71115CA6" w14:textId="77777777" w:rsidR="004C7942" w:rsidRPr="007E4799" w:rsidRDefault="004C7942" w:rsidP="004C7942">
            <w:pPr>
              <w:spacing w:before="0" w:after="0" w:line="240" w:lineRule="auto"/>
              <w:ind w:left="113"/>
              <w:rPr>
                <w:rFonts w:ascii="Arial" w:hAnsi="Arial" w:cs="Arial"/>
                <w:color w:val="000000"/>
                <w:sz w:val="16"/>
                <w:szCs w:val="16"/>
              </w:rPr>
            </w:pPr>
            <w:r w:rsidRPr="007E4799">
              <w:rPr>
                <w:rFonts w:ascii="Arial" w:hAnsi="Arial" w:cs="Arial"/>
                <w:color w:val="000000"/>
                <w:sz w:val="16"/>
                <w:szCs w:val="16"/>
              </w:rPr>
              <w:t>Balance carried forward from</w:t>
            </w:r>
            <w:r>
              <w:rPr>
                <w:rFonts w:ascii="Arial" w:hAnsi="Arial" w:cs="Arial"/>
                <w:color w:val="000000"/>
                <w:sz w:val="16"/>
                <w:szCs w:val="16"/>
              </w:rPr>
              <w:t xml:space="preserve"> </w:t>
            </w:r>
            <w:r w:rsidRPr="007E4799">
              <w:rPr>
                <w:rFonts w:ascii="Arial" w:hAnsi="Arial" w:cs="Arial"/>
                <w:color w:val="000000"/>
                <w:sz w:val="16"/>
                <w:szCs w:val="16"/>
              </w:rPr>
              <w:t>previous period</w:t>
            </w:r>
          </w:p>
        </w:tc>
        <w:tc>
          <w:tcPr>
            <w:tcW w:w="635" w:type="pct"/>
            <w:tcBorders>
              <w:top w:val="nil"/>
              <w:left w:val="nil"/>
              <w:bottom w:val="nil"/>
              <w:right w:val="nil"/>
            </w:tcBorders>
            <w:shd w:val="clear" w:color="auto" w:fill="auto"/>
            <w:noWrap/>
            <w:vAlign w:val="bottom"/>
            <w:hideMark/>
          </w:tcPr>
          <w:p w14:paraId="421C4C82" w14:textId="5D47C23F" w:rsidR="004C7942" w:rsidRPr="00603CF4" w:rsidRDefault="004C7942" w:rsidP="004C7942">
            <w:pPr>
              <w:spacing w:before="0" w:after="0" w:line="240" w:lineRule="auto"/>
              <w:jc w:val="right"/>
              <w:rPr>
                <w:rFonts w:ascii="Arial" w:hAnsi="Arial" w:cs="Arial"/>
                <w:bCs/>
                <w:color w:val="000000"/>
                <w:sz w:val="16"/>
                <w:szCs w:val="16"/>
                <w:highlight w:val="yellow"/>
              </w:rPr>
            </w:pPr>
            <w:r w:rsidRPr="000640AD">
              <w:rPr>
                <w:rFonts w:ascii="Arial" w:hAnsi="Arial" w:cs="Arial"/>
                <w:color w:val="000000"/>
                <w:sz w:val="16"/>
                <w:szCs w:val="16"/>
              </w:rPr>
              <w:t xml:space="preserve">4,435 </w:t>
            </w:r>
          </w:p>
        </w:tc>
        <w:tc>
          <w:tcPr>
            <w:tcW w:w="742" w:type="pct"/>
            <w:tcBorders>
              <w:top w:val="nil"/>
              <w:left w:val="nil"/>
              <w:bottom w:val="nil"/>
              <w:right w:val="nil"/>
            </w:tcBorders>
            <w:shd w:val="clear" w:color="auto" w:fill="auto"/>
            <w:noWrap/>
            <w:vAlign w:val="bottom"/>
            <w:hideMark/>
          </w:tcPr>
          <w:p w14:paraId="52AFE8F9" w14:textId="3AA8D8E2" w:rsidR="004C7942" w:rsidRPr="00603CF4" w:rsidRDefault="004C7942" w:rsidP="004C7942">
            <w:pPr>
              <w:spacing w:before="0" w:after="0" w:line="240" w:lineRule="auto"/>
              <w:jc w:val="right"/>
              <w:rPr>
                <w:rFonts w:ascii="Arial" w:hAnsi="Arial" w:cs="Arial"/>
                <w:bCs/>
                <w:color w:val="000000"/>
                <w:sz w:val="16"/>
                <w:szCs w:val="16"/>
                <w:highlight w:val="yellow"/>
              </w:rPr>
            </w:pPr>
            <w:r w:rsidRPr="000640AD">
              <w:rPr>
                <w:rFonts w:ascii="Arial" w:hAnsi="Arial" w:cs="Arial"/>
                <w:color w:val="000000"/>
                <w:sz w:val="16"/>
                <w:szCs w:val="16"/>
              </w:rPr>
              <w:t>(25)</w:t>
            </w:r>
          </w:p>
        </w:tc>
        <w:tc>
          <w:tcPr>
            <w:tcW w:w="776" w:type="pct"/>
            <w:tcBorders>
              <w:top w:val="nil"/>
              <w:left w:val="nil"/>
              <w:bottom w:val="nil"/>
              <w:right w:val="nil"/>
            </w:tcBorders>
            <w:shd w:val="clear" w:color="auto" w:fill="auto"/>
            <w:noWrap/>
            <w:vAlign w:val="bottom"/>
            <w:hideMark/>
          </w:tcPr>
          <w:p w14:paraId="51ECB407" w14:textId="492ED8C8" w:rsidR="004C7942" w:rsidRPr="00603CF4" w:rsidRDefault="004C7942" w:rsidP="004C7942">
            <w:pPr>
              <w:spacing w:before="0" w:after="0" w:line="240" w:lineRule="auto"/>
              <w:jc w:val="right"/>
              <w:rPr>
                <w:rFonts w:ascii="Arial" w:hAnsi="Arial" w:cs="Arial"/>
                <w:bCs/>
                <w:color w:val="000000"/>
                <w:sz w:val="16"/>
                <w:szCs w:val="16"/>
                <w:highlight w:val="yellow"/>
              </w:rPr>
            </w:pPr>
            <w:r w:rsidRPr="000640AD">
              <w:rPr>
                <w:rFonts w:ascii="Arial" w:hAnsi="Arial" w:cs="Arial"/>
                <w:color w:val="000000"/>
                <w:sz w:val="16"/>
                <w:szCs w:val="16"/>
              </w:rPr>
              <w:t>(1,263)</w:t>
            </w:r>
          </w:p>
        </w:tc>
        <w:tc>
          <w:tcPr>
            <w:tcW w:w="621" w:type="pct"/>
            <w:tcBorders>
              <w:top w:val="nil"/>
              <w:left w:val="nil"/>
              <w:bottom w:val="nil"/>
              <w:right w:val="nil"/>
            </w:tcBorders>
            <w:shd w:val="clear" w:color="auto" w:fill="auto"/>
            <w:noWrap/>
            <w:vAlign w:val="bottom"/>
            <w:hideMark/>
          </w:tcPr>
          <w:p w14:paraId="00C3630A" w14:textId="08F431FC" w:rsidR="004C7942" w:rsidRPr="00603CF4" w:rsidRDefault="004C7942" w:rsidP="004C7942">
            <w:pPr>
              <w:spacing w:before="0" w:after="0" w:line="240" w:lineRule="auto"/>
              <w:jc w:val="right"/>
              <w:rPr>
                <w:rFonts w:ascii="Arial" w:hAnsi="Arial" w:cs="Arial"/>
                <w:bCs/>
                <w:color w:val="000000"/>
                <w:sz w:val="16"/>
                <w:szCs w:val="16"/>
                <w:highlight w:val="yellow"/>
              </w:rPr>
            </w:pPr>
            <w:r w:rsidRPr="000640AD">
              <w:rPr>
                <w:rFonts w:ascii="Arial" w:hAnsi="Arial" w:cs="Arial"/>
                <w:color w:val="000000"/>
                <w:sz w:val="16"/>
                <w:szCs w:val="16"/>
              </w:rPr>
              <w:t xml:space="preserve">3,147 </w:t>
            </w:r>
          </w:p>
        </w:tc>
      </w:tr>
      <w:tr w:rsidR="004C7942" w:rsidRPr="007E4799" w14:paraId="187F9A6D" w14:textId="77777777" w:rsidTr="004C7942">
        <w:trPr>
          <w:trHeight w:val="204"/>
        </w:trPr>
        <w:tc>
          <w:tcPr>
            <w:tcW w:w="2226" w:type="pct"/>
            <w:tcBorders>
              <w:top w:val="nil"/>
              <w:left w:val="nil"/>
              <w:bottom w:val="nil"/>
              <w:right w:val="nil"/>
            </w:tcBorders>
            <w:shd w:val="clear" w:color="auto" w:fill="auto"/>
            <w:vAlign w:val="center"/>
            <w:hideMark/>
          </w:tcPr>
          <w:p w14:paraId="743A76A4" w14:textId="77777777" w:rsidR="004C7942" w:rsidRPr="007E4799" w:rsidRDefault="004C7942" w:rsidP="004C7942">
            <w:pPr>
              <w:spacing w:before="0" w:after="0" w:line="240" w:lineRule="auto"/>
              <w:rPr>
                <w:rFonts w:ascii="Arial" w:hAnsi="Arial" w:cs="Arial"/>
                <w:b/>
                <w:bCs/>
                <w:i/>
                <w:iCs/>
                <w:color w:val="000000"/>
                <w:sz w:val="16"/>
                <w:szCs w:val="16"/>
              </w:rPr>
            </w:pPr>
            <w:r w:rsidRPr="007E4799">
              <w:rPr>
                <w:rFonts w:ascii="Arial" w:hAnsi="Arial" w:cs="Arial"/>
                <w:b/>
                <w:bCs/>
                <w:i/>
                <w:iCs/>
                <w:color w:val="000000"/>
                <w:sz w:val="16"/>
                <w:szCs w:val="16"/>
              </w:rPr>
              <w:t>Adjusted opening balance</w:t>
            </w:r>
          </w:p>
        </w:tc>
        <w:tc>
          <w:tcPr>
            <w:tcW w:w="635" w:type="pct"/>
            <w:tcBorders>
              <w:top w:val="single" w:sz="4" w:space="0" w:color="000000"/>
              <w:left w:val="nil"/>
              <w:bottom w:val="single" w:sz="4" w:space="0" w:color="000000"/>
              <w:right w:val="nil"/>
            </w:tcBorders>
            <w:shd w:val="clear" w:color="auto" w:fill="auto"/>
            <w:noWrap/>
            <w:vAlign w:val="bottom"/>
            <w:hideMark/>
          </w:tcPr>
          <w:p w14:paraId="01E66F3D" w14:textId="57F1B77D"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i/>
                <w:iCs/>
                <w:color w:val="000000"/>
                <w:sz w:val="16"/>
                <w:szCs w:val="16"/>
              </w:rPr>
              <w:t xml:space="preserve">4,435 </w:t>
            </w:r>
          </w:p>
        </w:tc>
        <w:tc>
          <w:tcPr>
            <w:tcW w:w="742" w:type="pct"/>
            <w:tcBorders>
              <w:top w:val="single" w:sz="4" w:space="0" w:color="000000"/>
              <w:left w:val="nil"/>
              <w:bottom w:val="single" w:sz="4" w:space="0" w:color="000000"/>
              <w:right w:val="nil"/>
            </w:tcBorders>
            <w:shd w:val="clear" w:color="auto" w:fill="auto"/>
            <w:noWrap/>
            <w:vAlign w:val="bottom"/>
            <w:hideMark/>
          </w:tcPr>
          <w:p w14:paraId="00461BCE" w14:textId="33570D78"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i/>
                <w:iCs/>
                <w:color w:val="000000"/>
                <w:sz w:val="16"/>
                <w:szCs w:val="16"/>
              </w:rPr>
              <w:t>(25)</w:t>
            </w:r>
          </w:p>
        </w:tc>
        <w:tc>
          <w:tcPr>
            <w:tcW w:w="776" w:type="pct"/>
            <w:tcBorders>
              <w:top w:val="single" w:sz="4" w:space="0" w:color="000000"/>
              <w:left w:val="nil"/>
              <w:bottom w:val="single" w:sz="4" w:space="0" w:color="000000"/>
              <w:right w:val="nil"/>
            </w:tcBorders>
            <w:shd w:val="clear" w:color="auto" w:fill="auto"/>
            <w:noWrap/>
            <w:vAlign w:val="bottom"/>
            <w:hideMark/>
          </w:tcPr>
          <w:p w14:paraId="0E8D8E81" w14:textId="4F4B90B8"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i/>
                <w:iCs/>
                <w:color w:val="000000"/>
                <w:sz w:val="16"/>
                <w:szCs w:val="16"/>
              </w:rPr>
              <w:t>(1,263)</w:t>
            </w:r>
          </w:p>
        </w:tc>
        <w:tc>
          <w:tcPr>
            <w:tcW w:w="621" w:type="pct"/>
            <w:tcBorders>
              <w:top w:val="single" w:sz="4" w:space="0" w:color="000000"/>
              <w:left w:val="nil"/>
              <w:bottom w:val="single" w:sz="4" w:space="0" w:color="000000"/>
              <w:right w:val="nil"/>
            </w:tcBorders>
            <w:shd w:val="clear" w:color="auto" w:fill="auto"/>
            <w:noWrap/>
            <w:vAlign w:val="bottom"/>
            <w:hideMark/>
          </w:tcPr>
          <w:p w14:paraId="67A0A24F" w14:textId="77CF7139"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i/>
                <w:iCs/>
                <w:color w:val="000000"/>
                <w:sz w:val="16"/>
                <w:szCs w:val="16"/>
              </w:rPr>
              <w:t xml:space="preserve">3,147 </w:t>
            </w:r>
          </w:p>
        </w:tc>
      </w:tr>
      <w:tr w:rsidR="004C7942" w:rsidRPr="007E4799" w14:paraId="44AE42F5" w14:textId="77777777" w:rsidTr="004C7942">
        <w:trPr>
          <w:trHeight w:val="204"/>
        </w:trPr>
        <w:tc>
          <w:tcPr>
            <w:tcW w:w="2226" w:type="pct"/>
            <w:tcBorders>
              <w:top w:val="nil"/>
              <w:left w:val="nil"/>
              <w:bottom w:val="nil"/>
              <w:right w:val="nil"/>
            </w:tcBorders>
            <w:shd w:val="clear" w:color="auto" w:fill="auto"/>
            <w:vAlign w:val="center"/>
            <w:hideMark/>
          </w:tcPr>
          <w:p w14:paraId="2765187F" w14:textId="477928AB" w:rsidR="004C7942" w:rsidRPr="007E4799" w:rsidRDefault="004C7942" w:rsidP="004C7942">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Estimated closing balance as at</w:t>
            </w:r>
            <w:r>
              <w:rPr>
                <w:rFonts w:ascii="Arial" w:hAnsi="Arial" w:cs="Arial"/>
                <w:b/>
                <w:bCs/>
                <w:color w:val="000000"/>
                <w:sz w:val="16"/>
                <w:szCs w:val="16"/>
              </w:rPr>
              <w:br/>
            </w:r>
            <w:r w:rsidRPr="007E4799">
              <w:rPr>
                <w:rFonts w:ascii="Arial" w:hAnsi="Arial" w:cs="Arial"/>
                <w:b/>
                <w:bCs/>
                <w:color w:val="000000"/>
                <w:sz w:val="16"/>
                <w:szCs w:val="16"/>
              </w:rPr>
              <w:t>30 June 202</w:t>
            </w:r>
            <w:r>
              <w:rPr>
                <w:rFonts w:ascii="Arial" w:hAnsi="Arial" w:cs="Arial"/>
                <w:b/>
                <w:bCs/>
                <w:color w:val="000000"/>
                <w:sz w:val="16"/>
                <w:szCs w:val="16"/>
              </w:rPr>
              <w:t>6</w:t>
            </w:r>
          </w:p>
        </w:tc>
        <w:tc>
          <w:tcPr>
            <w:tcW w:w="635" w:type="pct"/>
            <w:tcBorders>
              <w:top w:val="single" w:sz="4" w:space="0" w:color="auto"/>
              <w:left w:val="nil"/>
              <w:bottom w:val="single" w:sz="4" w:space="0" w:color="auto"/>
              <w:right w:val="nil"/>
            </w:tcBorders>
            <w:shd w:val="clear" w:color="auto" w:fill="auto"/>
            <w:noWrap/>
            <w:vAlign w:val="bottom"/>
            <w:hideMark/>
          </w:tcPr>
          <w:p w14:paraId="6C6983F2" w14:textId="2861BEB5"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 xml:space="preserve">4,435 </w:t>
            </w:r>
          </w:p>
        </w:tc>
        <w:tc>
          <w:tcPr>
            <w:tcW w:w="742" w:type="pct"/>
            <w:tcBorders>
              <w:top w:val="single" w:sz="4" w:space="0" w:color="auto"/>
              <w:left w:val="nil"/>
              <w:bottom w:val="single" w:sz="4" w:space="0" w:color="auto"/>
              <w:right w:val="nil"/>
            </w:tcBorders>
            <w:shd w:val="clear" w:color="auto" w:fill="auto"/>
            <w:noWrap/>
            <w:vAlign w:val="bottom"/>
            <w:hideMark/>
          </w:tcPr>
          <w:p w14:paraId="26F7C384" w14:textId="06A64746"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(25)</w:t>
            </w:r>
          </w:p>
        </w:tc>
        <w:tc>
          <w:tcPr>
            <w:tcW w:w="776" w:type="pct"/>
            <w:tcBorders>
              <w:top w:val="single" w:sz="4" w:space="0" w:color="auto"/>
              <w:left w:val="nil"/>
              <w:bottom w:val="single" w:sz="4" w:space="0" w:color="auto"/>
              <w:right w:val="nil"/>
            </w:tcBorders>
            <w:shd w:val="clear" w:color="auto" w:fill="auto"/>
            <w:noWrap/>
            <w:vAlign w:val="bottom"/>
            <w:hideMark/>
          </w:tcPr>
          <w:p w14:paraId="4BF271DF" w14:textId="5A3E67B9"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(1,263)</w:t>
            </w:r>
          </w:p>
        </w:tc>
        <w:tc>
          <w:tcPr>
            <w:tcW w:w="621" w:type="pct"/>
            <w:tcBorders>
              <w:top w:val="single" w:sz="4" w:space="0" w:color="auto"/>
              <w:left w:val="nil"/>
              <w:bottom w:val="single" w:sz="4" w:space="0" w:color="auto"/>
              <w:right w:val="nil"/>
            </w:tcBorders>
            <w:shd w:val="clear" w:color="auto" w:fill="auto"/>
            <w:noWrap/>
            <w:vAlign w:val="bottom"/>
            <w:hideMark/>
          </w:tcPr>
          <w:p w14:paraId="2F074351" w14:textId="48BE34F5"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 xml:space="preserve">3,147 </w:t>
            </w:r>
          </w:p>
        </w:tc>
      </w:tr>
      <w:tr w:rsidR="004C7942" w:rsidRPr="007E4799" w14:paraId="205AB87D" w14:textId="77777777" w:rsidTr="004C7942">
        <w:trPr>
          <w:trHeight w:val="204"/>
        </w:trPr>
        <w:tc>
          <w:tcPr>
            <w:tcW w:w="2226" w:type="pct"/>
            <w:tcBorders>
              <w:top w:val="nil"/>
              <w:left w:val="nil"/>
              <w:bottom w:val="single" w:sz="4" w:space="0" w:color="000000"/>
              <w:right w:val="nil"/>
            </w:tcBorders>
            <w:shd w:val="clear" w:color="auto" w:fill="auto"/>
            <w:vAlign w:val="center"/>
            <w:hideMark/>
          </w:tcPr>
          <w:p w14:paraId="6C4B843F" w14:textId="54AE13CF" w:rsidR="004C7942" w:rsidRPr="007E4799" w:rsidRDefault="004C7942" w:rsidP="004C7942">
            <w:pPr>
              <w:spacing w:before="0" w:after="0" w:line="240" w:lineRule="auto"/>
              <w:rPr>
                <w:rFonts w:ascii="Arial" w:hAnsi="Arial" w:cs="Arial"/>
                <w:b/>
                <w:bCs/>
                <w:color w:val="000000"/>
                <w:sz w:val="16"/>
                <w:szCs w:val="16"/>
              </w:rPr>
            </w:pPr>
            <w:r w:rsidRPr="007E4799">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7E4799">
              <w:rPr>
                <w:rFonts w:ascii="Arial" w:hAnsi="Arial" w:cs="Arial"/>
                <w:b/>
                <w:bCs/>
                <w:color w:val="000000"/>
                <w:sz w:val="16"/>
                <w:szCs w:val="16"/>
              </w:rPr>
              <w:t>the Australian Government</w:t>
            </w:r>
          </w:p>
        </w:tc>
        <w:tc>
          <w:tcPr>
            <w:tcW w:w="635" w:type="pct"/>
            <w:tcBorders>
              <w:top w:val="nil"/>
              <w:left w:val="nil"/>
              <w:bottom w:val="single" w:sz="4" w:space="0" w:color="auto"/>
              <w:right w:val="nil"/>
            </w:tcBorders>
            <w:shd w:val="clear" w:color="auto" w:fill="auto"/>
            <w:noWrap/>
            <w:vAlign w:val="bottom"/>
            <w:hideMark/>
          </w:tcPr>
          <w:p w14:paraId="281D5D86" w14:textId="2CA29BA5"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 xml:space="preserve">4,435 </w:t>
            </w:r>
          </w:p>
        </w:tc>
        <w:tc>
          <w:tcPr>
            <w:tcW w:w="742" w:type="pct"/>
            <w:tcBorders>
              <w:top w:val="nil"/>
              <w:left w:val="nil"/>
              <w:bottom w:val="single" w:sz="4" w:space="0" w:color="auto"/>
              <w:right w:val="nil"/>
            </w:tcBorders>
            <w:shd w:val="clear" w:color="auto" w:fill="auto"/>
            <w:noWrap/>
            <w:vAlign w:val="bottom"/>
            <w:hideMark/>
          </w:tcPr>
          <w:p w14:paraId="0999A23E" w14:textId="4440180F"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(25)</w:t>
            </w:r>
          </w:p>
        </w:tc>
        <w:tc>
          <w:tcPr>
            <w:tcW w:w="776" w:type="pct"/>
            <w:tcBorders>
              <w:top w:val="nil"/>
              <w:left w:val="nil"/>
              <w:bottom w:val="single" w:sz="4" w:space="0" w:color="auto"/>
              <w:right w:val="nil"/>
            </w:tcBorders>
            <w:shd w:val="clear" w:color="auto" w:fill="auto"/>
            <w:noWrap/>
            <w:vAlign w:val="bottom"/>
            <w:hideMark/>
          </w:tcPr>
          <w:p w14:paraId="0B205C5B" w14:textId="7D1B5823"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(1,263)</w:t>
            </w:r>
          </w:p>
        </w:tc>
        <w:tc>
          <w:tcPr>
            <w:tcW w:w="621" w:type="pct"/>
            <w:tcBorders>
              <w:top w:val="nil"/>
              <w:left w:val="nil"/>
              <w:bottom w:val="single" w:sz="4" w:space="0" w:color="auto"/>
              <w:right w:val="nil"/>
            </w:tcBorders>
            <w:shd w:val="clear" w:color="auto" w:fill="auto"/>
            <w:noWrap/>
            <w:vAlign w:val="bottom"/>
            <w:hideMark/>
          </w:tcPr>
          <w:p w14:paraId="7383BF9C" w14:textId="393DDE11" w:rsidR="004C7942" w:rsidRPr="00603CF4" w:rsidRDefault="004C7942" w:rsidP="004C7942">
            <w:pPr>
              <w:spacing w:before="0" w:after="0" w:line="240" w:lineRule="auto"/>
              <w:jc w:val="right"/>
              <w:rPr>
                <w:rFonts w:ascii="Arial" w:hAnsi="Arial" w:cs="Arial"/>
                <w:b/>
                <w:bCs/>
                <w:color w:val="000000"/>
                <w:sz w:val="16"/>
                <w:szCs w:val="16"/>
                <w:highlight w:val="yellow"/>
              </w:rPr>
            </w:pPr>
            <w:r w:rsidRPr="000640AD">
              <w:rPr>
                <w:rFonts w:ascii="Arial" w:hAnsi="Arial" w:cs="Arial"/>
                <w:b/>
                <w:bCs/>
                <w:color w:val="000000"/>
                <w:sz w:val="16"/>
                <w:szCs w:val="16"/>
              </w:rPr>
              <w:t xml:space="preserve">3,147 </w:t>
            </w:r>
          </w:p>
        </w:tc>
      </w:tr>
    </w:tbl>
    <w:p w14:paraId="53644DC7" w14:textId="77777777" w:rsidR="00FA354D" w:rsidRPr="00132F9E" w:rsidRDefault="00FA354D" w:rsidP="00FA354D">
      <w:pPr>
        <w:pStyle w:val="ChartandTableFootnote"/>
        <w:rPr>
          <w:szCs w:val="16"/>
        </w:rPr>
      </w:pPr>
      <w:r w:rsidRPr="00D606C2">
        <w:t>Prepared on Australian Accounting Standards basis</w:t>
      </w:r>
      <w:r>
        <w:t xml:space="preserve">. </w:t>
      </w:r>
    </w:p>
    <w:p w14:paraId="4A08B83D" w14:textId="2A1BAD68" w:rsidR="00FA354D" w:rsidRDefault="00FA354D" w:rsidP="00FA354D">
      <w:pPr>
        <w:pStyle w:val="TableHeading"/>
      </w:pPr>
      <w:r>
        <w:br w:type="page"/>
      </w:r>
      <w:r w:rsidRPr="00C23D50">
        <w:lastRenderedPageBreak/>
        <w:t xml:space="preserve">Table 3.4: Budgeted </w:t>
      </w:r>
      <w:r w:rsidR="003352C5">
        <w:t>Departmental</w:t>
      </w:r>
      <w:r w:rsidRPr="00C23D50">
        <w:t xml:space="preserve"> statement of cash flows (for the period ended 30 June)</w:t>
      </w:r>
      <w:r w:rsidRPr="00AA1810">
        <w:t xml:space="preserve"> </w:t>
      </w:r>
    </w:p>
    <w:tbl>
      <w:tblPr>
        <w:tblW w:w="5000" w:type="pct"/>
        <w:tblLook w:val="04A0" w:firstRow="1" w:lastRow="0" w:firstColumn="1" w:lastColumn="0" w:noHBand="0" w:noVBand="1"/>
      </w:tblPr>
      <w:tblGrid>
        <w:gridCol w:w="3238"/>
        <w:gridCol w:w="933"/>
        <w:gridCol w:w="885"/>
        <w:gridCol w:w="885"/>
        <w:gridCol w:w="885"/>
        <w:gridCol w:w="884"/>
      </w:tblGrid>
      <w:tr w:rsidR="00603CF4" w:rsidRPr="007C039B" w14:paraId="5F387696" w14:textId="77777777" w:rsidTr="00B219F6">
        <w:trPr>
          <w:trHeight w:val="204"/>
        </w:trPr>
        <w:tc>
          <w:tcPr>
            <w:tcW w:w="2100" w:type="pct"/>
            <w:tcBorders>
              <w:top w:val="single" w:sz="4" w:space="0" w:color="auto"/>
              <w:left w:val="nil"/>
              <w:bottom w:val="nil"/>
              <w:right w:val="nil"/>
            </w:tcBorders>
            <w:shd w:val="clear" w:color="auto" w:fill="auto"/>
            <w:noWrap/>
            <w:hideMark/>
          </w:tcPr>
          <w:p w14:paraId="4B90DA0C" w14:textId="77777777" w:rsidR="00603CF4" w:rsidRPr="004C7942" w:rsidRDefault="00603CF4" w:rsidP="00603CF4">
            <w:pPr>
              <w:spacing w:before="0" w:after="0" w:line="240" w:lineRule="auto"/>
              <w:rPr>
                <w:rFonts w:ascii="Arial" w:hAnsi="Arial" w:cs="Arial"/>
                <w:b/>
                <w:bCs/>
                <w:sz w:val="16"/>
                <w:szCs w:val="16"/>
              </w:rPr>
            </w:pPr>
            <w:r w:rsidRPr="004C7942">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F09C8B1" w14:textId="35EA66C8"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Estimated</w:t>
            </w:r>
            <w:r w:rsidRPr="004C7942">
              <w:rPr>
                <w:rFonts w:ascii="Arial" w:hAnsi="Arial" w:cs="Arial"/>
                <w:sz w:val="16"/>
                <w:szCs w:val="16"/>
              </w:rPr>
              <w:br/>
              <w:t>actual</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0564E8F9" w14:textId="5268ABD7"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Budget</w:t>
            </w:r>
            <w:r w:rsidRPr="004C7942">
              <w:rPr>
                <w:rFonts w:ascii="Arial" w:hAnsi="Arial" w:cs="Arial"/>
                <w:sz w:val="16"/>
                <w:szCs w:val="16"/>
              </w:rPr>
              <w:br/>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B4A548E" w14:textId="3CC26BB9"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D9A72A0" w14:textId="0E68E8E2"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92C2FF3" w14:textId="41CC4255"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r>
      <w:tr w:rsidR="00603CF4" w:rsidRPr="007C039B" w14:paraId="0F294893" w14:textId="77777777" w:rsidTr="002964C0">
        <w:trPr>
          <w:trHeight w:val="204"/>
        </w:trPr>
        <w:tc>
          <w:tcPr>
            <w:tcW w:w="2100" w:type="pct"/>
            <w:tcBorders>
              <w:top w:val="nil"/>
              <w:left w:val="nil"/>
              <w:bottom w:val="nil"/>
              <w:right w:val="nil"/>
            </w:tcBorders>
            <w:shd w:val="clear" w:color="auto" w:fill="auto"/>
            <w:noWrap/>
            <w:vAlign w:val="center"/>
            <w:hideMark/>
          </w:tcPr>
          <w:p w14:paraId="142A3542"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3249D382" w14:textId="77777777" w:rsidR="00603CF4" w:rsidRPr="00917BB0" w:rsidRDefault="00603CF4" w:rsidP="00603CF4">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543F459" w14:textId="77777777" w:rsidR="00603CF4" w:rsidRPr="00917BB0" w:rsidRDefault="00603CF4" w:rsidP="00603CF4">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B01D72B" w14:textId="77777777" w:rsidR="00603CF4" w:rsidRPr="00917BB0" w:rsidRDefault="00603CF4" w:rsidP="00603CF4">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0A8687D" w14:textId="77777777" w:rsidR="00603CF4" w:rsidRPr="00917BB0" w:rsidRDefault="00603CF4" w:rsidP="00603CF4">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7BD2B0C" w14:textId="77777777" w:rsidR="00603CF4" w:rsidRPr="00917BB0" w:rsidRDefault="00603CF4" w:rsidP="00603CF4">
            <w:pPr>
              <w:spacing w:before="0" w:after="0" w:line="240" w:lineRule="auto"/>
              <w:jc w:val="right"/>
              <w:rPr>
                <w:rFonts w:ascii="Times New Roman" w:hAnsi="Times New Roman"/>
                <w:sz w:val="20"/>
              </w:rPr>
            </w:pPr>
          </w:p>
        </w:tc>
      </w:tr>
      <w:tr w:rsidR="00603CF4" w:rsidRPr="007C039B" w14:paraId="5A55D4C2" w14:textId="77777777" w:rsidTr="004C7942">
        <w:trPr>
          <w:trHeight w:val="95"/>
        </w:trPr>
        <w:tc>
          <w:tcPr>
            <w:tcW w:w="2100" w:type="pct"/>
            <w:tcBorders>
              <w:top w:val="nil"/>
              <w:left w:val="nil"/>
              <w:bottom w:val="nil"/>
              <w:right w:val="nil"/>
            </w:tcBorders>
            <w:shd w:val="clear" w:color="auto" w:fill="auto"/>
            <w:noWrap/>
            <w:vAlign w:val="center"/>
            <w:hideMark/>
          </w:tcPr>
          <w:p w14:paraId="3DD1ECD8"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977F236" w14:textId="77777777" w:rsidR="00603CF4" w:rsidRPr="00917BB0" w:rsidRDefault="00603CF4" w:rsidP="00603CF4">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993CFFE" w14:textId="77777777" w:rsidR="00603CF4" w:rsidRPr="00917BB0" w:rsidRDefault="00603CF4" w:rsidP="00603CF4">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69F1CF6" w14:textId="77777777" w:rsidR="00603CF4" w:rsidRPr="00917BB0" w:rsidRDefault="00603CF4" w:rsidP="00603CF4">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126F377" w14:textId="77777777" w:rsidR="00603CF4" w:rsidRPr="00917BB0" w:rsidRDefault="00603CF4" w:rsidP="00603CF4">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E56FDDD" w14:textId="77777777" w:rsidR="00603CF4" w:rsidRPr="00917BB0" w:rsidRDefault="00603CF4" w:rsidP="00603CF4">
            <w:pPr>
              <w:spacing w:before="0" w:after="0" w:line="240" w:lineRule="auto"/>
              <w:jc w:val="right"/>
              <w:rPr>
                <w:rFonts w:ascii="Times New Roman" w:hAnsi="Times New Roman"/>
                <w:sz w:val="20"/>
              </w:rPr>
            </w:pPr>
          </w:p>
        </w:tc>
      </w:tr>
      <w:tr w:rsidR="004C7942" w:rsidRPr="007C039B" w14:paraId="125A10B9" w14:textId="77777777" w:rsidTr="002964C0">
        <w:trPr>
          <w:trHeight w:val="204"/>
        </w:trPr>
        <w:tc>
          <w:tcPr>
            <w:tcW w:w="2100" w:type="pct"/>
            <w:tcBorders>
              <w:top w:val="nil"/>
              <w:left w:val="nil"/>
              <w:bottom w:val="nil"/>
              <w:right w:val="nil"/>
            </w:tcBorders>
            <w:shd w:val="clear" w:color="auto" w:fill="auto"/>
            <w:noWrap/>
            <w:vAlign w:val="center"/>
            <w:hideMark/>
          </w:tcPr>
          <w:p w14:paraId="29D00FA3" w14:textId="77777777"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2DF4AF0A" w14:textId="5C9510DA"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13,247</w:t>
            </w:r>
          </w:p>
        </w:tc>
        <w:tc>
          <w:tcPr>
            <w:tcW w:w="574" w:type="pct"/>
            <w:tcBorders>
              <w:top w:val="nil"/>
              <w:left w:val="nil"/>
              <w:bottom w:val="nil"/>
              <w:right w:val="nil"/>
            </w:tcBorders>
            <w:shd w:val="clear" w:color="000000" w:fill="E6E6E6"/>
            <w:noWrap/>
            <w:vAlign w:val="bottom"/>
            <w:hideMark/>
          </w:tcPr>
          <w:p w14:paraId="1EEBEFC5" w14:textId="5DB46FEF"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13,395</w:t>
            </w:r>
          </w:p>
        </w:tc>
        <w:tc>
          <w:tcPr>
            <w:tcW w:w="574" w:type="pct"/>
            <w:tcBorders>
              <w:top w:val="nil"/>
              <w:left w:val="nil"/>
              <w:bottom w:val="nil"/>
              <w:right w:val="nil"/>
            </w:tcBorders>
            <w:shd w:val="clear" w:color="auto" w:fill="auto"/>
            <w:noWrap/>
            <w:vAlign w:val="bottom"/>
            <w:hideMark/>
          </w:tcPr>
          <w:p w14:paraId="5C5A29F0" w14:textId="6E36FD83"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13,612</w:t>
            </w:r>
          </w:p>
        </w:tc>
        <w:tc>
          <w:tcPr>
            <w:tcW w:w="574" w:type="pct"/>
            <w:tcBorders>
              <w:top w:val="nil"/>
              <w:left w:val="nil"/>
              <w:bottom w:val="nil"/>
              <w:right w:val="nil"/>
            </w:tcBorders>
            <w:shd w:val="clear" w:color="auto" w:fill="auto"/>
            <w:noWrap/>
            <w:vAlign w:val="bottom"/>
            <w:hideMark/>
          </w:tcPr>
          <w:p w14:paraId="0A07C012" w14:textId="4EA874B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13,784</w:t>
            </w:r>
          </w:p>
        </w:tc>
        <w:tc>
          <w:tcPr>
            <w:tcW w:w="573" w:type="pct"/>
            <w:tcBorders>
              <w:top w:val="nil"/>
              <w:left w:val="nil"/>
              <w:bottom w:val="nil"/>
              <w:right w:val="nil"/>
            </w:tcBorders>
            <w:shd w:val="clear" w:color="auto" w:fill="auto"/>
            <w:noWrap/>
            <w:vAlign w:val="bottom"/>
            <w:hideMark/>
          </w:tcPr>
          <w:p w14:paraId="66602AE2" w14:textId="2F916592" w:rsidR="004C7942" w:rsidRPr="00603CF4" w:rsidRDefault="004C7942" w:rsidP="004C7942">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13,768</w:t>
            </w:r>
          </w:p>
        </w:tc>
      </w:tr>
      <w:tr w:rsidR="004C7942" w:rsidRPr="007C039B" w14:paraId="5396259D" w14:textId="77777777" w:rsidTr="002964C0">
        <w:trPr>
          <w:trHeight w:val="204"/>
        </w:trPr>
        <w:tc>
          <w:tcPr>
            <w:tcW w:w="2100" w:type="pct"/>
            <w:tcBorders>
              <w:top w:val="nil"/>
              <w:left w:val="nil"/>
              <w:bottom w:val="nil"/>
              <w:right w:val="nil"/>
            </w:tcBorders>
            <w:shd w:val="clear" w:color="auto" w:fill="auto"/>
            <w:noWrap/>
            <w:vAlign w:val="center"/>
            <w:hideMark/>
          </w:tcPr>
          <w:p w14:paraId="24403CE9" w14:textId="77777777"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F6D76DC" w14:textId="77F25F83"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494</w:t>
            </w:r>
          </w:p>
        </w:tc>
        <w:tc>
          <w:tcPr>
            <w:tcW w:w="574" w:type="pct"/>
            <w:tcBorders>
              <w:top w:val="nil"/>
              <w:left w:val="nil"/>
              <w:bottom w:val="nil"/>
              <w:right w:val="nil"/>
            </w:tcBorders>
            <w:shd w:val="clear" w:color="000000" w:fill="E6E6E6"/>
            <w:noWrap/>
            <w:vAlign w:val="bottom"/>
            <w:hideMark/>
          </w:tcPr>
          <w:p w14:paraId="3575A2F3" w14:textId="28471DC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458</w:t>
            </w:r>
          </w:p>
        </w:tc>
        <w:tc>
          <w:tcPr>
            <w:tcW w:w="574" w:type="pct"/>
            <w:tcBorders>
              <w:top w:val="nil"/>
              <w:left w:val="nil"/>
              <w:bottom w:val="nil"/>
              <w:right w:val="nil"/>
            </w:tcBorders>
            <w:shd w:val="clear" w:color="auto" w:fill="auto"/>
            <w:noWrap/>
            <w:vAlign w:val="bottom"/>
            <w:hideMark/>
          </w:tcPr>
          <w:p w14:paraId="7CF9139F" w14:textId="4B4D1DA6"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458</w:t>
            </w:r>
          </w:p>
        </w:tc>
        <w:tc>
          <w:tcPr>
            <w:tcW w:w="574" w:type="pct"/>
            <w:tcBorders>
              <w:top w:val="nil"/>
              <w:left w:val="nil"/>
              <w:bottom w:val="nil"/>
              <w:right w:val="nil"/>
            </w:tcBorders>
            <w:shd w:val="clear" w:color="auto" w:fill="auto"/>
            <w:noWrap/>
            <w:vAlign w:val="bottom"/>
            <w:hideMark/>
          </w:tcPr>
          <w:p w14:paraId="7A72C8AC" w14:textId="68774D68"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458</w:t>
            </w:r>
          </w:p>
        </w:tc>
        <w:tc>
          <w:tcPr>
            <w:tcW w:w="573" w:type="pct"/>
            <w:tcBorders>
              <w:top w:val="nil"/>
              <w:left w:val="nil"/>
              <w:bottom w:val="nil"/>
              <w:right w:val="nil"/>
            </w:tcBorders>
            <w:shd w:val="clear" w:color="auto" w:fill="auto"/>
            <w:noWrap/>
            <w:vAlign w:val="bottom"/>
            <w:hideMark/>
          </w:tcPr>
          <w:p w14:paraId="20896FE3" w14:textId="43E18265"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458</w:t>
            </w:r>
          </w:p>
        </w:tc>
      </w:tr>
      <w:tr w:rsidR="004C7942" w:rsidRPr="007C039B" w14:paraId="75EBEACC" w14:textId="77777777" w:rsidTr="002964C0">
        <w:trPr>
          <w:trHeight w:val="204"/>
        </w:trPr>
        <w:tc>
          <w:tcPr>
            <w:tcW w:w="2100" w:type="pct"/>
            <w:tcBorders>
              <w:top w:val="nil"/>
              <w:left w:val="nil"/>
              <w:bottom w:val="nil"/>
              <w:right w:val="nil"/>
            </w:tcBorders>
            <w:shd w:val="clear" w:color="auto" w:fill="auto"/>
            <w:noWrap/>
            <w:vAlign w:val="center"/>
          </w:tcPr>
          <w:p w14:paraId="422DE32F" w14:textId="77777777" w:rsidR="004C7942" w:rsidRPr="007C039B" w:rsidRDefault="004C7942" w:rsidP="004C7942">
            <w:pPr>
              <w:spacing w:before="0" w:after="0" w:line="240" w:lineRule="auto"/>
              <w:ind w:left="113"/>
              <w:rPr>
                <w:rFonts w:ascii="Arial" w:hAnsi="Arial" w:cs="Arial"/>
                <w:color w:val="000000"/>
                <w:sz w:val="16"/>
                <w:szCs w:val="16"/>
              </w:rPr>
            </w:pPr>
            <w:r>
              <w:rPr>
                <w:rFonts w:ascii="Arial" w:hAnsi="Arial" w:cs="Arial"/>
                <w:color w:val="000000"/>
                <w:sz w:val="16"/>
                <w:szCs w:val="16"/>
              </w:rPr>
              <w:t xml:space="preserve">Net GST received </w:t>
            </w:r>
          </w:p>
        </w:tc>
        <w:tc>
          <w:tcPr>
            <w:tcW w:w="605" w:type="pct"/>
            <w:tcBorders>
              <w:top w:val="nil"/>
              <w:left w:val="nil"/>
              <w:bottom w:val="nil"/>
              <w:right w:val="nil"/>
            </w:tcBorders>
            <w:shd w:val="clear" w:color="auto" w:fill="auto"/>
            <w:noWrap/>
            <w:vAlign w:val="bottom"/>
          </w:tcPr>
          <w:p w14:paraId="7571522B" w14:textId="3D5440F2"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38</w:t>
            </w:r>
          </w:p>
        </w:tc>
        <w:tc>
          <w:tcPr>
            <w:tcW w:w="574" w:type="pct"/>
            <w:tcBorders>
              <w:top w:val="nil"/>
              <w:left w:val="nil"/>
              <w:bottom w:val="nil"/>
              <w:right w:val="nil"/>
            </w:tcBorders>
            <w:shd w:val="clear" w:color="000000" w:fill="E6E6E6"/>
            <w:noWrap/>
            <w:vAlign w:val="bottom"/>
          </w:tcPr>
          <w:p w14:paraId="176A427F" w14:textId="644C5F1A"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8</w:t>
            </w:r>
          </w:p>
        </w:tc>
        <w:tc>
          <w:tcPr>
            <w:tcW w:w="574" w:type="pct"/>
            <w:tcBorders>
              <w:top w:val="nil"/>
              <w:left w:val="nil"/>
              <w:bottom w:val="nil"/>
              <w:right w:val="nil"/>
            </w:tcBorders>
            <w:shd w:val="clear" w:color="auto" w:fill="auto"/>
            <w:noWrap/>
            <w:vAlign w:val="bottom"/>
          </w:tcPr>
          <w:p w14:paraId="6285B3D0" w14:textId="60E94475"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tcPr>
          <w:p w14:paraId="3E501CD0" w14:textId="6FF4187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tcPr>
          <w:p w14:paraId="226E20C5" w14:textId="025A7C06"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r>
      <w:tr w:rsidR="004C7942" w:rsidRPr="007C039B" w14:paraId="634D915B" w14:textId="77777777" w:rsidTr="002964C0">
        <w:trPr>
          <w:trHeight w:val="204"/>
        </w:trPr>
        <w:tc>
          <w:tcPr>
            <w:tcW w:w="2100" w:type="pct"/>
            <w:tcBorders>
              <w:top w:val="nil"/>
              <w:left w:val="nil"/>
              <w:bottom w:val="nil"/>
              <w:right w:val="nil"/>
            </w:tcBorders>
            <w:shd w:val="clear" w:color="auto" w:fill="auto"/>
            <w:noWrap/>
            <w:vAlign w:val="center"/>
            <w:hideMark/>
          </w:tcPr>
          <w:p w14:paraId="769B8E04" w14:textId="77777777"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48A41DAC" w14:textId="6454A50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252</w:t>
            </w:r>
          </w:p>
        </w:tc>
        <w:tc>
          <w:tcPr>
            <w:tcW w:w="574" w:type="pct"/>
            <w:tcBorders>
              <w:top w:val="nil"/>
              <w:left w:val="nil"/>
              <w:bottom w:val="nil"/>
              <w:right w:val="nil"/>
            </w:tcBorders>
            <w:shd w:val="clear" w:color="000000" w:fill="E6E6E6"/>
            <w:noWrap/>
            <w:vAlign w:val="bottom"/>
            <w:hideMark/>
          </w:tcPr>
          <w:p w14:paraId="5B1330D1" w14:textId="1E4CF0B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0A4499E5" w14:textId="08BC6DA9"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04D0A31D" w14:textId="3FC7AE8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c>
          <w:tcPr>
            <w:tcW w:w="573" w:type="pct"/>
            <w:tcBorders>
              <w:top w:val="nil"/>
              <w:left w:val="nil"/>
              <w:bottom w:val="nil"/>
              <w:right w:val="nil"/>
            </w:tcBorders>
            <w:shd w:val="clear" w:color="auto" w:fill="auto"/>
            <w:noWrap/>
            <w:vAlign w:val="bottom"/>
            <w:hideMark/>
          </w:tcPr>
          <w:p w14:paraId="530E367F" w14:textId="6A806655"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w:t>
            </w:r>
          </w:p>
        </w:tc>
      </w:tr>
      <w:tr w:rsidR="004C7942" w:rsidRPr="007C039B" w14:paraId="7A71015E" w14:textId="77777777" w:rsidTr="002964C0">
        <w:trPr>
          <w:trHeight w:val="204"/>
        </w:trPr>
        <w:tc>
          <w:tcPr>
            <w:tcW w:w="2100" w:type="pct"/>
            <w:tcBorders>
              <w:top w:val="nil"/>
              <w:left w:val="nil"/>
              <w:bottom w:val="nil"/>
              <w:right w:val="nil"/>
            </w:tcBorders>
            <w:shd w:val="clear" w:color="auto" w:fill="auto"/>
            <w:noWrap/>
            <w:vAlign w:val="center"/>
            <w:hideMark/>
          </w:tcPr>
          <w:p w14:paraId="31CE4D7D" w14:textId="77777777" w:rsidR="004C7942" w:rsidRPr="007C039B" w:rsidRDefault="004C7942" w:rsidP="004C7942">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27F90CC" w14:textId="5AE2C888"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14,031</w:t>
            </w:r>
          </w:p>
        </w:tc>
        <w:tc>
          <w:tcPr>
            <w:tcW w:w="574" w:type="pct"/>
            <w:tcBorders>
              <w:top w:val="single" w:sz="4" w:space="0" w:color="000000"/>
              <w:left w:val="nil"/>
              <w:bottom w:val="single" w:sz="4" w:space="0" w:color="000000"/>
              <w:right w:val="nil"/>
            </w:tcBorders>
            <w:shd w:val="clear" w:color="000000" w:fill="E6E6E6"/>
            <w:noWrap/>
            <w:vAlign w:val="bottom"/>
            <w:hideMark/>
          </w:tcPr>
          <w:p w14:paraId="02E2BA87" w14:textId="4933FAB3"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13,861</w:t>
            </w:r>
          </w:p>
        </w:tc>
        <w:tc>
          <w:tcPr>
            <w:tcW w:w="574" w:type="pct"/>
            <w:tcBorders>
              <w:top w:val="single" w:sz="4" w:space="0" w:color="000000"/>
              <w:left w:val="nil"/>
              <w:bottom w:val="single" w:sz="4" w:space="0" w:color="000000"/>
              <w:right w:val="nil"/>
            </w:tcBorders>
            <w:shd w:val="clear" w:color="auto" w:fill="auto"/>
            <w:noWrap/>
            <w:vAlign w:val="bottom"/>
            <w:hideMark/>
          </w:tcPr>
          <w:p w14:paraId="4F1A8D68" w14:textId="6A257114"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14,070</w:t>
            </w:r>
          </w:p>
        </w:tc>
        <w:tc>
          <w:tcPr>
            <w:tcW w:w="574" w:type="pct"/>
            <w:tcBorders>
              <w:top w:val="single" w:sz="4" w:space="0" w:color="000000"/>
              <w:left w:val="nil"/>
              <w:bottom w:val="single" w:sz="4" w:space="0" w:color="000000"/>
              <w:right w:val="nil"/>
            </w:tcBorders>
            <w:shd w:val="clear" w:color="auto" w:fill="auto"/>
            <w:noWrap/>
            <w:vAlign w:val="bottom"/>
            <w:hideMark/>
          </w:tcPr>
          <w:p w14:paraId="48AFA9BF" w14:textId="396FF41E"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14,242</w:t>
            </w:r>
          </w:p>
        </w:tc>
        <w:tc>
          <w:tcPr>
            <w:tcW w:w="573" w:type="pct"/>
            <w:tcBorders>
              <w:top w:val="single" w:sz="4" w:space="0" w:color="000000"/>
              <w:left w:val="nil"/>
              <w:bottom w:val="single" w:sz="4" w:space="0" w:color="000000"/>
              <w:right w:val="nil"/>
            </w:tcBorders>
            <w:shd w:val="clear" w:color="auto" w:fill="auto"/>
            <w:noWrap/>
            <w:vAlign w:val="bottom"/>
            <w:hideMark/>
          </w:tcPr>
          <w:p w14:paraId="160FE280" w14:textId="16F4F34D" w:rsidR="004C7942" w:rsidRPr="00603CF4" w:rsidRDefault="004C7942" w:rsidP="004C7942">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14,226</w:t>
            </w:r>
          </w:p>
        </w:tc>
      </w:tr>
      <w:tr w:rsidR="00603CF4" w:rsidRPr="007C039B" w14:paraId="772C2730" w14:textId="77777777" w:rsidTr="002964C0">
        <w:trPr>
          <w:trHeight w:val="204"/>
        </w:trPr>
        <w:tc>
          <w:tcPr>
            <w:tcW w:w="2100" w:type="pct"/>
            <w:tcBorders>
              <w:top w:val="nil"/>
              <w:left w:val="nil"/>
              <w:bottom w:val="nil"/>
              <w:right w:val="nil"/>
            </w:tcBorders>
            <w:shd w:val="clear" w:color="auto" w:fill="auto"/>
            <w:noWrap/>
            <w:vAlign w:val="center"/>
            <w:hideMark/>
          </w:tcPr>
          <w:p w14:paraId="5C4E6E2E"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47E5BE71" w14:textId="77777777" w:rsidR="00603CF4" w:rsidRPr="00603CF4" w:rsidRDefault="00603CF4" w:rsidP="00603CF4">
            <w:pPr>
              <w:spacing w:before="0" w:after="0" w:line="240" w:lineRule="auto"/>
              <w:jc w:val="right"/>
              <w:rPr>
                <w:rFonts w:ascii="Arial" w:hAnsi="Arial" w:cs="Arial"/>
                <w:b/>
                <w:bCs/>
                <w:color w:val="000000"/>
                <w:sz w:val="16"/>
                <w:szCs w:val="16"/>
                <w:highlight w:val="yellow"/>
              </w:rPr>
            </w:pPr>
          </w:p>
        </w:tc>
        <w:tc>
          <w:tcPr>
            <w:tcW w:w="574" w:type="pct"/>
            <w:tcBorders>
              <w:top w:val="nil"/>
              <w:left w:val="nil"/>
              <w:bottom w:val="nil"/>
              <w:right w:val="nil"/>
            </w:tcBorders>
            <w:shd w:val="clear" w:color="000000" w:fill="E6E6E6"/>
            <w:noWrap/>
            <w:vAlign w:val="bottom"/>
            <w:hideMark/>
          </w:tcPr>
          <w:p w14:paraId="53C7C5D3"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31FD0226"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5248451E" w14:textId="77777777" w:rsidR="00603CF4" w:rsidRPr="00603CF4" w:rsidRDefault="00603CF4" w:rsidP="00603CF4">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39907D85" w14:textId="77777777" w:rsidR="00603CF4" w:rsidRPr="00603CF4" w:rsidRDefault="00603CF4" w:rsidP="00603CF4">
            <w:pPr>
              <w:spacing w:before="0" w:after="0" w:line="240" w:lineRule="auto"/>
              <w:jc w:val="right"/>
              <w:rPr>
                <w:rFonts w:ascii="Times New Roman" w:hAnsi="Times New Roman"/>
                <w:sz w:val="20"/>
                <w:highlight w:val="yellow"/>
              </w:rPr>
            </w:pPr>
          </w:p>
        </w:tc>
      </w:tr>
      <w:tr w:rsidR="004C7942" w:rsidRPr="007C039B" w14:paraId="0F9DD131" w14:textId="77777777" w:rsidTr="002964C0">
        <w:trPr>
          <w:trHeight w:val="204"/>
        </w:trPr>
        <w:tc>
          <w:tcPr>
            <w:tcW w:w="2100" w:type="pct"/>
            <w:tcBorders>
              <w:top w:val="nil"/>
              <w:left w:val="nil"/>
              <w:bottom w:val="nil"/>
              <w:right w:val="nil"/>
            </w:tcBorders>
            <w:shd w:val="clear" w:color="auto" w:fill="auto"/>
            <w:noWrap/>
            <w:vAlign w:val="center"/>
            <w:hideMark/>
          </w:tcPr>
          <w:p w14:paraId="73E84E67" w14:textId="77777777"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3214A9E6" w14:textId="4E2680A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8,764</w:t>
            </w:r>
          </w:p>
        </w:tc>
        <w:tc>
          <w:tcPr>
            <w:tcW w:w="574" w:type="pct"/>
            <w:tcBorders>
              <w:top w:val="nil"/>
              <w:left w:val="nil"/>
              <w:bottom w:val="nil"/>
              <w:right w:val="nil"/>
            </w:tcBorders>
            <w:shd w:val="clear" w:color="000000" w:fill="E6E6E6"/>
            <w:noWrap/>
            <w:vAlign w:val="bottom"/>
            <w:hideMark/>
          </w:tcPr>
          <w:p w14:paraId="5DC6A65C" w14:textId="3621680C"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9,457</w:t>
            </w:r>
          </w:p>
        </w:tc>
        <w:tc>
          <w:tcPr>
            <w:tcW w:w="574" w:type="pct"/>
            <w:tcBorders>
              <w:top w:val="nil"/>
              <w:left w:val="nil"/>
              <w:bottom w:val="nil"/>
              <w:right w:val="nil"/>
            </w:tcBorders>
            <w:shd w:val="clear" w:color="auto" w:fill="auto"/>
            <w:noWrap/>
            <w:vAlign w:val="bottom"/>
            <w:hideMark/>
          </w:tcPr>
          <w:p w14:paraId="28E8EE0A" w14:textId="3AA159B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10,122</w:t>
            </w:r>
          </w:p>
        </w:tc>
        <w:tc>
          <w:tcPr>
            <w:tcW w:w="574" w:type="pct"/>
            <w:tcBorders>
              <w:top w:val="nil"/>
              <w:left w:val="nil"/>
              <w:bottom w:val="nil"/>
              <w:right w:val="nil"/>
            </w:tcBorders>
            <w:shd w:val="clear" w:color="auto" w:fill="auto"/>
            <w:noWrap/>
            <w:vAlign w:val="bottom"/>
            <w:hideMark/>
          </w:tcPr>
          <w:p w14:paraId="0B00CE94" w14:textId="5AFCAF81"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10,424</w:t>
            </w:r>
          </w:p>
        </w:tc>
        <w:tc>
          <w:tcPr>
            <w:tcW w:w="573" w:type="pct"/>
            <w:tcBorders>
              <w:top w:val="nil"/>
              <w:left w:val="nil"/>
              <w:bottom w:val="nil"/>
              <w:right w:val="nil"/>
            </w:tcBorders>
            <w:shd w:val="clear" w:color="auto" w:fill="auto"/>
            <w:noWrap/>
            <w:vAlign w:val="bottom"/>
            <w:hideMark/>
          </w:tcPr>
          <w:p w14:paraId="3901A82E" w14:textId="2AE5CDC4"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10,735</w:t>
            </w:r>
          </w:p>
        </w:tc>
      </w:tr>
      <w:tr w:rsidR="004C7942" w:rsidRPr="007C039B" w14:paraId="3E9F4EF2" w14:textId="77777777" w:rsidTr="002964C0">
        <w:trPr>
          <w:trHeight w:val="204"/>
        </w:trPr>
        <w:tc>
          <w:tcPr>
            <w:tcW w:w="2100" w:type="pct"/>
            <w:tcBorders>
              <w:top w:val="nil"/>
              <w:left w:val="nil"/>
              <w:bottom w:val="nil"/>
              <w:right w:val="nil"/>
            </w:tcBorders>
            <w:shd w:val="clear" w:color="auto" w:fill="auto"/>
            <w:noWrap/>
            <w:vAlign w:val="center"/>
            <w:hideMark/>
          </w:tcPr>
          <w:p w14:paraId="346F0E88" w14:textId="77777777"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238D470F" w14:textId="4D13B33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3,306</w:t>
            </w:r>
          </w:p>
        </w:tc>
        <w:tc>
          <w:tcPr>
            <w:tcW w:w="574" w:type="pct"/>
            <w:tcBorders>
              <w:top w:val="nil"/>
              <w:left w:val="nil"/>
              <w:bottom w:val="nil"/>
              <w:right w:val="nil"/>
            </w:tcBorders>
            <w:shd w:val="clear" w:color="000000" w:fill="E6E6E6"/>
            <w:noWrap/>
            <w:vAlign w:val="bottom"/>
            <w:hideMark/>
          </w:tcPr>
          <w:p w14:paraId="7DEBC125" w14:textId="07D01F9A"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3,105</w:t>
            </w:r>
          </w:p>
        </w:tc>
        <w:tc>
          <w:tcPr>
            <w:tcW w:w="574" w:type="pct"/>
            <w:tcBorders>
              <w:top w:val="nil"/>
              <w:left w:val="nil"/>
              <w:bottom w:val="nil"/>
              <w:right w:val="nil"/>
            </w:tcBorders>
            <w:shd w:val="clear" w:color="auto" w:fill="auto"/>
            <w:noWrap/>
            <w:vAlign w:val="bottom"/>
            <w:hideMark/>
          </w:tcPr>
          <w:p w14:paraId="585D9935" w14:textId="565914C3"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3,121</w:t>
            </w:r>
          </w:p>
        </w:tc>
        <w:tc>
          <w:tcPr>
            <w:tcW w:w="574" w:type="pct"/>
            <w:tcBorders>
              <w:top w:val="nil"/>
              <w:left w:val="nil"/>
              <w:bottom w:val="nil"/>
              <w:right w:val="nil"/>
            </w:tcBorders>
            <w:shd w:val="clear" w:color="auto" w:fill="auto"/>
            <w:noWrap/>
            <w:vAlign w:val="bottom"/>
            <w:hideMark/>
          </w:tcPr>
          <w:p w14:paraId="19CB6E55" w14:textId="327E510F"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3,018</w:t>
            </w:r>
          </w:p>
        </w:tc>
        <w:tc>
          <w:tcPr>
            <w:tcW w:w="573" w:type="pct"/>
            <w:tcBorders>
              <w:top w:val="nil"/>
              <w:left w:val="nil"/>
              <w:bottom w:val="nil"/>
              <w:right w:val="nil"/>
            </w:tcBorders>
            <w:shd w:val="clear" w:color="auto" w:fill="auto"/>
            <w:noWrap/>
            <w:vAlign w:val="bottom"/>
            <w:hideMark/>
          </w:tcPr>
          <w:p w14:paraId="2C5471D2" w14:textId="32F88C95" w:rsidR="004C7942" w:rsidRPr="00603CF4" w:rsidRDefault="004C7942" w:rsidP="004C7942">
            <w:pPr>
              <w:spacing w:before="0" w:after="0" w:line="240" w:lineRule="auto"/>
              <w:jc w:val="right"/>
              <w:rPr>
                <w:rFonts w:ascii="Arial" w:hAnsi="Arial" w:cs="Arial"/>
                <w:color w:val="000000"/>
                <w:sz w:val="16"/>
                <w:szCs w:val="16"/>
                <w:highlight w:val="yellow"/>
              </w:rPr>
            </w:pPr>
            <w:r>
              <w:rPr>
                <w:rFonts w:ascii="Arial" w:hAnsi="Arial" w:cs="Arial"/>
                <w:color w:val="000000"/>
                <w:sz w:val="16"/>
                <w:szCs w:val="16"/>
              </w:rPr>
              <w:t>2,720</w:t>
            </w:r>
          </w:p>
        </w:tc>
      </w:tr>
      <w:tr w:rsidR="004C7942" w:rsidRPr="007C039B" w14:paraId="284031BF" w14:textId="77777777" w:rsidTr="002964C0">
        <w:trPr>
          <w:trHeight w:val="204"/>
        </w:trPr>
        <w:tc>
          <w:tcPr>
            <w:tcW w:w="2100" w:type="pct"/>
            <w:tcBorders>
              <w:top w:val="nil"/>
              <w:left w:val="nil"/>
              <w:bottom w:val="nil"/>
              <w:right w:val="nil"/>
            </w:tcBorders>
            <w:shd w:val="clear" w:color="auto" w:fill="auto"/>
            <w:vAlign w:val="center"/>
            <w:hideMark/>
          </w:tcPr>
          <w:p w14:paraId="00A46299" w14:textId="77777777" w:rsidR="004C7942" w:rsidRPr="007C039B" w:rsidRDefault="004C7942" w:rsidP="004C7942">
            <w:pPr>
              <w:spacing w:before="0" w:after="0" w:line="240" w:lineRule="auto"/>
              <w:ind w:left="113"/>
              <w:rPr>
                <w:rFonts w:ascii="Arial" w:hAnsi="Arial" w:cs="Arial"/>
                <w:sz w:val="16"/>
                <w:szCs w:val="16"/>
              </w:rPr>
            </w:pPr>
            <w:r w:rsidRPr="00F5380E">
              <w:rPr>
                <w:rFonts w:ascii="Arial" w:hAnsi="Arial" w:cs="Arial"/>
                <w:color w:val="000000"/>
                <w:sz w:val="16"/>
                <w:szCs w:val="16"/>
              </w:rPr>
              <w:t>Interest</w:t>
            </w:r>
            <w:r w:rsidRPr="007C039B">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3D674267" w14:textId="04360BB2"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40</w:t>
            </w:r>
          </w:p>
        </w:tc>
        <w:tc>
          <w:tcPr>
            <w:tcW w:w="574" w:type="pct"/>
            <w:tcBorders>
              <w:top w:val="nil"/>
              <w:left w:val="nil"/>
              <w:bottom w:val="nil"/>
              <w:right w:val="nil"/>
            </w:tcBorders>
            <w:shd w:val="clear" w:color="000000" w:fill="E6E6E6"/>
            <w:noWrap/>
            <w:vAlign w:val="bottom"/>
            <w:hideMark/>
          </w:tcPr>
          <w:p w14:paraId="3D6B3373" w14:textId="286B5DCB"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114</w:t>
            </w:r>
          </w:p>
        </w:tc>
        <w:tc>
          <w:tcPr>
            <w:tcW w:w="574" w:type="pct"/>
            <w:tcBorders>
              <w:top w:val="nil"/>
              <w:left w:val="nil"/>
              <w:bottom w:val="nil"/>
              <w:right w:val="nil"/>
            </w:tcBorders>
            <w:shd w:val="clear" w:color="auto" w:fill="auto"/>
            <w:noWrap/>
            <w:vAlign w:val="bottom"/>
            <w:hideMark/>
          </w:tcPr>
          <w:p w14:paraId="54A19366" w14:textId="39F9FC14"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105</w:t>
            </w:r>
          </w:p>
        </w:tc>
        <w:tc>
          <w:tcPr>
            <w:tcW w:w="574" w:type="pct"/>
            <w:tcBorders>
              <w:top w:val="nil"/>
              <w:left w:val="nil"/>
              <w:bottom w:val="nil"/>
              <w:right w:val="nil"/>
            </w:tcBorders>
            <w:shd w:val="clear" w:color="auto" w:fill="auto"/>
            <w:noWrap/>
            <w:vAlign w:val="bottom"/>
            <w:hideMark/>
          </w:tcPr>
          <w:p w14:paraId="55A09AFA" w14:textId="4648621C"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78</w:t>
            </w:r>
          </w:p>
        </w:tc>
        <w:tc>
          <w:tcPr>
            <w:tcW w:w="573" w:type="pct"/>
            <w:tcBorders>
              <w:top w:val="nil"/>
              <w:left w:val="nil"/>
              <w:bottom w:val="nil"/>
              <w:right w:val="nil"/>
            </w:tcBorders>
            <w:shd w:val="clear" w:color="auto" w:fill="auto"/>
            <w:noWrap/>
            <w:vAlign w:val="bottom"/>
            <w:hideMark/>
          </w:tcPr>
          <w:p w14:paraId="0D664A61" w14:textId="61E893A7"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49</w:t>
            </w:r>
          </w:p>
        </w:tc>
      </w:tr>
      <w:tr w:rsidR="004C7942" w:rsidRPr="007C039B" w14:paraId="3A4FEBE4" w14:textId="77777777" w:rsidTr="002964C0">
        <w:trPr>
          <w:trHeight w:val="204"/>
        </w:trPr>
        <w:tc>
          <w:tcPr>
            <w:tcW w:w="2100" w:type="pct"/>
            <w:tcBorders>
              <w:top w:val="nil"/>
              <w:left w:val="nil"/>
              <w:bottom w:val="nil"/>
              <w:right w:val="nil"/>
            </w:tcBorders>
            <w:shd w:val="clear" w:color="auto" w:fill="auto"/>
            <w:noWrap/>
            <w:vAlign w:val="center"/>
            <w:hideMark/>
          </w:tcPr>
          <w:p w14:paraId="5B137E29" w14:textId="77777777" w:rsidR="004C7942" w:rsidRPr="007C039B" w:rsidRDefault="004C7942" w:rsidP="004C7942">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15DBDCCA" w14:textId="32755273"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12,110</w:t>
            </w:r>
          </w:p>
        </w:tc>
        <w:tc>
          <w:tcPr>
            <w:tcW w:w="574" w:type="pct"/>
            <w:tcBorders>
              <w:top w:val="single" w:sz="4" w:space="0" w:color="000000"/>
              <w:left w:val="nil"/>
              <w:bottom w:val="nil"/>
              <w:right w:val="nil"/>
            </w:tcBorders>
            <w:shd w:val="clear" w:color="000000" w:fill="E6E6E6"/>
            <w:noWrap/>
            <w:vAlign w:val="bottom"/>
            <w:hideMark/>
          </w:tcPr>
          <w:p w14:paraId="2EB1E875" w14:textId="59E8C504"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12,676</w:t>
            </w:r>
          </w:p>
        </w:tc>
        <w:tc>
          <w:tcPr>
            <w:tcW w:w="574" w:type="pct"/>
            <w:tcBorders>
              <w:top w:val="single" w:sz="4" w:space="0" w:color="000000"/>
              <w:left w:val="nil"/>
              <w:bottom w:val="nil"/>
              <w:right w:val="nil"/>
            </w:tcBorders>
            <w:shd w:val="clear" w:color="auto" w:fill="auto"/>
            <w:noWrap/>
            <w:vAlign w:val="bottom"/>
            <w:hideMark/>
          </w:tcPr>
          <w:p w14:paraId="7A2F9762" w14:textId="51DB0FFB"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13,348</w:t>
            </w:r>
          </w:p>
        </w:tc>
        <w:tc>
          <w:tcPr>
            <w:tcW w:w="574" w:type="pct"/>
            <w:tcBorders>
              <w:top w:val="single" w:sz="4" w:space="0" w:color="000000"/>
              <w:left w:val="nil"/>
              <w:bottom w:val="nil"/>
              <w:right w:val="nil"/>
            </w:tcBorders>
            <w:shd w:val="clear" w:color="auto" w:fill="auto"/>
            <w:noWrap/>
            <w:vAlign w:val="bottom"/>
            <w:hideMark/>
          </w:tcPr>
          <w:p w14:paraId="0ECF845D" w14:textId="5C00EEBE"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13,520</w:t>
            </w:r>
          </w:p>
        </w:tc>
        <w:tc>
          <w:tcPr>
            <w:tcW w:w="573" w:type="pct"/>
            <w:tcBorders>
              <w:top w:val="single" w:sz="4" w:space="0" w:color="000000"/>
              <w:left w:val="nil"/>
              <w:bottom w:val="nil"/>
              <w:right w:val="nil"/>
            </w:tcBorders>
            <w:shd w:val="clear" w:color="auto" w:fill="auto"/>
            <w:noWrap/>
            <w:vAlign w:val="bottom"/>
            <w:hideMark/>
          </w:tcPr>
          <w:p w14:paraId="4A159DB4" w14:textId="2AD3D1B5" w:rsidR="004C7942" w:rsidRPr="00603CF4" w:rsidRDefault="004C7942" w:rsidP="004C7942">
            <w:pPr>
              <w:spacing w:before="0" w:after="0" w:line="240" w:lineRule="auto"/>
              <w:jc w:val="right"/>
              <w:rPr>
                <w:rFonts w:ascii="Arial" w:hAnsi="Arial" w:cs="Arial"/>
                <w:b/>
                <w:bCs/>
                <w:i/>
                <w:iCs/>
                <w:color w:val="000000"/>
                <w:sz w:val="16"/>
                <w:szCs w:val="16"/>
                <w:highlight w:val="yellow"/>
              </w:rPr>
            </w:pPr>
            <w:r>
              <w:rPr>
                <w:rFonts w:ascii="Arial" w:hAnsi="Arial" w:cs="Arial"/>
                <w:b/>
                <w:bCs/>
                <w:i/>
                <w:iCs/>
                <w:color w:val="000000"/>
                <w:sz w:val="16"/>
                <w:szCs w:val="16"/>
              </w:rPr>
              <w:t>13,504</w:t>
            </w:r>
          </w:p>
        </w:tc>
      </w:tr>
      <w:tr w:rsidR="004C7942" w:rsidRPr="007C039B" w14:paraId="1FC2800C" w14:textId="77777777" w:rsidTr="002964C0">
        <w:trPr>
          <w:trHeight w:val="204"/>
        </w:trPr>
        <w:tc>
          <w:tcPr>
            <w:tcW w:w="2100" w:type="pct"/>
            <w:tcBorders>
              <w:top w:val="nil"/>
              <w:left w:val="nil"/>
              <w:bottom w:val="nil"/>
              <w:right w:val="nil"/>
            </w:tcBorders>
            <w:shd w:val="clear" w:color="auto" w:fill="auto"/>
            <w:vAlign w:val="center"/>
            <w:hideMark/>
          </w:tcPr>
          <w:p w14:paraId="27195A14" w14:textId="77777777" w:rsidR="004C7942" w:rsidRPr="007C039B" w:rsidRDefault="004C7942" w:rsidP="004C7942">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12A1795A" w14:textId="1B20C8B3"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1,921</w:t>
            </w:r>
          </w:p>
        </w:tc>
        <w:tc>
          <w:tcPr>
            <w:tcW w:w="574" w:type="pct"/>
            <w:tcBorders>
              <w:top w:val="single" w:sz="4" w:space="0" w:color="auto"/>
              <w:left w:val="nil"/>
              <w:bottom w:val="single" w:sz="4" w:space="0" w:color="auto"/>
              <w:right w:val="nil"/>
            </w:tcBorders>
            <w:shd w:val="clear" w:color="000000" w:fill="E6E6E6"/>
            <w:noWrap/>
            <w:vAlign w:val="bottom"/>
            <w:hideMark/>
          </w:tcPr>
          <w:p w14:paraId="57B91B21" w14:textId="53C03A7E"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1,185</w:t>
            </w:r>
          </w:p>
        </w:tc>
        <w:tc>
          <w:tcPr>
            <w:tcW w:w="574" w:type="pct"/>
            <w:tcBorders>
              <w:top w:val="single" w:sz="4" w:space="0" w:color="auto"/>
              <w:left w:val="nil"/>
              <w:bottom w:val="single" w:sz="4" w:space="0" w:color="auto"/>
              <w:right w:val="nil"/>
            </w:tcBorders>
            <w:shd w:val="clear" w:color="auto" w:fill="auto"/>
            <w:noWrap/>
            <w:vAlign w:val="bottom"/>
            <w:hideMark/>
          </w:tcPr>
          <w:p w14:paraId="7352ABFC" w14:textId="1090C7D9"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722</w:t>
            </w:r>
          </w:p>
        </w:tc>
        <w:tc>
          <w:tcPr>
            <w:tcW w:w="574" w:type="pct"/>
            <w:tcBorders>
              <w:top w:val="single" w:sz="4" w:space="0" w:color="auto"/>
              <w:left w:val="nil"/>
              <w:bottom w:val="single" w:sz="4" w:space="0" w:color="auto"/>
              <w:right w:val="nil"/>
            </w:tcBorders>
            <w:shd w:val="clear" w:color="auto" w:fill="auto"/>
            <w:noWrap/>
            <w:vAlign w:val="bottom"/>
            <w:hideMark/>
          </w:tcPr>
          <w:p w14:paraId="459CCB12" w14:textId="1D4F7BAB"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722</w:t>
            </w:r>
          </w:p>
        </w:tc>
        <w:tc>
          <w:tcPr>
            <w:tcW w:w="573" w:type="pct"/>
            <w:tcBorders>
              <w:top w:val="single" w:sz="4" w:space="0" w:color="auto"/>
              <w:left w:val="nil"/>
              <w:bottom w:val="single" w:sz="4" w:space="0" w:color="auto"/>
              <w:right w:val="nil"/>
            </w:tcBorders>
            <w:shd w:val="clear" w:color="auto" w:fill="auto"/>
            <w:noWrap/>
            <w:vAlign w:val="bottom"/>
            <w:hideMark/>
          </w:tcPr>
          <w:p w14:paraId="2B275A5E" w14:textId="0D480C91"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722</w:t>
            </w:r>
          </w:p>
        </w:tc>
      </w:tr>
      <w:tr w:rsidR="00603CF4" w:rsidRPr="007C039B" w14:paraId="35A78BFF" w14:textId="77777777" w:rsidTr="002964C0">
        <w:trPr>
          <w:trHeight w:val="204"/>
        </w:trPr>
        <w:tc>
          <w:tcPr>
            <w:tcW w:w="2100" w:type="pct"/>
            <w:tcBorders>
              <w:top w:val="nil"/>
              <w:left w:val="nil"/>
              <w:bottom w:val="nil"/>
              <w:right w:val="nil"/>
            </w:tcBorders>
            <w:shd w:val="clear" w:color="auto" w:fill="auto"/>
            <w:noWrap/>
            <w:vAlign w:val="center"/>
            <w:hideMark/>
          </w:tcPr>
          <w:p w14:paraId="03B7132C"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2167250D" w14:textId="77777777" w:rsidR="00603CF4" w:rsidRPr="00603CF4" w:rsidRDefault="00603CF4" w:rsidP="00603CF4">
            <w:pPr>
              <w:spacing w:before="0" w:after="0" w:line="240" w:lineRule="auto"/>
              <w:jc w:val="right"/>
              <w:rPr>
                <w:rFonts w:ascii="Arial" w:hAnsi="Arial" w:cs="Arial"/>
                <w:b/>
                <w:bCs/>
                <w:color w:val="000000"/>
                <w:sz w:val="16"/>
                <w:szCs w:val="16"/>
                <w:highlight w:val="yellow"/>
              </w:rPr>
            </w:pPr>
          </w:p>
        </w:tc>
        <w:tc>
          <w:tcPr>
            <w:tcW w:w="574" w:type="pct"/>
            <w:tcBorders>
              <w:top w:val="nil"/>
              <w:left w:val="nil"/>
              <w:bottom w:val="nil"/>
              <w:right w:val="nil"/>
            </w:tcBorders>
            <w:shd w:val="clear" w:color="000000" w:fill="E6E6E6"/>
            <w:noWrap/>
            <w:vAlign w:val="bottom"/>
            <w:hideMark/>
          </w:tcPr>
          <w:p w14:paraId="0D0521B1"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18EA3F19"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6D83539B" w14:textId="77777777" w:rsidR="00603CF4" w:rsidRPr="00603CF4" w:rsidRDefault="00603CF4" w:rsidP="00603CF4">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622B63FB" w14:textId="77777777" w:rsidR="00603CF4" w:rsidRPr="00603CF4" w:rsidRDefault="00603CF4" w:rsidP="00603CF4">
            <w:pPr>
              <w:spacing w:before="0" w:after="0" w:line="240" w:lineRule="auto"/>
              <w:jc w:val="right"/>
              <w:rPr>
                <w:rFonts w:ascii="Times New Roman" w:hAnsi="Times New Roman"/>
                <w:sz w:val="20"/>
                <w:highlight w:val="yellow"/>
              </w:rPr>
            </w:pPr>
          </w:p>
        </w:tc>
      </w:tr>
      <w:tr w:rsidR="00603CF4" w:rsidRPr="007C039B" w14:paraId="33C1F661" w14:textId="77777777" w:rsidTr="002964C0">
        <w:trPr>
          <w:trHeight w:val="204"/>
        </w:trPr>
        <w:tc>
          <w:tcPr>
            <w:tcW w:w="2100" w:type="pct"/>
            <w:tcBorders>
              <w:top w:val="nil"/>
              <w:left w:val="nil"/>
              <w:bottom w:val="nil"/>
              <w:right w:val="nil"/>
            </w:tcBorders>
            <w:shd w:val="clear" w:color="auto" w:fill="auto"/>
            <w:noWrap/>
            <w:vAlign w:val="center"/>
            <w:hideMark/>
          </w:tcPr>
          <w:p w14:paraId="77B27A1E"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503D1DA" w14:textId="77777777" w:rsidR="00603CF4" w:rsidRPr="00603CF4" w:rsidRDefault="00603CF4" w:rsidP="00603CF4">
            <w:pPr>
              <w:spacing w:before="0" w:after="0" w:line="240" w:lineRule="auto"/>
              <w:jc w:val="right"/>
              <w:rPr>
                <w:rFonts w:ascii="Arial" w:hAnsi="Arial" w:cs="Arial"/>
                <w:b/>
                <w:bCs/>
                <w:color w:val="000000"/>
                <w:sz w:val="16"/>
                <w:szCs w:val="16"/>
                <w:highlight w:val="yellow"/>
              </w:rPr>
            </w:pPr>
          </w:p>
        </w:tc>
        <w:tc>
          <w:tcPr>
            <w:tcW w:w="574" w:type="pct"/>
            <w:tcBorders>
              <w:top w:val="nil"/>
              <w:left w:val="nil"/>
              <w:bottom w:val="nil"/>
              <w:right w:val="nil"/>
            </w:tcBorders>
            <w:shd w:val="clear" w:color="000000" w:fill="E6E6E6"/>
            <w:noWrap/>
            <w:vAlign w:val="bottom"/>
            <w:hideMark/>
          </w:tcPr>
          <w:p w14:paraId="4E9662E6"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7A5CEF10"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5A4C2D06" w14:textId="77777777" w:rsidR="00603CF4" w:rsidRPr="00603CF4" w:rsidRDefault="00603CF4" w:rsidP="00603CF4">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376834E5" w14:textId="77777777" w:rsidR="00603CF4" w:rsidRPr="00603CF4" w:rsidRDefault="00603CF4" w:rsidP="00603CF4">
            <w:pPr>
              <w:spacing w:before="0" w:after="0" w:line="240" w:lineRule="auto"/>
              <w:jc w:val="right"/>
              <w:rPr>
                <w:rFonts w:ascii="Times New Roman" w:hAnsi="Times New Roman"/>
                <w:sz w:val="20"/>
                <w:highlight w:val="yellow"/>
              </w:rPr>
            </w:pPr>
          </w:p>
        </w:tc>
      </w:tr>
      <w:tr w:rsidR="004C7942" w:rsidRPr="007C039B" w14:paraId="2CE6794B" w14:textId="77777777" w:rsidTr="002964C0">
        <w:trPr>
          <w:trHeight w:val="204"/>
        </w:trPr>
        <w:tc>
          <w:tcPr>
            <w:tcW w:w="2100" w:type="pct"/>
            <w:tcBorders>
              <w:top w:val="nil"/>
              <w:left w:val="nil"/>
              <w:bottom w:val="nil"/>
              <w:right w:val="nil"/>
            </w:tcBorders>
            <w:shd w:val="clear" w:color="auto" w:fill="auto"/>
            <w:vAlign w:val="center"/>
            <w:hideMark/>
          </w:tcPr>
          <w:p w14:paraId="3315C221" w14:textId="31845219"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Purchase of property, plant and</w:t>
            </w:r>
            <w:r>
              <w:rPr>
                <w:rFonts w:ascii="Arial" w:hAnsi="Arial" w:cs="Arial"/>
                <w:color w:val="000000"/>
                <w:sz w:val="16"/>
                <w:szCs w:val="16"/>
              </w:rPr>
              <w:t xml:space="preserve"> </w:t>
            </w:r>
            <w:r w:rsidRPr="007C039B">
              <w:rPr>
                <w:rFonts w:ascii="Arial" w:hAnsi="Arial" w:cs="Arial"/>
                <w:color w:val="000000"/>
                <w:sz w:val="16"/>
                <w:szCs w:val="16"/>
              </w:rPr>
              <w:t>equipment and intangibles</w:t>
            </w:r>
          </w:p>
        </w:tc>
        <w:tc>
          <w:tcPr>
            <w:tcW w:w="605" w:type="pct"/>
            <w:tcBorders>
              <w:top w:val="nil"/>
              <w:left w:val="nil"/>
              <w:bottom w:val="nil"/>
              <w:right w:val="nil"/>
            </w:tcBorders>
            <w:shd w:val="clear" w:color="auto" w:fill="auto"/>
            <w:noWrap/>
            <w:vAlign w:val="bottom"/>
            <w:hideMark/>
          </w:tcPr>
          <w:p w14:paraId="64C52C20" w14:textId="2016C80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264</w:t>
            </w:r>
          </w:p>
        </w:tc>
        <w:tc>
          <w:tcPr>
            <w:tcW w:w="574" w:type="pct"/>
            <w:tcBorders>
              <w:top w:val="nil"/>
              <w:left w:val="nil"/>
              <w:bottom w:val="nil"/>
              <w:right w:val="nil"/>
            </w:tcBorders>
            <w:shd w:val="clear" w:color="000000" w:fill="E6E6E6"/>
            <w:noWrap/>
            <w:vAlign w:val="bottom"/>
            <w:hideMark/>
          </w:tcPr>
          <w:p w14:paraId="7B3AB40B" w14:textId="25058F77"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90</w:t>
            </w:r>
          </w:p>
        </w:tc>
        <w:tc>
          <w:tcPr>
            <w:tcW w:w="574" w:type="pct"/>
            <w:tcBorders>
              <w:top w:val="nil"/>
              <w:left w:val="nil"/>
              <w:bottom w:val="nil"/>
              <w:right w:val="nil"/>
            </w:tcBorders>
            <w:shd w:val="clear" w:color="auto" w:fill="auto"/>
            <w:noWrap/>
            <w:vAlign w:val="bottom"/>
            <w:hideMark/>
          </w:tcPr>
          <w:p w14:paraId="161A03D5" w14:textId="615D7B8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65</w:t>
            </w:r>
          </w:p>
        </w:tc>
        <w:tc>
          <w:tcPr>
            <w:tcW w:w="574" w:type="pct"/>
            <w:tcBorders>
              <w:top w:val="nil"/>
              <w:left w:val="nil"/>
              <w:bottom w:val="nil"/>
              <w:right w:val="nil"/>
            </w:tcBorders>
            <w:shd w:val="clear" w:color="auto" w:fill="auto"/>
            <w:noWrap/>
            <w:vAlign w:val="bottom"/>
            <w:hideMark/>
          </w:tcPr>
          <w:p w14:paraId="7F11C357" w14:textId="5A59E0AF"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65</w:t>
            </w:r>
          </w:p>
        </w:tc>
        <w:tc>
          <w:tcPr>
            <w:tcW w:w="573" w:type="pct"/>
            <w:tcBorders>
              <w:top w:val="nil"/>
              <w:left w:val="nil"/>
              <w:bottom w:val="nil"/>
              <w:right w:val="nil"/>
            </w:tcBorders>
            <w:shd w:val="clear" w:color="auto" w:fill="auto"/>
            <w:noWrap/>
            <w:vAlign w:val="bottom"/>
            <w:hideMark/>
          </w:tcPr>
          <w:p w14:paraId="677FCCF3" w14:textId="450D7B35"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5</w:t>
            </w:r>
          </w:p>
        </w:tc>
      </w:tr>
      <w:tr w:rsidR="004C7942" w:rsidRPr="007C039B" w14:paraId="33DAEB3D" w14:textId="77777777" w:rsidTr="002964C0">
        <w:trPr>
          <w:trHeight w:val="204"/>
        </w:trPr>
        <w:tc>
          <w:tcPr>
            <w:tcW w:w="2100" w:type="pct"/>
            <w:tcBorders>
              <w:top w:val="nil"/>
              <w:left w:val="nil"/>
              <w:bottom w:val="nil"/>
              <w:right w:val="nil"/>
            </w:tcBorders>
            <w:shd w:val="clear" w:color="auto" w:fill="auto"/>
            <w:noWrap/>
            <w:vAlign w:val="center"/>
            <w:hideMark/>
          </w:tcPr>
          <w:p w14:paraId="1262235D" w14:textId="77777777" w:rsidR="004C7942" w:rsidRPr="007C039B" w:rsidRDefault="004C7942" w:rsidP="004C7942">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9F37310" w14:textId="313C6DBB"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264</w:t>
            </w:r>
          </w:p>
        </w:tc>
        <w:tc>
          <w:tcPr>
            <w:tcW w:w="574" w:type="pct"/>
            <w:tcBorders>
              <w:top w:val="single" w:sz="4" w:space="0" w:color="000000"/>
              <w:left w:val="nil"/>
              <w:bottom w:val="single" w:sz="4" w:space="0" w:color="000000"/>
              <w:right w:val="nil"/>
            </w:tcBorders>
            <w:shd w:val="clear" w:color="000000" w:fill="E6E6E6"/>
            <w:noWrap/>
            <w:vAlign w:val="bottom"/>
            <w:hideMark/>
          </w:tcPr>
          <w:p w14:paraId="6B921A35" w14:textId="764A71BA"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90</w:t>
            </w:r>
          </w:p>
        </w:tc>
        <w:tc>
          <w:tcPr>
            <w:tcW w:w="574" w:type="pct"/>
            <w:tcBorders>
              <w:top w:val="single" w:sz="4" w:space="0" w:color="000000"/>
              <w:left w:val="nil"/>
              <w:bottom w:val="single" w:sz="4" w:space="0" w:color="000000"/>
              <w:right w:val="nil"/>
            </w:tcBorders>
            <w:shd w:val="clear" w:color="auto" w:fill="auto"/>
            <w:noWrap/>
            <w:vAlign w:val="bottom"/>
            <w:hideMark/>
          </w:tcPr>
          <w:p w14:paraId="5F044496" w14:textId="20F9E1C3"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65</w:t>
            </w:r>
          </w:p>
        </w:tc>
        <w:tc>
          <w:tcPr>
            <w:tcW w:w="574" w:type="pct"/>
            <w:tcBorders>
              <w:top w:val="single" w:sz="4" w:space="0" w:color="000000"/>
              <w:left w:val="nil"/>
              <w:bottom w:val="single" w:sz="4" w:space="0" w:color="000000"/>
              <w:right w:val="nil"/>
            </w:tcBorders>
            <w:shd w:val="clear" w:color="auto" w:fill="auto"/>
            <w:noWrap/>
            <w:vAlign w:val="bottom"/>
            <w:hideMark/>
          </w:tcPr>
          <w:p w14:paraId="41C80688" w14:textId="2D56AC9D"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65</w:t>
            </w:r>
          </w:p>
        </w:tc>
        <w:tc>
          <w:tcPr>
            <w:tcW w:w="573" w:type="pct"/>
            <w:tcBorders>
              <w:top w:val="single" w:sz="4" w:space="0" w:color="000000"/>
              <w:left w:val="nil"/>
              <w:bottom w:val="single" w:sz="4" w:space="0" w:color="000000"/>
              <w:right w:val="nil"/>
            </w:tcBorders>
            <w:shd w:val="clear" w:color="auto" w:fill="auto"/>
            <w:noWrap/>
            <w:vAlign w:val="bottom"/>
            <w:hideMark/>
          </w:tcPr>
          <w:p w14:paraId="31AF79A8" w14:textId="7128D468"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5</w:t>
            </w:r>
          </w:p>
        </w:tc>
      </w:tr>
      <w:tr w:rsidR="004C7942" w:rsidRPr="007C039B" w14:paraId="44298A24" w14:textId="77777777" w:rsidTr="002964C0">
        <w:trPr>
          <w:trHeight w:val="204"/>
        </w:trPr>
        <w:tc>
          <w:tcPr>
            <w:tcW w:w="2100" w:type="pct"/>
            <w:tcBorders>
              <w:top w:val="nil"/>
              <w:left w:val="nil"/>
              <w:right w:val="nil"/>
            </w:tcBorders>
            <w:shd w:val="clear" w:color="auto" w:fill="auto"/>
            <w:vAlign w:val="center"/>
            <w:hideMark/>
          </w:tcPr>
          <w:p w14:paraId="707F4864" w14:textId="77777777" w:rsidR="004C7942" w:rsidRPr="007C039B" w:rsidRDefault="004C7942" w:rsidP="004C7942">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investing activities</w:t>
            </w:r>
          </w:p>
        </w:tc>
        <w:tc>
          <w:tcPr>
            <w:tcW w:w="605" w:type="pct"/>
            <w:tcBorders>
              <w:top w:val="nil"/>
              <w:left w:val="nil"/>
              <w:bottom w:val="single" w:sz="4" w:space="0" w:color="auto"/>
              <w:right w:val="nil"/>
            </w:tcBorders>
            <w:shd w:val="clear" w:color="auto" w:fill="auto"/>
            <w:noWrap/>
            <w:vAlign w:val="bottom"/>
            <w:hideMark/>
          </w:tcPr>
          <w:p w14:paraId="5E091E3C" w14:textId="0E934D23"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(264)</w:t>
            </w:r>
          </w:p>
        </w:tc>
        <w:tc>
          <w:tcPr>
            <w:tcW w:w="574" w:type="pct"/>
            <w:tcBorders>
              <w:top w:val="nil"/>
              <w:left w:val="nil"/>
              <w:bottom w:val="single" w:sz="4" w:space="0" w:color="auto"/>
              <w:right w:val="nil"/>
            </w:tcBorders>
            <w:shd w:val="clear" w:color="000000" w:fill="E6E6E6"/>
            <w:noWrap/>
            <w:vAlign w:val="bottom"/>
            <w:hideMark/>
          </w:tcPr>
          <w:p w14:paraId="1ED9D205" w14:textId="3E9B2D42"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(90)</w:t>
            </w:r>
          </w:p>
        </w:tc>
        <w:tc>
          <w:tcPr>
            <w:tcW w:w="574" w:type="pct"/>
            <w:tcBorders>
              <w:top w:val="nil"/>
              <w:left w:val="nil"/>
              <w:bottom w:val="single" w:sz="4" w:space="0" w:color="auto"/>
              <w:right w:val="nil"/>
            </w:tcBorders>
            <w:shd w:val="clear" w:color="auto" w:fill="auto"/>
            <w:noWrap/>
            <w:vAlign w:val="bottom"/>
            <w:hideMark/>
          </w:tcPr>
          <w:p w14:paraId="255AC4B6" w14:textId="1D55840F"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(65)</w:t>
            </w:r>
          </w:p>
        </w:tc>
        <w:tc>
          <w:tcPr>
            <w:tcW w:w="574" w:type="pct"/>
            <w:tcBorders>
              <w:top w:val="nil"/>
              <w:left w:val="nil"/>
              <w:bottom w:val="single" w:sz="4" w:space="0" w:color="auto"/>
              <w:right w:val="nil"/>
            </w:tcBorders>
            <w:shd w:val="clear" w:color="auto" w:fill="auto"/>
            <w:noWrap/>
            <w:vAlign w:val="bottom"/>
            <w:hideMark/>
          </w:tcPr>
          <w:p w14:paraId="26394B1E" w14:textId="4E4E01D4"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(65)</w:t>
            </w:r>
          </w:p>
        </w:tc>
        <w:tc>
          <w:tcPr>
            <w:tcW w:w="573" w:type="pct"/>
            <w:tcBorders>
              <w:top w:val="nil"/>
              <w:left w:val="nil"/>
              <w:bottom w:val="single" w:sz="4" w:space="0" w:color="auto"/>
              <w:right w:val="nil"/>
            </w:tcBorders>
            <w:shd w:val="clear" w:color="auto" w:fill="auto"/>
            <w:noWrap/>
            <w:vAlign w:val="bottom"/>
            <w:hideMark/>
          </w:tcPr>
          <w:p w14:paraId="7F037EEF" w14:textId="6D007924"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(5)</w:t>
            </w:r>
          </w:p>
        </w:tc>
      </w:tr>
      <w:tr w:rsidR="00603CF4" w:rsidRPr="007C039B" w14:paraId="76014B5C" w14:textId="77777777" w:rsidTr="002964C0">
        <w:trPr>
          <w:trHeight w:val="204"/>
        </w:trPr>
        <w:tc>
          <w:tcPr>
            <w:tcW w:w="2100" w:type="pct"/>
            <w:tcBorders>
              <w:top w:val="nil"/>
              <w:left w:val="nil"/>
              <w:bottom w:val="nil"/>
              <w:right w:val="nil"/>
            </w:tcBorders>
            <w:shd w:val="clear" w:color="auto" w:fill="auto"/>
            <w:noWrap/>
            <w:vAlign w:val="center"/>
            <w:hideMark/>
          </w:tcPr>
          <w:p w14:paraId="08A54F8A" w14:textId="77777777" w:rsidR="00603CF4" w:rsidRPr="00433423" w:rsidRDefault="00603CF4" w:rsidP="00603CF4">
            <w:pPr>
              <w:spacing w:before="0" w:after="0" w:line="240" w:lineRule="auto"/>
              <w:rPr>
                <w:rFonts w:ascii="Arial" w:hAnsi="Arial" w:cs="Arial"/>
                <w:b/>
                <w:bCs/>
                <w:color w:val="000000"/>
                <w:sz w:val="16"/>
                <w:szCs w:val="16"/>
              </w:rPr>
            </w:pPr>
            <w:r w:rsidRPr="00433423">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48E9070C" w14:textId="77777777" w:rsidR="00603CF4" w:rsidRPr="00603CF4" w:rsidRDefault="00603CF4" w:rsidP="00603CF4">
            <w:pPr>
              <w:spacing w:before="0" w:after="0" w:line="240" w:lineRule="auto"/>
              <w:jc w:val="right"/>
              <w:rPr>
                <w:rFonts w:ascii="Arial" w:hAnsi="Arial" w:cs="Arial"/>
                <w:b/>
                <w:bCs/>
                <w:color w:val="000000"/>
                <w:sz w:val="16"/>
                <w:szCs w:val="16"/>
                <w:highlight w:val="yellow"/>
              </w:rPr>
            </w:pPr>
          </w:p>
        </w:tc>
        <w:tc>
          <w:tcPr>
            <w:tcW w:w="574" w:type="pct"/>
            <w:tcBorders>
              <w:top w:val="nil"/>
              <w:left w:val="nil"/>
              <w:bottom w:val="nil"/>
              <w:right w:val="nil"/>
            </w:tcBorders>
            <w:shd w:val="clear" w:color="000000" w:fill="E6E6E6"/>
            <w:noWrap/>
            <w:vAlign w:val="bottom"/>
            <w:hideMark/>
          </w:tcPr>
          <w:p w14:paraId="2EC02DC1"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1DA80927"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5273CDF2" w14:textId="77777777" w:rsidR="00603CF4" w:rsidRPr="00603CF4" w:rsidRDefault="00603CF4" w:rsidP="00603CF4">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3FB0A045" w14:textId="77777777" w:rsidR="00603CF4" w:rsidRPr="00603CF4" w:rsidRDefault="00603CF4" w:rsidP="00603CF4">
            <w:pPr>
              <w:spacing w:before="0" w:after="0" w:line="240" w:lineRule="auto"/>
              <w:jc w:val="right"/>
              <w:rPr>
                <w:rFonts w:ascii="Times New Roman" w:hAnsi="Times New Roman"/>
                <w:sz w:val="20"/>
                <w:highlight w:val="yellow"/>
              </w:rPr>
            </w:pPr>
          </w:p>
        </w:tc>
      </w:tr>
      <w:tr w:rsidR="00603CF4" w:rsidRPr="007C039B" w14:paraId="60140C88" w14:textId="77777777" w:rsidTr="002964C0">
        <w:trPr>
          <w:trHeight w:val="204"/>
        </w:trPr>
        <w:tc>
          <w:tcPr>
            <w:tcW w:w="2100" w:type="pct"/>
            <w:tcBorders>
              <w:top w:val="nil"/>
              <w:left w:val="nil"/>
              <w:bottom w:val="nil"/>
              <w:right w:val="nil"/>
            </w:tcBorders>
            <w:shd w:val="clear" w:color="auto" w:fill="auto"/>
            <w:noWrap/>
            <w:vAlign w:val="center"/>
            <w:hideMark/>
          </w:tcPr>
          <w:p w14:paraId="2AB4EF86" w14:textId="77777777" w:rsidR="00603CF4" w:rsidRPr="007C039B" w:rsidRDefault="00603CF4" w:rsidP="00603CF4">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A55BF1E" w14:textId="77777777" w:rsidR="00603CF4" w:rsidRPr="00603CF4" w:rsidRDefault="00603CF4" w:rsidP="00603CF4">
            <w:pPr>
              <w:spacing w:before="0" w:after="0" w:line="240" w:lineRule="auto"/>
              <w:jc w:val="right"/>
              <w:rPr>
                <w:rFonts w:ascii="Arial" w:hAnsi="Arial" w:cs="Arial"/>
                <w:b/>
                <w:bCs/>
                <w:color w:val="000000"/>
                <w:sz w:val="16"/>
                <w:szCs w:val="16"/>
                <w:highlight w:val="yellow"/>
              </w:rPr>
            </w:pPr>
          </w:p>
        </w:tc>
        <w:tc>
          <w:tcPr>
            <w:tcW w:w="574" w:type="pct"/>
            <w:tcBorders>
              <w:top w:val="nil"/>
              <w:left w:val="nil"/>
              <w:bottom w:val="nil"/>
              <w:right w:val="nil"/>
            </w:tcBorders>
            <w:shd w:val="clear" w:color="000000" w:fill="E6E6E6"/>
            <w:noWrap/>
            <w:vAlign w:val="bottom"/>
            <w:hideMark/>
          </w:tcPr>
          <w:p w14:paraId="4691E120"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657672F2" w14:textId="77777777" w:rsidR="00603CF4" w:rsidRPr="00603CF4" w:rsidRDefault="00603CF4" w:rsidP="00603CF4">
            <w:pPr>
              <w:spacing w:before="0" w:after="0" w:line="240" w:lineRule="auto"/>
              <w:jc w:val="right"/>
              <w:rPr>
                <w:rFonts w:ascii="Arial" w:hAnsi="Arial" w:cs="Arial"/>
                <w:color w:val="000000"/>
                <w:sz w:val="16"/>
                <w:szCs w:val="16"/>
                <w:highlight w:val="yellow"/>
              </w:rPr>
            </w:pPr>
          </w:p>
        </w:tc>
        <w:tc>
          <w:tcPr>
            <w:tcW w:w="574" w:type="pct"/>
            <w:tcBorders>
              <w:top w:val="nil"/>
              <w:left w:val="nil"/>
              <w:bottom w:val="nil"/>
              <w:right w:val="nil"/>
            </w:tcBorders>
            <w:shd w:val="clear" w:color="auto" w:fill="auto"/>
            <w:noWrap/>
            <w:vAlign w:val="bottom"/>
            <w:hideMark/>
          </w:tcPr>
          <w:p w14:paraId="0C24A474" w14:textId="77777777" w:rsidR="00603CF4" w:rsidRPr="00603CF4" w:rsidRDefault="00603CF4" w:rsidP="00603CF4">
            <w:pPr>
              <w:spacing w:before="0" w:after="0" w:line="240" w:lineRule="auto"/>
              <w:jc w:val="right"/>
              <w:rPr>
                <w:rFonts w:ascii="Times New Roman" w:hAnsi="Times New Roman"/>
                <w:sz w:val="20"/>
                <w:highlight w:val="yellow"/>
              </w:rPr>
            </w:pPr>
          </w:p>
        </w:tc>
        <w:tc>
          <w:tcPr>
            <w:tcW w:w="573" w:type="pct"/>
            <w:tcBorders>
              <w:top w:val="nil"/>
              <w:left w:val="nil"/>
              <w:bottom w:val="nil"/>
              <w:right w:val="nil"/>
            </w:tcBorders>
            <w:shd w:val="clear" w:color="auto" w:fill="auto"/>
            <w:noWrap/>
            <w:vAlign w:val="bottom"/>
            <w:hideMark/>
          </w:tcPr>
          <w:p w14:paraId="74C5B740" w14:textId="77777777" w:rsidR="00603CF4" w:rsidRPr="00603CF4" w:rsidRDefault="00603CF4" w:rsidP="00603CF4">
            <w:pPr>
              <w:spacing w:before="0" w:after="0" w:line="240" w:lineRule="auto"/>
              <w:jc w:val="right"/>
              <w:rPr>
                <w:rFonts w:ascii="Times New Roman" w:hAnsi="Times New Roman"/>
                <w:sz w:val="20"/>
                <w:highlight w:val="yellow"/>
              </w:rPr>
            </w:pPr>
          </w:p>
        </w:tc>
      </w:tr>
      <w:tr w:rsidR="004C7942" w:rsidRPr="007C039B" w14:paraId="1EB2DA3D" w14:textId="77777777" w:rsidTr="002964C0">
        <w:trPr>
          <w:trHeight w:val="204"/>
        </w:trPr>
        <w:tc>
          <w:tcPr>
            <w:tcW w:w="2100" w:type="pct"/>
            <w:tcBorders>
              <w:top w:val="nil"/>
              <w:left w:val="nil"/>
              <w:bottom w:val="nil"/>
              <w:right w:val="nil"/>
            </w:tcBorders>
            <w:shd w:val="clear" w:color="auto" w:fill="auto"/>
            <w:noWrap/>
            <w:vAlign w:val="center"/>
            <w:hideMark/>
          </w:tcPr>
          <w:p w14:paraId="7C31A807" w14:textId="77777777" w:rsidR="004C7942" w:rsidRPr="007C039B" w:rsidRDefault="004C7942" w:rsidP="004C7942">
            <w:pPr>
              <w:spacing w:before="0" w:after="0" w:line="240" w:lineRule="auto"/>
              <w:ind w:left="113"/>
              <w:rPr>
                <w:rFonts w:ascii="Arial" w:hAnsi="Arial" w:cs="Arial"/>
                <w:sz w:val="16"/>
                <w:szCs w:val="16"/>
              </w:rPr>
            </w:pPr>
            <w:r w:rsidRPr="00F5380E">
              <w:rPr>
                <w:rFonts w:ascii="Arial" w:hAnsi="Arial" w:cs="Arial"/>
                <w:color w:val="000000"/>
                <w:sz w:val="16"/>
                <w:szCs w:val="16"/>
              </w:rPr>
              <w:t>Principal</w:t>
            </w:r>
            <w:r w:rsidRPr="007C039B">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18080098" w14:textId="46697DA9"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1,142</w:t>
            </w:r>
          </w:p>
        </w:tc>
        <w:tc>
          <w:tcPr>
            <w:tcW w:w="574" w:type="pct"/>
            <w:tcBorders>
              <w:top w:val="nil"/>
              <w:left w:val="nil"/>
              <w:bottom w:val="nil"/>
              <w:right w:val="nil"/>
            </w:tcBorders>
            <w:shd w:val="clear" w:color="000000" w:fill="E6E6E6"/>
            <w:noWrap/>
            <w:vAlign w:val="bottom"/>
            <w:hideMark/>
          </w:tcPr>
          <w:p w14:paraId="060B7800" w14:textId="58069B2D"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411</w:t>
            </w:r>
          </w:p>
        </w:tc>
        <w:tc>
          <w:tcPr>
            <w:tcW w:w="574" w:type="pct"/>
            <w:tcBorders>
              <w:top w:val="nil"/>
              <w:left w:val="nil"/>
              <w:bottom w:val="nil"/>
              <w:right w:val="nil"/>
            </w:tcBorders>
            <w:shd w:val="clear" w:color="auto" w:fill="auto"/>
            <w:noWrap/>
            <w:vAlign w:val="bottom"/>
            <w:hideMark/>
          </w:tcPr>
          <w:p w14:paraId="010754FF" w14:textId="107C04F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681</w:t>
            </w:r>
          </w:p>
        </w:tc>
        <w:tc>
          <w:tcPr>
            <w:tcW w:w="574" w:type="pct"/>
            <w:tcBorders>
              <w:top w:val="nil"/>
              <w:left w:val="nil"/>
              <w:bottom w:val="nil"/>
              <w:right w:val="nil"/>
            </w:tcBorders>
            <w:shd w:val="clear" w:color="auto" w:fill="auto"/>
            <w:noWrap/>
            <w:vAlign w:val="bottom"/>
            <w:hideMark/>
          </w:tcPr>
          <w:p w14:paraId="11546892" w14:textId="00D61AC5"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653</w:t>
            </w:r>
          </w:p>
        </w:tc>
        <w:tc>
          <w:tcPr>
            <w:tcW w:w="573" w:type="pct"/>
            <w:tcBorders>
              <w:top w:val="nil"/>
              <w:left w:val="nil"/>
              <w:bottom w:val="nil"/>
              <w:right w:val="nil"/>
            </w:tcBorders>
            <w:shd w:val="clear" w:color="auto" w:fill="auto"/>
            <w:noWrap/>
            <w:vAlign w:val="bottom"/>
            <w:hideMark/>
          </w:tcPr>
          <w:p w14:paraId="6E3C69C7" w14:textId="30CDB828"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711</w:t>
            </w:r>
          </w:p>
        </w:tc>
      </w:tr>
      <w:tr w:rsidR="004C7942" w:rsidRPr="007C039B" w14:paraId="2C00D5CA" w14:textId="77777777" w:rsidTr="002964C0">
        <w:trPr>
          <w:trHeight w:val="204"/>
        </w:trPr>
        <w:tc>
          <w:tcPr>
            <w:tcW w:w="2100" w:type="pct"/>
            <w:tcBorders>
              <w:top w:val="nil"/>
              <w:left w:val="nil"/>
              <w:bottom w:val="nil"/>
              <w:right w:val="nil"/>
            </w:tcBorders>
            <w:shd w:val="clear" w:color="auto" w:fill="auto"/>
            <w:noWrap/>
            <w:vAlign w:val="center"/>
            <w:hideMark/>
          </w:tcPr>
          <w:p w14:paraId="4E6B176C" w14:textId="77777777" w:rsidR="004C7942" w:rsidRPr="007C039B" w:rsidRDefault="004C7942" w:rsidP="004C7942">
            <w:pPr>
              <w:spacing w:before="0" w:after="0" w:line="240" w:lineRule="auto"/>
              <w:rPr>
                <w:rFonts w:ascii="Arial" w:hAnsi="Arial" w:cs="Arial"/>
                <w:b/>
                <w:bCs/>
                <w:i/>
                <w:iCs/>
                <w:color w:val="000000"/>
                <w:sz w:val="16"/>
                <w:szCs w:val="16"/>
              </w:rPr>
            </w:pPr>
            <w:r w:rsidRPr="007C039B">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D6E6C16" w14:textId="5F1EA009"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1,142</w:t>
            </w:r>
          </w:p>
        </w:tc>
        <w:tc>
          <w:tcPr>
            <w:tcW w:w="574" w:type="pct"/>
            <w:tcBorders>
              <w:top w:val="single" w:sz="4" w:space="0" w:color="000000"/>
              <w:left w:val="nil"/>
              <w:bottom w:val="single" w:sz="4" w:space="0" w:color="000000"/>
              <w:right w:val="nil"/>
            </w:tcBorders>
            <w:shd w:val="clear" w:color="000000" w:fill="E6E6E6"/>
            <w:noWrap/>
            <w:vAlign w:val="bottom"/>
            <w:hideMark/>
          </w:tcPr>
          <w:p w14:paraId="103590BD" w14:textId="34EE65E1"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411</w:t>
            </w:r>
          </w:p>
        </w:tc>
        <w:tc>
          <w:tcPr>
            <w:tcW w:w="574" w:type="pct"/>
            <w:tcBorders>
              <w:top w:val="single" w:sz="4" w:space="0" w:color="000000"/>
              <w:left w:val="nil"/>
              <w:bottom w:val="single" w:sz="4" w:space="0" w:color="000000"/>
              <w:right w:val="nil"/>
            </w:tcBorders>
            <w:shd w:val="clear" w:color="auto" w:fill="auto"/>
            <w:noWrap/>
            <w:vAlign w:val="bottom"/>
            <w:hideMark/>
          </w:tcPr>
          <w:p w14:paraId="71FE692A" w14:textId="38C73A69"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681</w:t>
            </w:r>
          </w:p>
        </w:tc>
        <w:tc>
          <w:tcPr>
            <w:tcW w:w="574" w:type="pct"/>
            <w:tcBorders>
              <w:top w:val="single" w:sz="4" w:space="0" w:color="000000"/>
              <w:left w:val="nil"/>
              <w:bottom w:val="single" w:sz="4" w:space="0" w:color="000000"/>
              <w:right w:val="nil"/>
            </w:tcBorders>
            <w:shd w:val="clear" w:color="auto" w:fill="auto"/>
            <w:noWrap/>
            <w:vAlign w:val="bottom"/>
            <w:hideMark/>
          </w:tcPr>
          <w:p w14:paraId="48156D8A" w14:textId="4E18A789"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653</w:t>
            </w:r>
          </w:p>
        </w:tc>
        <w:tc>
          <w:tcPr>
            <w:tcW w:w="573" w:type="pct"/>
            <w:tcBorders>
              <w:top w:val="single" w:sz="4" w:space="0" w:color="000000"/>
              <w:left w:val="nil"/>
              <w:bottom w:val="single" w:sz="4" w:space="0" w:color="000000"/>
              <w:right w:val="nil"/>
            </w:tcBorders>
            <w:shd w:val="clear" w:color="auto" w:fill="auto"/>
            <w:noWrap/>
            <w:vAlign w:val="bottom"/>
            <w:hideMark/>
          </w:tcPr>
          <w:p w14:paraId="79181594" w14:textId="22E000FF" w:rsidR="004C7942" w:rsidRPr="00603CF4" w:rsidRDefault="004C7942" w:rsidP="004C7942">
            <w:pPr>
              <w:spacing w:before="0" w:after="0" w:line="240" w:lineRule="auto"/>
              <w:jc w:val="right"/>
              <w:rPr>
                <w:rFonts w:ascii="Arial" w:hAnsi="Arial" w:cs="Arial"/>
                <w:b/>
                <w:bCs/>
                <w:i/>
                <w:iCs/>
                <w:color w:val="000000"/>
                <w:sz w:val="16"/>
                <w:szCs w:val="16"/>
                <w:highlight w:val="yellow"/>
              </w:rPr>
            </w:pPr>
            <w:r w:rsidRPr="00B678C5">
              <w:rPr>
                <w:rFonts w:ascii="Arial" w:hAnsi="Arial" w:cs="Arial"/>
                <w:b/>
                <w:bCs/>
                <w:i/>
                <w:iCs/>
                <w:color w:val="000000"/>
                <w:sz w:val="16"/>
                <w:szCs w:val="16"/>
              </w:rPr>
              <w:t>711</w:t>
            </w:r>
          </w:p>
        </w:tc>
      </w:tr>
      <w:tr w:rsidR="004C7942" w:rsidRPr="007C039B" w14:paraId="11E7F844" w14:textId="77777777" w:rsidTr="002964C0">
        <w:trPr>
          <w:trHeight w:val="204"/>
        </w:trPr>
        <w:tc>
          <w:tcPr>
            <w:tcW w:w="2100" w:type="pct"/>
            <w:tcBorders>
              <w:top w:val="nil"/>
              <w:left w:val="nil"/>
              <w:bottom w:val="nil"/>
              <w:right w:val="nil"/>
            </w:tcBorders>
            <w:shd w:val="clear" w:color="auto" w:fill="auto"/>
            <w:vAlign w:val="center"/>
            <w:hideMark/>
          </w:tcPr>
          <w:p w14:paraId="37166626" w14:textId="7E16F064" w:rsidR="004C7942" w:rsidRPr="007C039B" w:rsidRDefault="004C7942" w:rsidP="004C7942">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cash from/(used by)</w:t>
            </w:r>
            <w:r>
              <w:rPr>
                <w:rFonts w:ascii="Arial" w:hAnsi="Arial" w:cs="Arial"/>
                <w:b/>
                <w:bCs/>
                <w:color w:val="000000"/>
                <w:sz w:val="16"/>
                <w:szCs w:val="16"/>
              </w:rPr>
              <w:t xml:space="preserve"> </w:t>
            </w:r>
            <w:r w:rsidRPr="007C039B">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71598962" w14:textId="1277D172"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(1,142)</w:t>
            </w:r>
          </w:p>
        </w:tc>
        <w:tc>
          <w:tcPr>
            <w:tcW w:w="574" w:type="pct"/>
            <w:tcBorders>
              <w:top w:val="nil"/>
              <w:left w:val="nil"/>
              <w:bottom w:val="single" w:sz="4" w:space="0" w:color="000000"/>
              <w:right w:val="nil"/>
            </w:tcBorders>
            <w:shd w:val="clear" w:color="000000" w:fill="E6E6E6"/>
            <w:noWrap/>
            <w:vAlign w:val="bottom"/>
            <w:hideMark/>
          </w:tcPr>
          <w:p w14:paraId="12F85CAE" w14:textId="45A356E8"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(411)</w:t>
            </w:r>
          </w:p>
        </w:tc>
        <w:tc>
          <w:tcPr>
            <w:tcW w:w="574" w:type="pct"/>
            <w:tcBorders>
              <w:top w:val="nil"/>
              <w:left w:val="nil"/>
              <w:bottom w:val="single" w:sz="4" w:space="0" w:color="000000"/>
              <w:right w:val="nil"/>
            </w:tcBorders>
            <w:shd w:val="clear" w:color="auto" w:fill="auto"/>
            <w:noWrap/>
            <w:vAlign w:val="bottom"/>
            <w:hideMark/>
          </w:tcPr>
          <w:p w14:paraId="5D083E39" w14:textId="77BCE364"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(681)</w:t>
            </w:r>
          </w:p>
        </w:tc>
        <w:tc>
          <w:tcPr>
            <w:tcW w:w="574" w:type="pct"/>
            <w:tcBorders>
              <w:top w:val="nil"/>
              <w:left w:val="nil"/>
              <w:bottom w:val="single" w:sz="4" w:space="0" w:color="000000"/>
              <w:right w:val="nil"/>
            </w:tcBorders>
            <w:shd w:val="clear" w:color="auto" w:fill="auto"/>
            <w:noWrap/>
            <w:vAlign w:val="bottom"/>
            <w:hideMark/>
          </w:tcPr>
          <w:p w14:paraId="204807B2" w14:textId="6F511D75"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(653)</w:t>
            </w:r>
          </w:p>
        </w:tc>
        <w:tc>
          <w:tcPr>
            <w:tcW w:w="573" w:type="pct"/>
            <w:tcBorders>
              <w:top w:val="nil"/>
              <w:left w:val="nil"/>
              <w:bottom w:val="single" w:sz="4" w:space="0" w:color="000000"/>
              <w:right w:val="nil"/>
            </w:tcBorders>
            <w:shd w:val="clear" w:color="auto" w:fill="auto"/>
            <w:noWrap/>
            <w:vAlign w:val="bottom"/>
            <w:hideMark/>
          </w:tcPr>
          <w:p w14:paraId="065BFC3A" w14:textId="69BEBC1E"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(711)</w:t>
            </w:r>
          </w:p>
        </w:tc>
      </w:tr>
      <w:tr w:rsidR="004C7942" w:rsidRPr="007C039B" w14:paraId="4A80AFF8" w14:textId="77777777" w:rsidTr="002964C0">
        <w:trPr>
          <w:trHeight w:val="204"/>
        </w:trPr>
        <w:tc>
          <w:tcPr>
            <w:tcW w:w="2100" w:type="pct"/>
            <w:tcBorders>
              <w:top w:val="nil"/>
              <w:left w:val="nil"/>
              <w:bottom w:val="nil"/>
              <w:right w:val="nil"/>
            </w:tcBorders>
            <w:shd w:val="clear" w:color="auto" w:fill="auto"/>
            <w:vAlign w:val="center"/>
            <w:hideMark/>
          </w:tcPr>
          <w:p w14:paraId="0B2C0F37" w14:textId="77777777" w:rsidR="004C7942" w:rsidRPr="007C039B" w:rsidRDefault="004C7942" w:rsidP="004C7942">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7C039B">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34506189" w14:textId="06930265"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515</w:t>
            </w:r>
          </w:p>
        </w:tc>
        <w:tc>
          <w:tcPr>
            <w:tcW w:w="574" w:type="pct"/>
            <w:tcBorders>
              <w:top w:val="nil"/>
              <w:left w:val="nil"/>
              <w:bottom w:val="single" w:sz="4" w:space="0" w:color="000000"/>
              <w:right w:val="nil"/>
            </w:tcBorders>
            <w:shd w:val="clear" w:color="000000" w:fill="E6E6E6"/>
            <w:noWrap/>
            <w:vAlign w:val="bottom"/>
            <w:hideMark/>
          </w:tcPr>
          <w:p w14:paraId="0ABA9339" w14:textId="50CF824E"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684</w:t>
            </w:r>
          </w:p>
        </w:tc>
        <w:tc>
          <w:tcPr>
            <w:tcW w:w="574" w:type="pct"/>
            <w:tcBorders>
              <w:top w:val="nil"/>
              <w:left w:val="nil"/>
              <w:bottom w:val="single" w:sz="4" w:space="0" w:color="000000"/>
              <w:right w:val="nil"/>
            </w:tcBorders>
            <w:shd w:val="clear" w:color="auto" w:fill="auto"/>
            <w:noWrap/>
            <w:vAlign w:val="bottom"/>
            <w:hideMark/>
          </w:tcPr>
          <w:p w14:paraId="32AEAC01" w14:textId="66EFD219"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(24)</w:t>
            </w:r>
          </w:p>
        </w:tc>
        <w:tc>
          <w:tcPr>
            <w:tcW w:w="574" w:type="pct"/>
            <w:tcBorders>
              <w:top w:val="nil"/>
              <w:left w:val="nil"/>
              <w:bottom w:val="single" w:sz="4" w:space="0" w:color="000000"/>
              <w:right w:val="nil"/>
            </w:tcBorders>
            <w:shd w:val="clear" w:color="auto" w:fill="auto"/>
            <w:noWrap/>
            <w:vAlign w:val="bottom"/>
            <w:hideMark/>
          </w:tcPr>
          <w:p w14:paraId="720961FA" w14:textId="43C6CB38"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4</w:t>
            </w:r>
          </w:p>
        </w:tc>
        <w:tc>
          <w:tcPr>
            <w:tcW w:w="573" w:type="pct"/>
            <w:tcBorders>
              <w:top w:val="nil"/>
              <w:left w:val="nil"/>
              <w:bottom w:val="single" w:sz="4" w:space="0" w:color="000000"/>
              <w:right w:val="nil"/>
            </w:tcBorders>
            <w:shd w:val="clear" w:color="auto" w:fill="auto"/>
            <w:noWrap/>
            <w:vAlign w:val="bottom"/>
            <w:hideMark/>
          </w:tcPr>
          <w:p w14:paraId="6D0095D3" w14:textId="3C6EF7DD" w:rsidR="004C7942" w:rsidRPr="00603CF4" w:rsidRDefault="004C7942" w:rsidP="004C7942">
            <w:pPr>
              <w:spacing w:before="0" w:after="0" w:line="240" w:lineRule="auto"/>
              <w:jc w:val="right"/>
              <w:rPr>
                <w:rFonts w:ascii="Arial" w:hAnsi="Arial" w:cs="Arial"/>
                <w:b/>
                <w:bCs/>
                <w:color w:val="000000"/>
                <w:sz w:val="16"/>
                <w:szCs w:val="16"/>
                <w:highlight w:val="yellow"/>
              </w:rPr>
            </w:pPr>
            <w:r w:rsidRPr="00B678C5">
              <w:rPr>
                <w:rFonts w:ascii="Arial" w:hAnsi="Arial" w:cs="Arial"/>
                <w:b/>
                <w:bCs/>
                <w:color w:val="000000"/>
                <w:sz w:val="16"/>
                <w:szCs w:val="16"/>
              </w:rPr>
              <w:t>6</w:t>
            </w:r>
          </w:p>
        </w:tc>
      </w:tr>
      <w:tr w:rsidR="004C7942" w:rsidRPr="007C039B" w14:paraId="75E0C5EB" w14:textId="77777777" w:rsidTr="002964C0">
        <w:trPr>
          <w:trHeight w:val="204"/>
        </w:trPr>
        <w:tc>
          <w:tcPr>
            <w:tcW w:w="2100" w:type="pct"/>
            <w:tcBorders>
              <w:top w:val="nil"/>
              <w:left w:val="nil"/>
              <w:bottom w:val="nil"/>
              <w:right w:val="nil"/>
            </w:tcBorders>
            <w:shd w:val="clear" w:color="auto" w:fill="auto"/>
            <w:vAlign w:val="center"/>
            <w:hideMark/>
          </w:tcPr>
          <w:p w14:paraId="45EBA1B9" w14:textId="1FA52DDF" w:rsidR="004C7942" w:rsidRPr="007C039B" w:rsidRDefault="004C7942" w:rsidP="004C7942">
            <w:pPr>
              <w:spacing w:before="0" w:after="0" w:line="240" w:lineRule="auto"/>
              <w:ind w:left="113"/>
              <w:rPr>
                <w:rFonts w:ascii="Arial" w:hAnsi="Arial" w:cs="Arial"/>
                <w:color w:val="000000"/>
                <w:sz w:val="16"/>
                <w:szCs w:val="16"/>
              </w:rPr>
            </w:pPr>
            <w:r w:rsidRPr="007C039B">
              <w:rPr>
                <w:rFonts w:ascii="Arial" w:hAnsi="Arial" w:cs="Arial"/>
                <w:color w:val="000000"/>
                <w:sz w:val="16"/>
                <w:szCs w:val="16"/>
              </w:rPr>
              <w:t>Cash and cash equivalents at the</w:t>
            </w:r>
            <w:r>
              <w:rPr>
                <w:rFonts w:ascii="Arial" w:hAnsi="Arial" w:cs="Arial"/>
                <w:color w:val="000000"/>
                <w:sz w:val="16"/>
                <w:szCs w:val="16"/>
              </w:rPr>
              <w:t xml:space="preserve"> </w:t>
            </w:r>
            <w:r w:rsidRPr="007C039B">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7BA80DDF" w14:textId="00C6CED8"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4,482</w:t>
            </w:r>
          </w:p>
        </w:tc>
        <w:tc>
          <w:tcPr>
            <w:tcW w:w="574" w:type="pct"/>
            <w:tcBorders>
              <w:top w:val="nil"/>
              <w:left w:val="nil"/>
              <w:bottom w:val="nil"/>
              <w:right w:val="nil"/>
            </w:tcBorders>
            <w:shd w:val="clear" w:color="000000" w:fill="E6E6E6"/>
            <w:noWrap/>
            <w:vAlign w:val="bottom"/>
            <w:hideMark/>
          </w:tcPr>
          <w:p w14:paraId="792911C7" w14:textId="3F07A34E"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4,997</w:t>
            </w:r>
          </w:p>
        </w:tc>
        <w:tc>
          <w:tcPr>
            <w:tcW w:w="574" w:type="pct"/>
            <w:tcBorders>
              <w:top w:val="nil"/>
              <w:left w:val="nil"/>
              <w:bottom w:val="nil"/>
              <w:right w:val="nil"/>
            </w:tcBorders>
            <w:shd w:val="clear" w:color="auto" w:fill="auto"/>
            <w:noWrap/>
            <w:vAlign w:val="bottom"/>
            <w:hideMark/>
          </w:tcPr>
          <w:p w14:paraId="379C038B" w14:textId="522F0B48"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5,681</w:t>
            </w:r>
          </w:p>
        </w:tc>
        <w:tc>
          <w:tcPr>
            <w:tcW w:w="574" w:type="pct"/>
            <w:tcBorders>
              <w:top w:val="nil"/>
              <w:left w:val="nil"/>
              <w:bottom w:val="nil"/>
              <w:right w:val="nil"/>
            </w:tcBorders>
            <w:shd w:val="clear" w:color="auto" w:fill="auto"/>
            <w:noWrap/>
            <w:vAlign w:val="bottom"/>
            <w:hideMark/>
          </w:tcPr>
          <w:p w14:paraId="7740B5E6" w14:textId="6CC1DA08"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5,657</w:t>
            </w:r>
          </w:p>
        </w:tc>
        <w:tc>
          <w:tcPr>
            <w:tcW w:w="573" w:type="pct"/>
            <w:tcBorders>
              <w:top w:val="nil"/>
              <w:left w:val="nil"/>
              <w:bottom w:val="nil"/>
              <w:right w:val="nil"/>
            </w:tcBorders>
            <w:shd w:val="clear" w:color="auto" w:fill="auto"/>
            <w:noWrap/>
            <w:vAlign w:val="bottom"/>
            <w:hideMark/>
          </w:tcPr>
          <w:p w14:paraId="088F208F" w14:textId="2DDE6F60" w:rsidR="004C7942" w:rsidRPr="00603CF4" w:rsidRDefault="004C7942" w:rsidP="004C7942">
            <w:pPr>
              <w:spacing w:before="0" w:after="0" w:line="240" w:lineRule="auto"/>
              <w:jc w:val="right"/>
              <w:rPr>
                <w:rFonts w:ascii="Arial" w:hAnsi="Arial" w:cs="Arial"/>
                <w:color w:val="000000"/>
                <w:sz w:val="16"/>
                <w:szCs w:val="16"/>
                <w:highlight w:val="yellow"/>
              </w:rPr>
            </w:pPr>
            <w:r w:rsidRPr="00B678C5">
              <w:rPr>
                <w:rFonts w:ascii="Arial" w:hAnsi="Arial" w:cs="Arial"/>
                <w:color w:val="000000"/>
                <w:sz w:val="16"/>
                <w:szCs w:val="16"/>
              </w:rPr>
              <w:t>5,661</w:t>
            </w:r>
          </w:p>
        </w:tc>
      </w:tr>
      <w:tr w:rsidR="004C7942" w:rsidRPr="007C039B" w14:paraId="3509BB8C" w14:textId="77777777" w:rsidTr="002964C0">
        <w:trPr>
          <w:trHeight w:val="204"/>
        </w:trPr>
        <w:tc>
          <w:tcPr>
            <w:tcW w:w="2100" w:type="pct"/>
            <w:tcBorders>
              <w:top w:val="nil"/>
              <w:left w:val="nil"/>
              <w:bottom w:val="single" w:sz="4" w:space="0" w:color="auto"/>
              <w:right w:val="nil"/>
            </w:tcBorders>
            <w:shd w:val="clear" w:color="auto" w:fill="auto"/>
            <w:vAlign w:val="center"/>
            <w:hideMark/>
          </w:tcPr>
          <w:p w14:paraId="4B15BC82" w14:textId="77777777" w:rsidR="004C7942" w:rsidRPr="007C039B" w:rsidRDefault="004C7942" w:rsidP="004C7942">
            <w:pPr>
              <w:spacing w:before="0" w:after="0" w:line="240" w:lineRule="auto"/>
              <w:rPr>
                <w:rFonts w:ascii="Arial" w:hAnsi="Arial" w:cs="Arial"/>
                <w:b/>
                <w:bCs/>
                <w:color w:val="000000"/>
                <w:sz w:val="16"/>
                <w:szCs w:val="16"/>
              </w:rPr>
            </w:pPr>
            <w:r w:rsidRPr="007C039B">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7C039B">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1BEDB60C" w14:textId="0827AEEF" w:rsidR="004C7942" w:rsidRPr="00603CF4" w:rsidRDefault="004C7942" w:rsidP="004C7942">
            <w:pPr>
              <w:spacing w:before="0" w:after="0" w:line="240" w:lineRule="auto"/>
              <w:jc w:val="right"/>
              <w:rPr>
                <w:rFonts w:ascii="Arial" w:hAnsi="Arial" w:cs="Arial"/>
                <w:b/>
                <w:color w:val="000000"/>
                <w:sz w:val="16"/>
                <w:szCs w:val="16"/>
                <w:highlight w:val="yellow"/>
              </w:rPr>
            </w:pPr>
            <w:r w:rsidRPr="000D23C7">
              <w:rPr>
                <w:rFonts w:ascii="Arial" w:hAnsi="Arial" w:cs="Arial"/>
                <w:b/>
                <w:color w:val="000000"/>
                <w:sz w:val="16"/>
                <w:szCs w:val="16"/>
              </w:rPr>
              <w:t>4,997</w:t>
            </w:r>
          </w:p>
        </w:tc>
        <w:tc>
          <w:tcPr>
            <w:tcW w:w="574" w:type="pct"/>
            <w:tcBorders>
              <w:top w:val="single" w:sz="4" w:space="0" w:color="000000"/>
              <w:left w:val="nil"/>
              <w:bottom w:val="single" w:sz="4" w:space="0" w:color="auto"/>
              <w:right w:val="nil"/>
            </w:tcBorders>
            <w:shd w:val="clear" w:color="000000" w:fill="E6E6E6"/>
            <w:noWrap/>
            <w:vAlign w:val="bottom"/>
            <w:hideMark/>
          </w:tcPr>
          <w:p w14:paraId="096DB6A4" w14:textId="756EAB89" w:rsidR="004C7942" w:rsidRPr="00603CF4" w:rsidRDefault="004C7942" w:rsidP="004C7942">
            <w:pPr>
              <w:spacing w:before="0" w:after="0" w:line="240" w:lineRule="auto"/>
              <w:jc w:val="right"/>
              <w:rPr>
                <w:rFonts w:ascii="Arial" w:hAnsi="Arial" w:cs="Arial"/>
                <w:b/>
                <w:color w:val="000000"/>
                <w:sz w:val="16"/>
                <w:szCs w:val="16"/>
                <w:highlight w:val="yellow"/>
              </w:rPr>
            </w:pPr>
            <w:r w:rsidRPr="000D23C7">
              <w:rPr>
                <w:rFonts w:ascii="Arial" w:hAnsi="Arial" w:cs="Arial"/>
                <w:b/>
                <w:color w:val="000000"/>
                <w:sz w:val="16"/>
                <w:szCs w:val="16"/>
              </w:rPr>
              <w:t>5,681</w:t>
            </w:r>
          </w:p>
        </w:tc>
        <w:tc>
          <w:tcPr>
            <w:tcW w:w="574" w:type="pct"/>
            <w:tcBorders>
              <w:top w:val="single" w:sz="4" w:space="0" w:color="000000"/>
              <w:left w:val="nil"/>
              <w:bottom w:val="single" w:sz="4" w:space="0" w:color="auto"/>
              <w:right w:val="nil"/>
            </w:tcBorders>
            <w:shd w:val="clear" w:color="auto" w:fill="auto"/>
            <w:noWrap/>
            <w:vAlign w:val="bottom"/>
            <w:hideMark/>
          </w:tcPr>
          <w:p w14:paraId="5104619B" w14:textId="31B7A71F" w:rsidR="004C7942" w:rsidRPr="00603CF4" w:rsidRDefault="004C7942" w:rsidP="004C7942">
            <w:pPr>
              <w:spacing w:before="0" w:after="0" w:line="240" w:lineRule="auto"/>
              <w:jc w:val="right"/>
              <w:rPr>
                <w:rFonts w:ascii="Arial" w:hAnsi="Arial" w:cs="Arial"/>
                <w:b/>
                <w:color w:val="000000"/>
                <w:sz w:val="16"/>
                <w:szCs w:val="16"/>
                <w:highlight w:val="yellow"/>
              </w:rPr>
            </w:pPr>
            <w:r w:rsidRPr="000D23C7">
              <w:rPr>
                <w:rFonts w:ascii="Arial" w:hAnsi="Arial" w:cs="Arial"/>
                <w:b/>
                <w:color w:val="000000"/>
                <w:sz w:val="16"/>
                <w:szCs w:val="16"/>
              </w:rPr>
              <w:t>5,657</w:t>
            </w:r>
          </w:p>
        </w:tc>
        <w:tc>
          <w:tcPr>
            <w:tcW w:w="574" w:type="pct"/>
            <w:tcBorders>
              <w:top w:val="single" w:sz="4" w:space="0" w:color="000000"/>
              <w:left w:val="nil"/>
              <w:bottom w:val="single" w:sz="4" w:space="0" w:color="auto"/>
              <w:right w:val="nil"/>
            </w:tcBorders>
            <w:shd w:val="clear" w:color="auto" w:fill="auto"/>
            <w:noWrap/>
            <w:vAlign w:val="bottom"/>
            <w:hideMark/>
          </w:tcPr>
          <w:p w14:paraId="302161B5" w14:textId="6D932FF1" w:rsidR="004C7942" w:rsidRPr="00603CF4" w:rsidRDefault="004C7942" w:rsidP="004C7942">
            <w:pPr>
              <w:spacing w:before="0" w:after="0" w:line="240" w:lineRule="auto"/>
              <w:jc w:val="right"/>
              <w:rPr>
                <w:rFonts w:ascii="Arial" w:hAnsi="Arial" w:cs="Arial"/>
                <w:b/>
                <w:color w:val="000000"/>
                <w:sz w:val="16"/>
                <w:szCs w:val="16"/>
                <w:highlight w:val="yellow"/>
              </w:rPr>
            </w:pPr>
            <w:r w:rsidRPr="000D23C7">
              <w:rPr>
                <w:rFonts w:ascii="Arial" w:hAnsi="Arial" w:cs="Arial"/>
                <w:b/>
                <w:color w:val="000000"/>
                <w:sz w:val="16"/>
                <w:szCs w:val="16"/>
              </w:rPr>
              <w:t>5,661</w:t>
            </w:r>
          </w:p>
        </w:tc>
        <w:tc>
          <w:tcPr>
            <w:tcW w:w="573" w:type="pct"/>
            <w:tcBorders>
              <w:top w:val="single" w:sz="4" w:space="0" w:color="000000"/>
              <w:left w:val="nil"/>
              <w:bottom w:val="single" w:sz="4" w:space="0" w:color="auto"/>
              <w:right w:val="nil"/>
            </w:tcBorders>
            <w:shd w:val="clear" w:color="auto" w:fill="auto"/>
            <w:noWrap/>
            <w:vAlign w:val="bottom"/>
            <w:hideMark/>
          </w:tcPr>
          <w:p w14:paraId="0BAE33E6" w14:textId="42A32F08" w:rsidR="004C7942" w:rsidRPr="00603CF4" w:rsidRDefault="004C7942" w:rsidP="004C7942">
            <w:pPr>
              <w:spacing w:before="0" w:after="0" w:line="240" w:lineRule="auto"/>
              <w:jc w:val="right"/>
              <w:rPr>
                <w:rFonts w:ascii="Arial" w:hAnsi="Arial" w:cs="Arial"/>
                <w:b/>
                <w:color w:val="000000"/>
                <w:sz w:val="16"/>
                <w:szCs w:val="16"/>
                <w:highlight w:val="yellow"/>
              </w:rPr>
            </w:pPr>
            <w:r w:rsidRPr="000D23C7">
              <w:rPr>
                <w:rFonts w:ascii="Arial" w:hAnsi="Arial" w:cs="Arial"/>
                <w:b/>
                <w:color w:val="000000"/>
                <w:sz w:val="16"/>
                <w:szCs w:val="16"/>
              </w:rPr>
              <w:t>5,667</w:t>
            </w:r>
          </w:p>
        </w:tc>
      </w:tr>
    </w:tbl>
    <w:p w14:paraId="516CBE27" w14:textId="77777777" w:rsidR="00FA354D" w:rsidRPr="00132F9E" w:rsidRDefault="00FA354D" w:rsidP="00FA354D">
      <w:pPr>
        <w:pStyle w:val="ChartandTableFootnote"/>
        <w:rPr>
          <w:rFonts w:cs="Arial"/>
          <w:szCs w:val="16"/>
        </w:rPr>
      </w:pPr>
      <w:r w:rsidRPr="00132F9E">
        <w:t>Prepared on Australian Accounting Standards basis.</w:t>
      </w:r>
    </w:p>
    <w:p w14:paraId="53C7C545" w14:textId="3DD15429" w:rsidR="00FA354D" w:rsidRPr="00AA6A77" w:rsidRDefault="00FA354D" w:rsidP="00FA354D">
      <w:pPr>
        <w:pStyle w:val="TableHeading"/>
      </w:pPr>
      <w:r>
        <w:br w:type="page"/>
      </w:r>
      <w:r w:rsidRPr="003052A9">
        <w:lastRenderedPageBreak/>
        <w:t xml:space="preserve">Table 3.5: </w:t>
      </w:r>
      <w:r w:rsidR="003352C5">
        <w:t>Departmental</w:t>
      </w:r>
      <w:r w:rsidRPr="003052A9">
        <w:t xml:space="preserve">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603CF4" w:rsidRPr="00B57B93" w14:paraId="13F172F6" w14:textId="77777777" w:rsidTr="00603CF4">
        <w:trPr>
          <w:trHeight w:val="204"/>
        </w:trPr>
        <w:tc>
          <w:tcPr>
            <w:tcW w:w="2100" w:type="pct"/>
            <w:tcBorders>
              <w:top w:val="single" w:sz="4" w:space="0" w:color="auto"/>
              <w:left w:val="nil"/>
              <w:bottom w:val="nil"/>
              <w:right w:val="nil"/>
            </w:tcBorders>
            <w:shd w:val="clear" w:color="auto" w:fill="auto"/>
            <w:noWrap/>
            <w:hideMark/>
          </w:tcPr>
          <w:p w14:paraId="31E7BF82" w14:textId="77777777" w:rsidR="00603CF4" w:rsidRPr="00B57B93" w:rsidRDefault="00603CF4" w:rsidP="00603CF4">
            <w:pPr>
              <w:spacing w:before="0" w:after="0" w:line="240" w:lineRule="auto"/>
              <w:rPr>
                <w:rFonts w:ascii="Arial" w:hAnsi="Arial" w:cs="Arial"/>
                <w:b/>
                <w:bCs/>
                <w:sz w:val="16"/>
                <w:szCs w:val="16"/>
              </w:rPr>
            </w:pPr>
            <w:r w:rsidRPr="00B57B93">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2AAB718" w14:textId="53C47521"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2024-25</w:t>
            </w:r>
            <w:r w:rsidRPr="004C7942">
              <w:rPr>
                <w:rFonts w:ascii="Arial" w:hAnsi="Arial" w:cs="Arial"/>
                <w:sz w:val="16"/>
                <w:szCs w:val="16"/>
              </w:rPr>
              <w:br/>
              <w:t>Estimated</w:t>
            </w:r>
            <w:r w:rsidRPr="004C7942">
              <w:rPr>
                <w:rFonts w:ascii="Arial" w:hAnsi="Arial" w:cs="Arial"/>
                <w:sz w:val="16"/>
                <w:szCs w:val="16"/>
              </w:rPr>
              <w:br/>
              <w:t>actual</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0A3ED788" w14:textId="320114AF"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2025-26</w:t>
            </w:r>
            <w:r w:rsidRPr="004C7942">
              <w:rPr>
                <w:rFonts w:ascii="Arial" w:hAnsi="Arial" w:cs="Arial"/>
                <w:sz w:val="16"/>
                <w:szCs w:val="16"/>
              </w:rPr>
              <w:br/>
              <w:t>Budget</w:t>
            </w:r>
            <w:r w:rsidRPr="004C7942">
              <w:rPr>
                <w:rFonts w:ascii="Arial" w:hAnsi="Arial" w:cs="Arial"/>
                <w:sz w:val="16"/>
                <w:szCs w:val="16"/>
              </w:rPr>
              <w:br/>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7DF3EA5" w14:textId="401F0AC8"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2026-27</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A73094C" w14:textId="0F896791"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2027-28</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A387BC7" w14:textId="12C6B3F6" w:rsidR="00603CF4" w:rsidRPr="004C7942" w:rsidRDefault="00603CF4" w:rsidP="00603CF4">
            <w:pPr>
              <w:spacing w:before="0" w:after="0" w:line="240" w:lineRule="auto"/>
              <w:jc w:val="right"/>
              <w:rPr>
                <w:rFonts w:ascii="Arial" w:hAnsi="Arial" w:cs="Arial"/>
                <w:sz w:val="16"/>
                <w:szCs w:val="16"/>
              </w:rPr>
            </w:pPr>
            <w:r w:rsidRPr="004C7942">
              <w:rPr>
                <w:rFonts w:ascii="Arial" w:hAnsi="Arial" w:cs="Arial"/>
                <w:sz w:val="16"/>
                <w:szCs w:val="16"/>
              </w:rPr>
              <w:t>2028-29</w:t>
            </w:r>
            <w:r w:rsidRPr="004C7942">
              <w:rPr>
                <w:rFonts w:ascii="Arial" w:hAnsi="Arial" w:cs="Arial"/>
                <w:sz w:val="16"/>
                <w:szCs w:val="16"/>
              </w:rPr>
              <w:br/>
              <w:t>Forward</w:t>
            </w:r>
            <w:r w:rsidRPr="004C7942">
              <w:rPr>
                <w:rFonts w:ascii="Arial" w:hAnsi="Arial" w:cs="Arial"/>
                <w:sz w:val="16"/>
                <w:szCs w:val="16"/>
              </w:rPr>
              <w:br/>
              <w:t>estimate</w:t>
            </w:r>
            <w:r w:rsidRPr="004C7942">
              <w:rPr>
                <w:rFonts w:ascii="Arial" w:hAnsi="Arial" w:cs="Arial"/>
                <w:sz w:val="16"/>
                <w:szCs w:val="16"/>
              </w:rPr>
              <w:br/>
              <w:t>$'000</w:t>
            </w:r>
          </w:p>
        </w:tc>
      </w:tr>
      <w:tr w:rsidR="00FA354D" w:rsidRPr="00B57B93" w14:paraId="3854F2BE" w14:textId="77777777" w:rsidTr="00603CF4">
        <w:trPr>
          <w:trHeight w:val="204"/>
        </w:trPr>
        <w:tc>
          <w:tcPr>
            <w:tcW w:w="2100" w:type="pct"/>
            <w:tcBorders>
              <w:top w:val="nil"/>
              <w:left w:val="nil"/>
              <w:bottom w:val="nil"/>
              <w:right w:val="nil"/>
            </w:tcBorders>
            <w:shd w:val="clear" w:color="auto" w:fill="auto"/>
            <w:vAlign w:val="center"/>
            <w:hideMark/>
          </w:tcPr>
          <w:p w14:paraId="30D40FE6" w14:textId="77777777" w:rsidR="00FA354D" w:rsidRPr="00B57B93" w:rsidRDefault="00FA354D" w:rsidP="00FA354D">
            <w:pPr>
              <w:spacing w:before="0" w:after="0" w:line="240" w:lineRule="auto"/>
              <w:rPr>
                <w:rFonts w:ascii="Arial" w:hAnsi="Arial" w:cs="Arial"/>
                <w:b/>
                <w:bCs/>
                <w:sz w:val="16"/>
                <w:szCs w:val="16"/>
              </w:rPr>
            </w:pPr>
            <w:r w:rsidRPr="00B57B93">
              <w:rPr>
                <w:rFonts w:ascii="Arial" w:hAnsi="Arial" w:cs="Arial"/>
                <w:b/>
                <w:bCs/>
                <w:sz w:val="16"/>
                <w:szCs w:val="16"/>
              </w:rPr>
              <w:t>PURCHASE OF NON-FINANCIAL</w:t>
            </w:r>
            <w:r>
              <w:rPr>
                <w:rFonts w:ascii="Arial" w:hAnsi="Arial" w:cs="Arial"/>
                <w:b/>
                <w:bCs/>
                <w:sz w:val="16"/>
                <w:szCs w:val="16"/>
              </w:rPr>
              <w:t xml:space="preserve"> </w:t>
            </w:r>
            <w:r w:rsidRPr="00B57B93">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14:paraId="5272BDCD" w14:textId="77777777" w:rsidR="00FA354D" w:rsidRPr="004C7942" w:rsidRDefault="00FA354D" w:rsidP="00584080">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16E833BF" w14:textId="77777777" w:rsidR="00FA354D" w:rsidRPr="004C7942" w:rsidRDefault="00FA354D" w:rsidP="00584080">
            <w:pPr>
              <w:spacing w:before="0" w:after="0" w:line="240" w:lineRule="auto"/>
              <w:jc w:val="right"/>
              <w:rPr>
                <w:rFonts w:ascii="Arial" w:hAnsi="Arial" w:cs="Arial"/>
                <w:sz w:val="16"/>
                <w:szCs w:val="16"/>
              </w:rPr>
            </w:pPr>
            <w:r w:rsidRPr="004C7942">
              <w:rPr>
                <w:rFonts w:ascii="Arial" w:hAnsi="Arial" w:cs="Arial"/>
                <w:sz w:val="16"/>
                <w:szCs w:val="16"/>
              </w:rPr>
              <w:t> </w:t>
            </w:r>
          </w:p>
        </w:tc>
        <w:tc>
          <w:tcPr>
            <w:tcW w:w="574" w:type="pct"/>
            <w:tcBorders>
              <w:top w:val="nil"/>
              <w:left w:val="nil"/>
              <w:bottom w:val="nil"/>
              <w:right w:val="nil"/>
            </w:tcBorders>
            <w:shd w:val="clear" w:color="auto" w:fill="auto"/>
            <w:vAlign w:val="bottom"/>
            <w:hideMark/>
          </w:tcPr>
          <w:p w14:paraId="6515EACB" w14:textId="77777777" w:rsidR="00FA354D" w:rsidRPr="004C7942" w:rsidRDefault="00FA354D" w:rsidP="0058408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14DD67BB" w14:textId="77777777" w:rsidR="00FA354D" w:rsidRPr="004C7942" w:rsidRDefault="00FA354D" w:rsidP="00584080">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14:paraId="0CE13FB0" w14:textId="77777777" w:rsidR="00FA354D" w:rsidRPr="004C7942" w:rsidRDefault="00FA354D" w:rsidP="00584080">
            <w:pPr>
              <w:spacing w:before="0" w:after="0" w:line="240" w:lineRule="auto"/>
              <w:jc w:val="right"/>
              <w:rPr>
                <w:rFonts w:ascii="Times New Roman" w:hAnsi="Times New Roman"/>
                <w:sz w:val="20"/>
              </w:rPr>
            </w:pPr>
          </w:p>
        </w:tc>
      </w:tr>
      <w:tr w:rsidR="004C7942" w:rsidRPr="00B57B93" w14:paraId="01F5E0D2" w14:textId="77777777" w:rsidTr="004C7942">
        <w:trPr>
          <w:trHeight w:val="204"/>
        </w:trPr>
        <w:tc>
          <w:tcPr>
            <w:tcW w:w="2100" w:type="pct"/>
            <w:tcBorders>
              <w:top w:val="nil"/>
              <w:left w:val="nil"/>
              <w:bottom w:val="nil"/>
              <w:right w:val="nil"/>
            </w:tcBorders>
            <w:shd w:val="clear" w:color="auto" w:fill="auto"/>
            <w:vAlign w:val="center"/>
            <w:hideMark/>
          </w:tcPr>
          <w:p w14:paraId="2DF13885" w14:textId="00AFAB2B" w:rsidR="004C7942" w:rsidRPr="00B57B93" w:rsidRDefault="004C7942" w:rsidP="004C7942">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B57B93">
              <w:rPr>
                <w:rFonts w:ascii="Arial" w:hAnsi="Arial" w:cs="Arial"/>
                <w:sz w:val="16"/>
                <w:szCs w:val="16"/>
              </w:rPr>
              <w:t xml:space="preserve"> internally from </w:t>
            </w:r>
            <w:r w:rsidR="003352C5">
              <w:rPr>
                <w:rFonts w:ascii="Arial" w:hAnsi="Arial" w:cs="Arial"/>
                <w:sz w:val="16"/>
                <w:szCs w:val="16"/>
              </w:rPr>
              <w:t>Departmental</w:t>
            </w:r>
            <w:r>
              <w:rPr>
                <w:rFonts w:ascii="Arial" w:hAnsi="Arial" w:cs="Arial"/>
                <w:sz w:val="16"/>
                <w:szCs w:val="16"/>
              </w:rPr>
              <w:t xml:space="preserve"> </w:t>
            </w:r>
            <w:r w:rsidRPr="00B57B93">
              <w:rPr>
                <w:rFonts w:ascii="Arial" w:hAnsi="Arial" w:cs="Arial"/>
                <w:sz w:val="16"/>
                <w:szCs w:val="16"/>
              </w:rPr>
              <w:t>resources</w:t>
            </w:r>
            <w:r w:rsidRPr="006436A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1A120376" w14:textId="284F301D"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264</w:t>
            </w:r>
          </w:p>
        </w:tc>
        <w:tc>
          <w:tcPr>
            <w:tcW w:w="574" w:type="pct"/>
            <w:tcBorders>
              <w:top w:val="nil"/>
              <w:left w:val="nil"/>
              <w:bottom w:val="nil"/>
              <w:right w:val="nil"/>
            </w:tcBorders>
            <w:shd w:val="clear" w:color="000000" w:fill="E6E6E6"/>
            <w:noWrap/>
            <w:vAlign w:val="bottom"/>
            <w:hideMark/>
          </w:tcPr>
          <w:p w14:paraId="401B81BC" w14:textId="00F58C6D"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90</w:t>
            </w:r>
          </w:p>
        </w:tc>
        <w:tc>
          <w:tcPr>
            <w:tcW w:w="574" w:type="pct"/>
            <w:tcBorders>
              <w:top w:val="nil"/>
              <w:left w:val="nil"/>
              <w:bottom w:val="nil"/>
              <w:right w:val="nil"/>
            </w:tcBorders>
            <w:shd w:val="clear" w:color="auto" w:fill="auto"/>
            <w:noWrap/>
            <w:vAlign w:val="bottom"/>
            <w:hideMark/>
          </w:tcPr>
          <w:p w14:paraId="7A4CE827" w14:textId="6718D470"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65</w:t>
            </w:r>
          </w:p>
        </w:tc>
        <w:tc>
          <w:tcPr>
            <w:tcW w:w="574" w:type="pct"/>
            <w:tcBorders>
              <w:top w:val="nil"/>
              <w:left w:val="nil"/>
              <w:bottom w:val="nil"/>
              <w:right w:val="nil"/>
            </w:tcBorders>
            <w:shd w:val="clear" w:color="auto" w:fill="auto"/>
            <w:noWrap/>
            <w:vAlign w:val="bottom"/>
            <w:hideMark/>
          </w:tcPr>
          <w:p w14:paraId="73731EB8" w14:textId="3E9AB849"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65</w:t>
            </w:r>
          </w:p>
        </w:tc>
        <w:tc>
          <w:tcPr>
            <w:tcW w:w="573" w:type="pct"/>
            <w:tcBorders>
              <w:top w:val="nil"/>
              <w:left w:val="nil"/>
              <w:bottom w:val="nil"/>
              <w:right w:val="nil"/>
            </w:tcBorders>
            <w:shd w:val="clear" w:color="auto" w:fill="auto"/>
            <w:noWrap/>
            <w:vAlign w:val="bottom"/>
            <w:hideMark/>
          </w:tcPr>
          <w:p w14:paraId="226E711B" w14:textId="509CA787"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5</w:t>
            </w:r>
          </w:p>
        </w:tc>
      </w:tr>
      <w:tr w:rsidR="004C7942" w:rsidRPr="00B57B93" w14:paraId="7C4DD19A" w14:textId="77777777" w:rsidTr="004C7942">
        <w:trPr>
          <w:trHeight w:val="204"/>
        </w:trPr>
        <w:tc>
          <w:tcPr>
            <w:tcW w:w="2100" w:type="pct"/>
            <w:tcBorders>
              <w:top w:val="nil"/>
              <w:left w:val="nil"/>
              <w:bottom w:val="nil"/>
              <w:right w:val="nil"/>
            </w:tcBorders>
            <w:shd w:val="clear" w:color="auto" w:fill="auto"/>
            <w:noWrap/>
            <w:vAlign w:val="center"/>
            <w:hideMark/>
          </w:tcPr>
          <w:p w14:paraId="50BE7AC1" w14:textId="77777777" w:rsidR="004C7942" w:rsidRPr="00B57B93" w:rsidRDefault="004C7942" w:rsidP="004C7942">
            <w:pPr>
              <w:spacing w:before="0" w:after="0" w:line="240" w:lineRule="auto"/>
              <w:rPr>
                <w:rFonts w:ascii="Arial" w:hAnsi="Arial" w:cs="Arial"/>
                <w:b/>
                <w:bCs/>
                <w:sz w:val="16"/>
                <w:szCs w:val="16"/>
              </w:rPr>
            </w:pPr>
            <w:r w:rsidRPr="00B57B93">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6782D3C" w14:textId="74DE9FB8"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264</w:t>
            </w:r>
          </w:p>
        </w:tc>
        <w:tc>
          <w:tcPr>
            <w:tcW w:w="574" w:type="pct"/>
            <w:tcBorders>
              <w:top w:val="single" w:sz="4" w:space="0" w:color="auto"/>
              <w:left w:val="nil"/>
              <w:bottom w:val="single" w:sz="4" w:space="0" w:color="auto"/>
              <w:right w:val="nil"/>
            </w:tcBorders>
            <w:shd w:val="clear" w:color="000000" w:fill="E6E6E6"/>
            <w:noWrap/>
            <w:vAlign w:val="bottom"/>
            <w:hideMark/>
          </w:tcPr>
          <w:p w14:paraId="3B6C2F96" w14:textId="39E3891D"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90</w:t>
            </w:r>
          </w:p>
        </w:tc>
        <w:tc>
          <w:tcPr>
            <w:tcW w:w="574" w:type="pct"/>
            <w:tcBorders>
              <w:top w:val="single" w:sz="4" w:space="0" w:color="auto"/>
              <w:left w:val="nil"/>
              <w:bottom w:val="single" w:sz="4" w:space="0" w:color="auto"/>
              <w:right w:val="nil"/>
            </w:tcBorders>
            <w:shd w:val="clear" w:color="auto" w:fill="auto"/>
            <w:noWrap/>
            <w:vAlign w:val="bottom"/>
            <w:hideMark/>
          </w:tcPr>
          <w:p w14:paraId="406A70B3" w14:textId="21FFAD2A"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65</w:t>
            </w:r>
          </w:p>
        </w:tc>
        <w:tc>
          <w:tcPr>
            <w:tcW w:w="574" w:type="pct"/>
            <w:tcBorders>
              <w:top w:val="single" w:sz="4" w:space="0" w:color="auto"/>
              <w:left w:val="nil"/>
              <w:bottom w:val="single" w:sz="4" w:space="0" w:color="auto"/>
              <w:right w:val="nil"/>
            </w:tcBorders>
            <w:shd w:val="clear" w:color="auto" w:fill="auto"/>
            <w:noWrap/>
            <w:vAlign w:val="bottom"/>
            <w:hideMark/>
          </w:tcPr>
          <w:p w14:paraId="4E724962" w14:textId="4D9C520B"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65</w:t>
            </w:r>
          </w:p>
        </w:tc>
        <w:tc>
          <w:tcPr>
            <w:tcW w:w="573" w:type="pct"/>
            <w:tcBorders>
              <w:top w:val="single" w:sz="4" w:space="0" w:color="auto"/>
              <w:left w:val="nil"/>
              <w:bottom w:val="single" w:sz="4" w:space="0" w:color="auto"/>
              <w:right w:val="nil"/>
            </w:tcBorders>
            <w:shd w:val="clear" w:color="auto" w:fill="auto"/>
            <w:noWrap/>
            <w:vAlign w:val="bottom"/>
            <w:hideMark/>
          </w:tcPr>
          <w:p w14:paraId="117623F3" w14:textId="1A949F4F"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5</w:t>
            </w:r>
          </w:p>
        </w:tc>
      </w:tr>
      <w:tr w:rsidR="00FA354D" w:rsidRPr="00B57B93" w14:paraId="782E3B5B" w14:textId="77777777" w:rsidTr="004C7942">
        <w:trPr>
          <w:trHeight w:val="204"/>
        </w:trPr>
        <w:tc>
          <w:tcPr>
            <w:tcW w:w="2100" w:type="pct"/>
            <w:tcBorders>
              <w:top w:val="nil"/>
              <w:left w:val="nil"/>
              <w:bottom w:val="nil"/>
              <w:right w:val="nil"/>
            </w:tcBorders>
            <w:shd w:val="clear" w:color="auto" w:fill="auto"/>
            <w:vAlign w:val="center"/>
            <w:hideMark/>
          </w:tcPr>
          <w:p w14:paraId="506F0737" w14:textId="77777777" w:rsidR="00FA354D" w:rsidRPr="00B57B93" w:rsidRDefault="00FA354D" w:rsidP="00FA354D">
            <w:pPr>
              <w:spacing w:before="0" w:after="0" w:line="240" w:lineRule="auto"/>
              <w:rPr>
                <w:rFonts w:ascii="Arial" w:hAnsi="Arial" w:cs="Arial"/>
                <w:b/>
                <w:bCs/>
                <w:sz w:val="16"/>
                <w:szCs w:val="16"/>
              </w:rPr>
            </w:pPr>
            <w:r w:rsidRPr="00B57B93">
              <w:rPr>
                <w:rFonts w:ascii="Arial" w:hAnsi="Arial" w:cs="Arial"/>
                <w:b/>
                <w:bCs/>
                <w:sz w:val="16"/>
                <w:szCs w:val="16"/>
              </w:rPr>
              <w:t>RECONCILIATION OF CASH USED</w:t>
            </w:r>
            <w:r>
              <w:rPr>
                <w:rFonts w:ascii="Arial" w:hAnsi="Arial" w:cs="Arial"/>
                <w:b/>
                <w:bCs/>
                <w:sz w:val="16"/>
                <w:szCs w:val="16"/>
              </w:rPr>
              <w:t xml:space="preserve"> </w:t>
            </w:r>
            <w:r w:rsidRPr="00B57B93">
              <w:rPr>
                <w:rFonts w:ascii="Arial" w:hAnsi="Arial" w:cs="Arial"/>
                <w:b/>
                <w:bCs/>
                <w:sz w:val="16"/>
                <w:szCs w:val="16"/>
              </w:rPr>
              <w:t>TO ACQUIRE ASSETS TO ASSET</w:t>
            </w:r>
            <w:r>
              <w:rPr>
                <w:rFonts w:ascii="Arial" w:hAnsi="Arial" w:cs="Arial"/>
                <w:b/>
                <w:bCs/>
                <w:sz w:val="16"/>
                <w:szCs w:val="16"/>
              </w:rPr>
              <w:t xml:space="preserve"> </w:t>
            </w:r>
            <w:r w:rsidRPr="00B57B93">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14:paraId="4E74B600" w14:textId="77777777" w:rsidR="00FA354D" w:rsidRPr="004C7942" w:rsidRDefault="00FA354D" w:rsidP="00584080">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6E7702DA" w14:textId="24D3CC2C" w:rsidR="00FA354D" w:rsidRPr="004C7942" w:rsidRDefault="00FA354D" w:rsidP="0058408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6B551C4" w14:textId="77777777" w:rsidR="00FA354D" w:rsidRPr="004C7942" w:rsidRDefault="00FA354D" w:rsidP="0058408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50EADAF" w14:textId="77777777" w:rsidR="00FA354D" w:rsidRPr="004C7942" w:rsidRDefault="00FA354D" w:rsidP="00584080">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F29F87A" w14:textId="77777777" w:rsidR="00FA354D" w:rsidRPr="004C7942" w:rsidRDefault="00FA354D" w:rsidP="00584080">
            <w:pPr>
              <w:spacing w:before="0" w:after="0" w:line="240" w:lineRule="auto"/>
              <w:jc w:val="right"/>
              <w:rPr>
                <w:rFonts w:ascii="Times New Roman" w:hAnsi="Times New Roman"/>
                <w:sz w:val="20"/>
              </w:rPr>
            </w:pPr>
          </w:p>
        </w:tc>
      </w:tr>
      <w:tr w:rsidR="004C7942" w:rsidRPr="00B57B93" w14:paraId="60F4EE5A" w14:textId="77777777" w:rsidTr="004C7942">
        <w:trPr>
          <w:trHeight w:val="204"/>
        </w:trPr>
        <w:tc>
          <w:tcPr>
            <w:tcW w:w="2100" w:type="pct"/>
            <w:tcBorders>
              <w:top w:val="nil"/>
              <w:left w:val="nil"/>
              <w:bottom w:val="nil"/>
              <w:right w:val="nil"/>
            </w:tcBorders>
            <w:shd w:val="clear" w:color="auto" w:fill="auto"/>
            <w:noWrap/>
            <w:vAlign w:val="center"/>
            <w:hideMark/>
          </w:tcPr>
          <w:p w14:paraId="20A80680" w14:textId="77777777" w:rsidR="004C7942" w:rsidRPr="00B57B93" w:rsidRDefault="004C7942" w:rsidP="004C7942">
            <w:pPr>
              <w:spacing w:before="0" w:after="0" w:line="240" w:lineRule="auto"/>
              <w:ind w:left="113"/>
              <w:rPr>
                <w:rFonts w:ascii="Arial" w:hAnsi="Arial" w:cs="Arial"/>
                <w:sz w:val="16"/>
                <w:szCs w:val="16"/>
              </w:rPr>
            </w:pPr>
            <w:r w:rsidRPr="00B57B93">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90E1A77" w14:textId="6C4C7D90"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264</w:t>
            </w:r>
          </w:p>
        </w:tc>
        <w:tc>
          <w:tcPr>
            <w:tcW w:w="574" w:type="pct"/>
            <w:tcBorders>
              <w:top w:val="nil"/>
              <w:left w:val="nil"/>
              <w:bottom w:val="nil"/>
              <w:right w:val="nil"/>
            </w:tcBorders>
            <w:shd w:val="clear" w:color="000000" w:fill="E6E6E6"/>
            <w:noWrap/>
            <w:vAlign w:val="bottom"/>
            <w:hideMark/>
          </w:tcPr>
          <w:p w14:paraId="5D1A2963" w14:textId="4D79E563"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90</w:t>
            </w:r>
          </w:p>
        </w:tc>
        <w:tc>
          <w:tcPr>
            <w:tcW w:w="574" w:type="pct"/>
            <w:tcBorders>
              <w:top w:val="nil"/>
              <w:left w:val="nil"/>
              <w:bottom w:val="nil"/>
              <w:right w:val="nil"/>
            </w:tcBorders>
            <w:shd w:val="clear" w:color="auto" w:fill="auto"/>
            <w:noWrap/>
            <w:vAlign w:val="bottom"/>
            <w:hideMark/>
          </w:tcPr>
          <w:p w14:paraId="4FB292DB" w14:textId="5861EC57"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65</w:t>
            </w:r>
          </w:p>
        </w:tc>
        <w:tc>
          <w:tcPr>
            <w:tcW w:w="574" w:type="pct"/>
            <w:tcBorders>
              <w:top w:val="nil"/>
              <w:left w:val="nil"/>
              <w:bottom w:val="nil"/>
              <w:right w:val="nil"/>
            </w:tcBorders>
            <w:shd w:val="clear" w:color="auto" w:fill="auto"/>
            <w:noWrap/>
            <w:vAlign w:val="bottom"/>
            <w:hideMark/>
          </w:tcPr>
          <w:p w14:paraId="10B8B7E0" w14:textId="3FB4BC98"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65</w:t>
            </w:r>
          </w:p>
        </w:tc>
        <w:tc>
          <w:tcPr>
            <w:tcW w:w="573" w:type="pct"/>
            <w:tcBorders>
              <w:top w:val="nil"/>
              <w:left w:val="nil"/>
              <w:bottom w:val="nil"/>
              <w:right w:val="nil"/>
            </w:tcBorders>
            <w:shd w:val="clear" w:color="auto" w:fill="auto"/>
            <w:noWrap/>
            <w:vAlign w:val="bottom"/>
            <w:hideMark/>
          </w:tcPr>
          <w:p w14:paraId="1972B776" w14:textId="13B3D7C8" w:rsidR="004C7942" w:rsidRPr="004C7942" w:rsidRDefault="004C7942" w:rsidP="004C7942">
            <w:pPr>
              <w:spacing w:before="0" w:after="0" w:line="240" w:lineRule="auto"/>
              <w:jc w:val="right"/>
              <w:rPr>
                <w:rFonts w:ascii="Arial" w:hAnsi="Arial" w:cs="Arial"/>
                <w:sz w:val="16"/>
                <w:szCs w:val="16"/>
              </w:rPr>
            </w:pPr>
            <w:r w:rsidRPr="004C7942">
              <w:rPr>
                <w:rFonts w:ascii="Arial" w:hAnsi="Arial" w:cs="Arial"/>
                <w:sz w:val="16"/>
                <w:szCs w:val="16"/>
              </w:rPr>
              <w:t>5</w:t>
            </w:r>
          </w:p>
        </w:tc>
      </w:tr>
      <w:tr w:rsidR="004C7942" w:rsidRPr="00B57B93" w14:paraId="313AD32C" w14:textId="77777777" w:rsidTr="004C7942">
        <w:trPr>
          <w:trHeight w:val="204"/>
        </w:trPr>
        <w:tc>
          <w:tcPr>
            <w:tcW w:w="2100" w:type="pct"/>
            <w:tcBorders>
              <w:top w:val="nil"/>
              <w:left w:val="nil"/>
              <w:bottom w:val="single" w:sz="4" w:space="0" w:color="auto"/>
              <w:right w:val="nil"/>
            </w:tcBorders>
            <w:shd w:val="clear" w:color="auto" w:fill="auto"/>
            <w:vAlign w:val="center"/>
            <w:hideMark/>
          </w:tcPr>
          <w:p w14:paraId="2F68CD49" w14:textId="77777777" w:rsidR="004C7942" w:rsidRPr="00B57B93" w:rsidRDefault="004C7942" w:rsidP="004C7942">
            <w:pPr>
              <w:spacing w:before="0" w:after="0" w:line="240" w:lineRule="auto"/>
              <w:rPr>
                <w:rFonts w:ascii="Arial" w:hAnsi="Arial" w:cs="Arial"/>
                <w:b/>
                <w:bCs/>
                <w:sz w:val="16"/>
                <w:szCs w:val="16"/>
              </w:rPr>
            </w:pPr>
            <w:r w:rsidRPr="00B57B93">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62983425" w14:textId="09DB7617"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264</w:t>
            </w:r>
          </w:p>
        </w:tc>
        <w:tc>
          <w:tcPr>
            <w:tcW w:w="574" w:type="pct"/>
            <w:tcBorders>
              <w:top w:val="single" w:sz="4" w:space="0" w:color="auto"/>
              <w:left w:val="nil"/>
              <w:bottom w:val="single" w:sz="4" w:space="0" w:color="auto"/>
              <w:right w:val="nil"/>
            </w:tcBorders>
            <w:shd w:val="clear" w:color="000000" w:fill="E6E6E6"/>
            <w:noWrap/>
            <w:vAlign w:val="bottom"/>
            <w:hideMark/>
          </w:tcPr>
          <w:p w14:paraId="04156C5A" w14:textId="2174A562"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90</w:t>
            </w:r>
          </w:p>
        </w:tc>
        <w:tc>
          <w:tcPr>
            <w:tcW w:w="574" w:type="pct"/>
            <w:tcBorders>
              <w:top w:val="single" w:sz="4" w:space="0" w:color="auto"/>
              <w:left w:val="nil"/>
              <w:bottom w:val="single" w:sz="4" w:space="0" w:color="auto"/>
              <w:right w:val="nil"/>
            </w:tcBorders>
            <w:shd w:val="clear" w:color="auto" w:fill="auto"/>
            <w:noWrap/>
            <w:vAlign w:val="bottom"/>
            <w:hideMark/>
          </w:tcPr>
          <w:p w14:paraId="44EA644E" w14:textId="044EBB98"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65</w:t>
            </w:r>
          </w:p>
        </w:tc>
        <w:tc>
          <w:tcPr>
            <w:tcW w:w="574" w:type="pct"/>
            <w:tcBorders>
              <w:top w:val="single" w:sz="4" w:space="0" w:color="auto"/>
              <w:left w:val="nil"/>
              <w:bottom w:val="single" w:sz="4" w:space="0" w:color="auto"/>
              <w:right w:val="nil"/>
            </w:tcBorders>
            <w:shd w:val="clear" w:color="auto" w:fill="auto"/>
            <w:noWrap/>
            <w:vAlign w:val="bottom"/>
            <w:hideMark/>
          </w:tcPr>
          <w:p w14:paraId="6F16D33C" w14:textId="41A4E7BC"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65</w:t>
            </w:r>
          </w:p>
        </w:tc>
        <w:tc>
          <w:tcPr>
            <w:tcW w:w="573" w:type="pct"/>
            <w:tcBorders>
              <w:top w:val="single" w:sz="4" w:space="0" w:color="auto"/>
              <w:left w:val="nil"/>
              <w:bottom w:val="single" w:sz="4" w:space="0" w:color="auto"/>
              <w:right w:val="nil"/>
            </w:tcBorders>
            <w:shd w:val="clear" w:color="auto" w:fill="auto"/>
            <w:noWrap/>
            <w:vAlign w:val="bottom"/>
            <w:hideMark/>
          </w:tcPr>
          <w:p w14:paraId="59B288E6" w14:textId="2FD0B52F" w:rsidR="004C7942" w:rsidRPr="004C7942" w:rsidRDefault="004C7942" w:rsidP="004C7942">
            <w:pPr>
              <w:spacing w:before="0" w:after="0" w:line="240" w:lineRule="auto"/>
              <w:jc w:val="right"/>
              <w:rPr>
                <w:rFonts w:ascii="Arial" w:hAnsi="Arial" w:cs="Arial"/>
                <w:b/>
                <w:bCs/>
                <w:sz w:val="16"/>
                <w:szCs w:val="16"/>
              </w:rPr>
            </w:pPr>
            <w:r w:rsidRPr="004C7942">
              <w:rPr>
                <w:rFonts w:ascii="Arial" w:hAnsi="Arial" w:cs="Arial"/>
                <w:b/>
                <w:bCs/>
                <w:sz w:val="16"/>
                <w:szCs w:val="16"/>
              </w:rPr>
              <w:t>5</w:t>
            </w:r>
          </w:p>
        </w:tc>
      </w:tr>
    </w:tbl>
    <w:p w14:paraId="38C3FCE0" w14:textId="77777777" w:rsidR="00FA354D" w:rsidRPr="00132F9E" w:rsidRDefault="00FA354D" w:rsidP="00FA354D">
      <w:pPr>
        <w:pStyle w:val="ChartandTableFootnote"/>
      </w:pPr>
      <w:r w:rsidRPr="00132F9E">
        <w:t>Prepared on Australian Accounting Standards basis.</w:t>
      </w:r>
    </w:p>
    <w:p w14:paraId="309F6599" w14:textId="4A397342" w:rsidR="004C7942" w:rsidRPr="00311D21" w:rsidRDefault="00FA354D" w:rsidP="00B43339">
      <w:pPr>
        <w:pStyle w:val="ChartandTableFootnote-Dash"/>
        <w:numPr>
          <w:ilvl w:val="0"/>
          <w:numId w:val="187"/>
        </w:numPr>
        <w:ind w:left="284" w:hanging="284"/>
        <w:rPr>
          <w:rFonts w:cs="Arial"/>
        </w:rPr>
      </w:pPr>
      <w:r w:rsidRPr="00E01B29">
        <w:rPr>
          <w:rFonts w:cs="Arial"/>
        </w:rPr>
        <w:t xml:space="preserve">Includes the following sources of funding: current Bill 1 </w:t>
      </w:r>
      <w:r w:rsidR="004C7942">
        <w:rPr>
          <w:rFonts w:cs="Arial"/>
        </w:rPr>
        <w:t>and Supply Bill (</w:t>
      </w:r>
      <w:r w:rsidR="00326326">
        <w:rPr>
          <w:rFonts w:cs="Arial"/>
        </w:rPr>
        <w:t>No. 1</w:t>
      </w:r>
      <w:r w:rsidR="004C7942">
        <w:rPr>
          <w:rFonts w:cs="Arial"/>
        </w:rPr>
        <w:t xml:space="preserve">) and </w:t>
      </w:r>
      <w:r w:rsidR="004C7942" w:rsidRPr="00311D21">
        <w:rPr>
          <w:rFonts w:cs="Arial"/>
        </w:rPr>
        <w:t xml:space="preserve"> prior year Act 1/3/5</w:t>
      </w:r>
      <w:r w:rsidR="004C7942">
        <w:rPr>
          <w:rFonts w:cs="Arial"/>
        </w:rPr>
        <w:t xml:space="preserve"> </w:t>
      </w:r>
      <w:r w:rsidR="004C7942" w:rsidRPr="00311D21">
        <w:rPr>
          <w:rFonts w:cs="Arial"/>
        </w:rPr>
        <w:t>appropriations (excluding amounts from the DCB).</w:t>
      </w:r>
    </w:p>
    <w:p w14:paraId="51C8F890" w14:textId="4FE21DD5" w:rsidR="00FA354D" w:rsidRPr="00E01B29" w:rsidRDefault="00FA354D" w:rsidP="004C7942">
      <w:pPr>
        <w:pStyle w:val="ChartandTableFootnoteAlpha"/>
        <w:numPr>
          <w:ilvl w:val="0"/>
          <w:numId w:val="0"/>
        </w:numPr>
        <w:ind w:left="357"/>
        <w:rPr>
          <w:rFonts w:cs="Arial"/>
        </w:rPr>
      </w:pPr>
    </w:p>
    <w:p w14:paraId="25F48854" w14:textId="77777777" w:rsidR="00FA354D" w:rsidRDefault="00FA354D" w:rsidP="00FA354D">
      <w:pPr>
        <w:spacing w:before="0" w:after="0" w:line="240" w:lineRule="auto"/>
      </w:pPr>
      <w:r>
        <w:br w:type="page"/>
      </w:r>
    </w:p>
    <w:p w14:paraId="311EB417" w14:textId="19A95982" w:rsidR="00FA354D" w:rsidRPr="006943D1" w:rsidRDefault="00FA354D" w:rsidP="00FA354D">
      <w:pPr>
        <w:pStyle w:val="TableHeading"/>
      </w:pPr>
      <w:r w:rsidRPr="005E1620">
        <w:lastRenderedPageBreak/>
        <w:t xml:space="preserve">Table 3.6: Statement of </w:t>
      </w:r>
      <w:r w:rsidR="003352C5">
        <w:t>Departmental</w:t>
      </w:r>
      <w:r w:rsidRPr="005E1620">
        <w:t xml:space="preserve"> asset movements (Budget year 202</w:t>
      </w:r>
      <w:r w:rsidR="009F09BD">
        <w:t>5</w:t>
      </w:r>
      <w:r w:rsidRPr="005E1620">
        <w:t>–2</w:t>
      </w:r>
      <w:r w:rsidR="009F09BD">
        <w:t>6</w:t>
      </w:r>
      <w:r w:rsidRPr="005E1620">
        <w:t>)</w:t>
      </w:r>
    </w:p>
    <w:tbl>
      <w:tblPr>
        <w:tblW w:w="5000" w:type="pct"/>
        <w:tblLook w:val="04A0" w:firstRow="1" w:lastRow="0" w:firstColumn="1" w:lastColumn="0" w:noHBand="0" w:noVBand="1"/>
      </w:tblPr>
      <w:tblGrid>
        <w:gridCol w:w="3685"/>
        <w:gridCol w:w="1226"/>
        <w:gridCol w:w="1399"/>
        <w:gridCol w:w="1400"/>
      </w:tblGrid>
      <w:tr w:rsidR="00FA354D" w:rsidRPr="00B57B93" w14:paraId="3F87EB3E" w14:textId="77777777" w:rsidTr="00A75A33">
        <w:trPr>
          <w:trHeight w:val="204"/>
        </w:trPr>
        <w:tc>
          <w:tcPr>
            <w:tcW w:w="2390" w:type="pct"/>
            <w:tcBorders>
              <w:top w:val="single" w:sz="4" w:space="0" w:color="auto"/>
              <w:left w:val="nil"/>
              <w:right w:val="nil"/>
            </w:tcBorders>
            <w:shd w:val="clear" w:color="auto" w:fill="auto"/>
            <w:noWrap/>
            <w:vAlign w:val="center"/>
          </w:tcPr>
          <w:p w14:paraId="01EFAB54" w14:textId="77777777" w:rsidR="00FA354D" w:rsidRPr="00B57B93" w:rsidRDefault="00FA354D" w:rsidP="00FA354D">
            <w:pPr>
              <w:spacing w:before="0" w:after="0" w:line="240" w:lineRule="auto"/>
              <w:rPr>
                <w:rFonts w:ascii="Arial" w:hAnsi="Arial" w:cs="Arial"/>
                <w:sz w:val="16"/>
                <w:szCs w:val="16"/>
              </w:rPr>
            </w:pPr>
          </w:p>
        </w:tc>
        <w:tc>
          <w:tcPr>
            <w:tcW w:w="2610" w:type="pct"/>
            <w:gridSpan w:val="3"/>
            <w:tcBorders>
              <w:top w:val="single" w:sz="4" w:space="0" w:color="auto"/>
              <w:left w:val="nil"/>
              <w:bottom w:val="single" w:sz="4" w:space="0" w:color="auto"/>
              <w:right w:val="nil"/>
            </w:tcBorders>
            <w:shd w:val="clear" w:color="auto" w:fill="auto"/>
            <w:vAlign w:val="bottom"/>
          </w:tcPr>
          <w:p w14:paraId="628C683E" w14:textId="77777777" w:rsidR="00FA354D" w:rsidRPr="00B57B93" w:rsidRDefault="00FA354D" w:rsidP="00FA354D">
            <w:pPr>
              <w:spacing w:before="0" w:after="0" w:line="240" w:lineRule="auto"/>
              <w:jc w:val="center"/>
              <w:rPr>
                <w:rFonts w:ascii="Arial" w:hAnsi="Arial" w:cs="Arial"/>
                <w:sz w:val="16"/>
                <w:szCs w:val="16"/>
              </w:rPr>
            </w:pPr>
            <w:r>
              <w:rPr>
                <w:rFonts w:ascii="Arial" w:hAnsi="Arial" w:cs="Arial"/>
                <w:b/>
                <w:bCs/>
                <w:sz w:val="16"/>
                <w:szCs w:val="16"/>
              </w:rPr>
              <w:t>Asset Category</w:t>
            </w:r>
          </w:p>
        </w:tc>
      </w:tr>
      <w:tr w:rsidR="00FA354D" w:rsidRPr="00B57B93" w14:paraId="78E06DDC" w14:textId="77777777" w:rsidTr="004C7942">
        <w:trPr>
          <w:trHeight w:val="204"/>
        </w:trPr>
        <w:tc>
          <w:tcPr>
            <w:tcW w:w="2390" w:type="pct"/>
            <w:tcBorders>
              <w:left w:val="nil"/>
              <w:bottom w:val="nil"/>
              <w:right w:val="nil"/>
            </w:tcBorders>
            <w:shd w:val="clear" w:color="auto" w:fill="auto"/>
            <w:noWrap/>
            <w:vAlign w:val="center"/>
            <w:hideMark/>
          </w:tcPr>
          <w:p w14:paraId="5C587666" w14:textId="77777777" w:rsidR="00FA354D" w:rsidRPr="00B57B93" w:rsidRDefault="00FA354D" w:rsidP="00FA354D">
            <w:pPr>
              <w:spacing w:before="0" w:after="0" w:line="240" w:lineRule="auto"/>
              <w:rPr>
                <w:rFonts w:ascii="Arial" w:hAnsi="Arial" w:cs="Arial"/>
                <w:sz w:val="16"/>
                <w:szCs w:val="16"/>
              </w:rPr>
            </w:pPr>
            <w:r w:rsidRPr="00B57B93">
              <w:rPr>
                <w:rFonts w:ascii="Arial" w:hAnsi="Arial" w:cs="Arial"/>
                <w:sz w:val="16"/>
                <w:szCs w:val="16"/>
              </w:rPr>
              <w:t> </w:t>
            </w:r>
          </w:p>
        </w:tc>
        <w:tc>
          <w:tcPr>
            <w:tcW w:w="795" w:type="pct"/>
            <w:tcBorders>
              <w:top w:val="single" w:sz="4" w:space="0" w:color="auto"/>
              <w:left w:val="nil"/>
              <w:bottom w:val="single" w:sz="4" w:space="0" w:color="auto"/>
              <w:right w:val="nil"/>
            </w:tcBorders>
            <w:shd w:val="clear" w:color="auto" w:fill="auto"/>
            <w:vAlign w:val="center"/>
            <w:hideMark/>
          </w:tcPr>
          <w:p w14:paraId="48C30ED5" w14:textId="77777777" w:rsidR="00FA354D" w:rsidRPr="00B57B93" w:rsidRDefault="00FA354D" w:rsidP="00FA354D">
            <w:pPr>
              <w:spacing w:before="0" w:after="0" w:line="240" w:lineRule="auto"/>
              <w:jc w:val="right"/>
              <w:rPr>
                <w:rFonts w:ascii="Arial" w:hAnsi="Arial" w:cs="Arial"/>
                <w:sz w:val="16"/>
                <w:szCs w:val="16"/>
              </w:rPr>
            </w:pPr>
            <w:r w:rsidRPr="00B57B93">
              <w:rPr>
                <w:rFonts w:ascii="Arial" w:hAnsi="Arial" w:cs="Arial"/>
                <w:sz w:val="16"/>
                <w:szCs w:val="16"/>
              </w:rPr>
              <w:t>Buildings</w:t>
            </w:r>
            <w:r w:rsidRPr="00B57B93">
              <w:rPr>
                <w:rFonts w:ascii="Arial" w:hAnsi="Arial" w:cs="Arial"/>
                <w:sz w:val="16"/>
                <w:szCs w:val="16"/>
              </w:rPr>
              <w:br/>
            </w:r>
            <w:r w:rsidRPr="00B57B93">
              <w:rPr>
                <w:rFonts w:ascii="Arial" w:hAnsi="Arial" w:cs="Arial"/>
                <w:sz w:val="16"/>
                <w:szCs w:val="16"/>
              </w:rPr>
              <w:br/>
            </w:r>
            <w:r w:rsidRPr="00B57B93">
              <w:rPr>
                <w:rFonts w:ascii="Arial" w:hAnsi="Arial" w:cs="Arial"/>
                <w:sz w:val="16"/>
                <w:szCs w:val="16"/>
              </w:rPr>
              <w:br/>
              <w:t>$'000</w:t>
            </w:r>
          </w:p>
        </w:tc>
        <w:tc>
          <w:tcPr>
            <w:tcW w:w="907" w:type="pct"/>
            <w:tcBorders>
              <w:top w:val="single" w:sz="4" w:space="0" w:color="auto"/>
              <w:left w:val="nil"/>
              <w:bottom w:val="single" w:sz="4" w:space="0" w:color="auto"/>
              <w:right w:val="nil"/>
            </w:tcBorders>
            <w:shd w:val="clear" w:color="auto" w:fill="auto"/>
            <w:vAlign w:val="center"/>
            <w:hideMark/>
          </w:tcPr>
          <w:p w14:paraId="7E1CCACE" w14:textId="77777777" w:rsidR="00FA354D" w:rsidRPr="00B57B93" w:rsidRDefault="00FA354D" w:rsidP="00FA354D">
            <w:pPr>
              <w:spacing w:before="0" w:after="0" w:line="240" w:lineRule="auto"/>
              <w:jc w:val="right"/>
              <w:rPr>
                <w:rFonts w:ascii="Arial" w:hAnsi="Arial" w:cs="Arial"/>
                <w:sz w:val="16"/>
                <w:szCs w:val="16"/>
              </w:rPr>
            </w:pPr>
            <w:r w:rsidRPr="00B57B93">
              <w:rPr>
                <w:rFonts w:ascii="Arial" w:hAnsi="Arial" w:cs="Arial"/>
                <w:sz w:val="16"/>
                <w:szCs w:val="16"/>
              </w:rPr>
              <w:t>Other</w:t>
            </w:r>
            <w:r>
              <w:rPr>
                <w:rFonts w:ascii="Arial" w:hAnsi="Arial" w:cs="Arial"/>
                <w:sz w:val="16"/>
                <w:szCs w:val="16"/>
              </w:rPr>
              <w:t xml:space="preserve"> </w:t>
            </w:r>
            <w:r w:rsidRPr="00B57B93">
              <w:rPr>
                <w:rFonts w:ascii="Arial" w:hAnsi="Arial" w:cs="Arial"/>
                <w:sz w:val="16"/>
                <w:szCs w:val="16"/>
              </w:rPr>
              <w:t>property,</w:t>
            </w:r>
            <w:r>
              <w:rPr>
                <w:rFonts w:ascii="Arial" w:hAnsi="Arial" w:cs="Arial"/>
                <w:sz w:val="16"/>
                <w:szCs w:val="16"/>
              </w:rPr>
              <w:br/>
              <w:t xml:space="preserve"> </w:t>
            </w:r>
            <w:r w:rsidRPr="00B57B93">
              <w:rPr>
                <w:rFonts w:ascii="Arial" w:hAnsi="Arial" w:cs="Arial"/>
                <w:sz w:val="16"/>
                <w:szCs w:val="16"/>
              </w:rPr>
              <w:t>plant and</w:t>
            </w:r>
            <w:r>
              <w:rPr>
                <w:rFonts w:ascii="Arial" w:hAnsi="Arial" w:cs="Arial"/>
                <w:sz w:val="16"/>
                <w:szCs w:val="16"/>
              </w:rPr>
              <w:br/>
            </w:r>
            <w:r w:rsidRPr="00B57B93">
              <w:rPr>
                <w:rFonts w:ascii="Arial" w:hAnsi="Arial" w:cs="Arial"/>
                <w:sz w:val="16"/>
                <w:szCs w:val="16"/>
              </w:rPr>
              <w:t>equipment</w:t>
            </w:r>
            <w:r w:rsidRPr="00B57B93">
              <w:rPr>
                <w:rFonts w:ascii="Arial" w:hAnsi="Arial" w:cs="Arial"/>
                <w:sz w:val="16"/>
                <w:szCs w:val="16"/>
              </w:rPr>
              <w:br/>
              <w:t>$'000</w:t>
            </w:r>
          </w:p>
        </w:tc>
        <w:tc>
          <w:tcPr>
            <w:tcW w:w="908" w:type="pct"/>
            <w:tcBorders>
              <w:top w:val="single" w:sz="4" w:space="0" w:color="auto"/>
              <w:left w:val="nil"/>
              <w:bottom w:val="single" w:sz="4" w:space="0" w:color="auto"/>
              <w:right w:val="nil"/>
            </w:tcBorders>
            <w:shd w:val="clear" w:color="auto" w:fill="auto"/>
            <w:vAlign w:val="center"/>
            <w:hideMark/>
          </w:tcPr>
          <w:p w14:paraId="319D4157" w14:textId="77777777" w:rsidR="00FA354D" w:rsidRPr="00B57B93" w:rsidRDefault="00FA354D" w:rsidP="00FA354D">
            <w:pPr>
              <w:spacing w:before="0" w:after="0" w:line="240" w:lineRule="auto"/>
              <w:jc w:val="right"/>
              <w:rPr>
                <w:rFonts w:ascii="Arial" w:hAnsi="Arial" w:cs="Arial"/>
                <w:sz w:val="16"/>
                <w:szCs w:val="16"/>
              </w:rPr>
            </w:pPr>
            <w:r w:rsidRPr="00B57B93">
              <w:rPr>
                <w:rFonts w:ascii="Arial" w:hAnsi="Arial" w:cs="Arial"/>
                <w:sz w:val="16"/>
                <w:szCs w:val="16"/>
              </w:rPr>
              <w:t>Total</w:t>
            </w:r>
            <w:r w:rsidRPr="00B57B93">
              <w:rPr>
                <w:rFonts w:ascii="Arial" w:hAnsi="Arial" w:cs="Arial"/>
                <w:sz w:val="16"/>
                <w:szCs w:val="16"/>
              </w:rPr>
              <w:br/>
            </w:r>
            <w:r w:rsidRPr="00B57B93">
              <w:rPr>
                <w:rFonts w:ascii="Arial" w:hAnsi="Arial" w:cs="Arial"/>
                <w:sz w:val="16"/>
                <w:szCs w:val="16"/>
              </w:rPr>
              <w:br/>
            </w:r>
            <w:r w:rsidRPr="00B57B93">
              <w:rPr>
                <w:rFonts w:ascii="Arial" w:hAnsi="Arial" w:cs="Arial"/>
                <w:sz w:val="16"/>
                <w:szCs w:val="16"/>
              </w:rPr>
              <w:br/>
              <w:t>$'000</w:t>
            </w:r>
          </w:p>
        </w:tc>
      </w:tr>
      <w:tr w:rsidR="00FA354D" w:rsidRPr="00801872" w14:paraId="468A6627" w14:textId="77777777" w:rsidTr="004C7942">
        <w:trPr>
          <w:trHeight w:val="204"/>
        </w:trPr>
        <w:tc>
          <w:tcPr>
            <w:tcW w:w="2390" w:type="pct"/>
            <w:tcBorders>
              <w:top w:val="nil"/>
              <w:left w:val="nil"/>
              <w:bottom w:val="nil"/>
              <w:right w:val="nil"/>
            </w:tcBorders>
            <w:shd w:val="clear" w:color="auto" w:fill="auto"/>
            <w:vAlign w:val="bottom"/>
            <w:hideMark/>
          </w:tcPr>
          <w:p w14:paraId="54E38728" w14:textId="75BB318A" w:rsidR="00FA354D" w:rsidRPr="00801872" w:rsidRDefault="00FA354D" w:rsidP="00FA354D">
            <w:pPr>
              <w:spacing w:before="0" w:after="0" w:line="240" w:lineRule="auto"/>
              <w:rPr>
                <w:rFonts w:ascii="Arial" w:hAnsi="Arial" w:cs="Arial"/>
                <w:b/>
                <w:bCs/>
                <w:sz w:val="16"/>
                <w:szCs w:val="16"/>
              </w:rPr>
            </w:pPr>
            <w:r w:rsidRPr="00801872">
              <w:rPr>
                <w:rFonts w:ascii="Arial" w:hAnsi="Arial" w:cs="Arial"/>
                <w:b/>
                <w:bCs/>
                <w:sz w:val="16"/>
                <w:szCs w:val="16"/>
              </w:rPr>
              <w:t>As at 1 July 202</w:t>
            </w:r>
            <w:r w:rsidR="004C7942" w:rsidRPr="00801872">
              <w:rPr>
                <w:rFonts w:ascii="Arial" w:hAnsi="Arial" w:cs="Arial"/>
                <w:b/>
                <w:bCs/>
                <w:sz w:val="16"/>
                <w:szCs w:val="16"/>
              </w:rPr>
              <w:t>5</w:t>
            </w:r>
          </w:p>
        </w:tc>
        <w:tc>
          <w:tcPr>
            <w:tcW w:w="795" w:type="pct"/>
            <w:tcBorders>
              <w:top w:val="nil"/>
              <w:left w:val="nil"/>
              <w:bottom w:val="nil"/>
              <w:right w:val="nil"/>
            </w:tcBorders>
            <w:shd w:val="clear" w:color="auto" w:fill="auto"/>
            <w:noWrap/>
            <w:vAlign w:val="bottom"/>
            <w:hideMark/>
          </w:tcPr>
          <w:p w14:paraId="37C4FBA6" w14:textId="77777777" w:rsidR="00FA354D" w:rsidRPr="00801872" w:rsidRDefault="00FA354D" w:rsidP="00FA354D">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1AF6DB49" w14:textId="77777777" w:rsidR="00FA354D" w:rsidRPr="00801872" w:rsidRDefault="00FA354D" w:rsidP="00FA354D">
            <w:pPr>
              <w:spacing w:before="0" w:after="0" w:line="240" w:lineRule="auto"/>
              <w:jc w:val="right"/>
              <w:rPr>
                <w:rFonts w:ascii="Times New Roman" w:hAnsi="Times New Roman"/>
                <w:sz w:val="20"/>
              </w:rPr>
            </w:pPr>
          </w:p>
        </w:tc>
        <w:tc>
          <w:tcPr>
            <w:tcW w:w="908" w:type="pct"/>
            <w:tcBorders>
              <w:top w:val="nil"/>
              <w:left w:val="nil"/>
              <w:bottom w:val="nil"/>
              <w:right w:val="nil"/>
            </w:tcBorders>
            <w:shd w:val="clear" w:color="auto" w:fill="auto"/>
            <w:noWrap/>
            <w:vAlign w:val="bottom"/>
            <w:hideMark/>
          </w:tcPr>
          <w:p w14:paraId="0B473A0B" w14:textId="77777777" w:rsidR="00FA354D" w:rsidRPr="00801872" w:rsidRDefault="00FA354D" w:rsidP="00FA354D">
            <w:pPr>
              <w:spacing w:before="0" w:after="0" w:line="240" w:lineRule="auto"/>
              <w:jc w:val="right"/>
              <w:rPr>
                <w:rFonts w:ascii="Times New Roman" w:hAnsi="Times New Roman"/>
                <w:sz w:val="20"/>
              </w:rPr>
            </w:pPr>
          </w:p>
        </w:tc>
      </w:tr>
      <w:tr w:rsidR="004C7942" w:rsidRPr="00801872" w14:paraId="034FC1AC" w14:textId="77777777" w:rsidTr="004C7942">
        <w:trPr>
          <w:trHeight w:val="204"/>
        </w:trPr>
        <w:tc>
          <w:tcPr>
            <w:tcW w:w="2390" w:type="pct"/>
            <w:tcBorders>
              <w:top w:val="nil"/>
              <w:left w:val="nil"/>
              <w:bottom w:val="nil"/>
              <w:right w:val="nil"/>
            </w:tcBorders>
            <w:shd w:val="clear" w:color="auto" w:fill="auto"/>
            <w:vAlign w:val="bottom"/>
            <w:hideMark/>
          </w:tcPr>
          <w:p w14:paraId="467DBBD0" w14:textId="77777777" w:rsidR="004C7942" w:rsidRPr="00801872" w:rsidRDefault="004C7942" w:rsidP="004C7942">
            <w:pPr>
              <w:spacing w:before="0" w:after="0" w:line="240" w:lineRule="auto"/>
              <w:ind w:left="113"/>
              <w:rPr>
                <w:rFonts w:ascii="Arial" w:hAnsi="Arial" w:cs="Arial"/>
                <w:sz w:val="16"/>
                <w:szCs w:val="16"/>
              </w:rPr>
            </w:pPr>
            <w:r w:rsidRPr="00801872">
              <w:rPr>
                <w:rFonts w:ascii="Arial" w:hAnsi="Arial" w:cs="Arial"/>
                <w:sz w:val="16"/>
                <w:szCs w:val="16"/>
              </w:rPr>
              <w:t xml:space="preserve">Gross book value </w:t>
            </w:r>
          </w:p>
        </w:tc>
        <w:tc>
          <w:tcPr>
            <w:tcW w:w="795" w:type="pct"/>
            <w:tcBorders>
              <w:top w:val="nil"/>
              <w:left w:val="nil"/>
              <w:bottom w:val="nil"/>
              <w:right w:val="nil"/>
            </w:tcBorders>
            <w:shd w:val="clear" w:color="auto" w:fill="auto"/>
            <w:noWrap/>
            <w:vAlign w:val="bottom"/>
            <w:hideMark/>
          </w:tcPr>
          <w:p w14:paraId="609AE5A4" w14:textId="0CDB2998"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1,300</w:t>
            </w:r>
          </w:p>
        </w:tc>
        <w:tc>
          <w:tcPr>
            <w:tcW w:w="907" w:type="pct"/>
            <w:tcBorders>
              <w:top w:val="nil"/>
              <w:left w:val="nil"/>
              <w:bottom w:val="nil"/>
              <w:right w:val="nil"/>
            </w:tcBorders>
            <w:shd w:val="clear" w:color="auto" w:fill="auto"/>
            <w:noWrap/>
            <w:vAlign w:val="bottom"/>
            <w:hideMark/>
          </w:tcPr>
          <w:p w14:paraId="31689E91" w14:textId="357F585B"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697</w:t>
            </w:r>
          </w:p>
        </w:tc>
        <w:tc>
          <w:tcPr>
            <w:tcW w:w="908" w:type="pct"/>
            <w:tcBorders>
              <w:top w:val="nil"/>
              <w:left w:val="nil"/>
              <w:bottom w:val="nil"/>
              <w:right w:val="nil"/>
            </w:tcBorders>
            <w:shd w:val="clear" w:color="auto" w:fill="auto"/>
            <w:noWrap/>
            <w:vAlign w:val="bottom"/>
            <w:hideMark/>
          </w:tcPr>
          <w:p w14:paraId="1598004A" w14:textId="0FCB65FD"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1,995</w:t>
            </w:r>
          </w:p>
        </w:tc>
      </w:tr>
      <w:tr w:rsidR="004C7942" w:rsidRPr="00801872" w14:paraId="5D788776" w14:textId="77777777" w:rsidTr="004C7942">
        <w:trPr>
          <w:trHeight w:val="204"/>
        </w:trPr>
        <w:tc>
          <w:tcPr>
            <w:tcW w:w="2390" w:type="pct"/>
            <w:tcBorders>
              <w:top w:val="nil"/>
              <w:left w:val="nil"/>
              <w:bottom w:val="nil"/>
              <w:right w:val="nil"/>
            </w:tcBorders>
            <w:shd w:val="clear" w:color="auto" w:fill="auto"/>
            <w:noWrap/>
            <w:vAlign w:val="center"/>
            <w:hideMark/>
          </w:tcPr>
          <w:p w14:paraId="25C58C19" w14:textId="77777777" w:rsidR="004C7942" w:rsidRPr="00801872" w:rsidRDefault="004C7942" w:rsidP="004C7942">
            <w:pPr>
              <w:spacing w:before="0" w:after="0" w:line="240" w:lineRule="auto"/>
              <w:ind w:left="113"/>
              <w:rPr>
                <w:rFonts w:ascii="Arial" w:hAnsi="Arial" w:cs="Arial"/>
                <w:sz w:val="16"/>
                <w:szCs w:val="16"/>
              </w:rPr>
            </w:pPr>
            <w:r w:rsidRPr="00801872">
              <w:rPr>
                <w:rFonts w:ascii="Arial" w:hAnsi="Arial" w:cs="Arial"/>
                <w:sz w:val="16"/>
                <w:szCs w:val="16"/>
              </w:rPr>
              <w:t>Gross book value - ROU assets</w:t>
            </w:r>
          </w:p>
        </w:tc>
        <w:tc>
          <w:tcPr>
            <w:tcW w:w="795" w:type="pct"/>
            <w:tcBorders>
              <w:top w:val="nil"/>
              <w:left w:val="nil"/>
              <w:bottom w:val="nil"/>
              <w:right w:val="nil"/>
            </w:tcBorders>
            <w:shd w:val="clear" w:color="auto" w:fill="auto"/>
            <w:noWrap/>
            <w:vAlign w:val="bottom"/>
            <w:hideMark/>
          </w:tcPr>
          <w:p w14:paraId="269C5FCC" w14:textId="6AED7F30"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2,116</w:t>
            </w:r>
          </w:p>
        </w:tc>
        <w:tc>
          <w:tcPr>
            <w:tcW w:w="907" w:type="pct"/>
            <w:tcBorders>
              <w:top w:val="nil"/>
              <w:left w:val="nil"/>
              <w:bottom w:val="nil"/>
              <w:right w:val="nil"/>
            </w:tcBorders>
            <w:shd w:val="clear" w:color="auto" w:fill="auto"/>
            <w:noWrap/>
            <w:vAlign w:val="bottom"/>
            <w:hideMark/>
          </w:tcPr>
          <w:p w14:paraId="5813CEE1" w14:textId="78D5592C"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w:t>
            </w:r>
          </w:p>
        </w:tc>
        <w:tc>
          <w:tcPr>
            <w:tcW w:w="908" w:type="pct"/>
            <w:tcBorders>
              <w:top w:val="nil"/>
              <w:left w:val="nil"/>
              <w:bottom w:val="nil"/>
              <w:right w:val="nil"/>
            </w:tcBorders>
            <w:shd w:val="clear" w:color="auto" w:fill="auto"/>
            <w:noWrap/>
            <w:vAlign w:val="bottom"/>
            <w:hideMark/>
          </w:tcPr>
          <w:p w14:paraId="0AF4694E" w14:textId="227E81AC"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2,116</w:t>
            </w:r>
          </w:p>
        </w:tc>
      </w:tr>
      <w:tr w:rsidR="004C7942" w:rsidRPr="00801872" w14:paraId="0EE11325" w14:textId="77777777" w:rsidTr="004C7942">
        <w:trPr>
          <w:trHeight w:val="204"/>
        </w:trPr>
        <w:tc>
          <w:tcPr>
            <w:tcW w:w="2390" w:type="pct"/>
            <w:tcBorders>
              <w:top w:val="nil"/>
              <w:left w:val="nil"/>
              <w:bottom w:val="nil"/>
              <w:right w:val="nil"/>
            </w:tcBorders>
            <w:shd w:val="clear" w:color="auto" w:fill="auto"/>
            <w:vAlign w:val="bottom"/>
            <w:hideMark/>
          </w:tcPr>
          <w:p w14:paraId="73F1A78F" w14:textId="77777777" w:rsidR="004C7942" w:rsidRPr="00801872" w:rsidRDefault="004C7942" w:rsidP="004C7942">
            <w:pPr>
              <w:spacing w:before="0" w:after="0" w:line="240" w:lineRule="auto"/>
              <w:ind w:left="113"/>
              <w:rPr>
                <w:rFonts w:ascii="Arial" w:hAnsi="Arial" w:cs="Arial"/>
                <w:sz w:val="16"/>
                <w:szCs w:val="16"/>
              </w:rPr>
            </w:pPr>
            <w:r w:rsidRPr="00801872">
              <w:rPr>
                <w:rFonts w:ascii="Arial" w:hAnsi="Arial" w:cs="Arial"/>
                <w:color w:val="000000"/>
                <w:sz w:val="16"/>
                <w:szCs w:val="16"/>
              </w:rPr>
              <w:t>Accumulated</w:t>
            </w:r>
            <w:r w:rsidRPr="00801872">
              <w:rPr>
                <w:rFonts w:ascii="Arial" w:hAnsi="Arial" w:cs="Arial"/>
                <w:sz w:val="16"/>
                <w:szCs w:val="16"/>
              </w:rPr>
              <w:t xml:space="preserve"> depreciation/amortisation and impairment</w:t>
            </w:r>
          </w:p>
        </w:tc>
        <w:tc>
          <w:tcPr>
            <w:tcW w:w="795" w:type="pct"/>
            <w:tcBorders>
              <w:top w:val="nil"/>
              <w:left w:val="nil"/>
              <w:bottom w:val="nil"/>
              <w:right w:val="nil"/>
            </w:tcBorders>
            <w:shd w:val="clear" w:color="auto" w:fill="auto"/>
            <w:noWrap/>
            <w:vAlign w:val="bottom"/>
            <w:hideMark/>
          </w:tcPr>
          <w:p w14:paraId="18B61628" w14:textId="6B2FE4D1"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1C7CC417" w14:textId="2BDB8D77"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(516)</w:t>
            </w:r>
          </w:p>
        </w:tc>
        <w:tc>
          <w:tcPr>
            <w:tcW w:w="908" w:type="pct"/>
            <w:tcBorders>
              <w:top w:val="nil"/>
              <w:left w:val="nil"/>
              <w:bottom w:val="nil"/>
              <w:right w:val="nil"/>
            </w:tcBorders>
            <w:shd w:val="clear" w:color="auto" w:fill="auto"/>
            <w:noWrap/>
            <w:vAlign w:val="bottom"/>
            <w:hideMark/>
          </w:tcPr>
          <w:p w14:paraId="797B6BBC" w14:textId="3D2566A6"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(514)</w:t>
            </w:r>
          </w:p>
        </w:tc>
      </w:tr>
      <w:tr w:rsidR="004C7942" w:rsidRPr="00801872" w14:paraId="18851A55" w14:textId="77777777" w:rsidTr="004C7942">
        <w:trPr>
          <w:trHeight w:val="204"/>
        </w:trPr>
        <w:tc>
          <w:tcPr>
            <w:tcW w:w="2390" w:type="pct"/>
            <w:tcBorders>
              <w:top w:val="nil"/>
              <w:left w:val="nil"/>
              <w:bottom w:val="nil"/>
              <w:right w:val="nil"/>
            </w:tcBorders>
            <w:shd w:val="clear" w:color="auto" w:fill="auto"/>
            <w:vAlign w:val="center"/>
            <w:hideMark/>
          </w:tcPr>
          <w:p w14:paraId="6BA8320E" w14:textId="77777777" w:rsidR="004C7942" w:rsidRPr="00801872" w:rsidRDefault="004C7942" w:rsidP="004C7942">
            <w:pPr>
              <w:spacing w:before="0" w:after="0" w:line="240" w:lineRule="auto"/>
              <w:ind w:left="113"/>
              <w:rPr>
                <w:rFonts w:ascii="Arial" w:hAnsi="Arial" w:cs="Arial"/>
                <w:sz w:val="16"/>
                <w:szCs w:val="16"/>
              </w:rPr>
            </w:pPr>
            <w:r w:rsidRPr="00801872">
              <w:rPr>
                <w:rFonts w:ascii="Arial" w:hAnsi="Arial" w:cs="Arial"/>
                <w:color w:val="000000"/>
                <w:sz w:val="16"/>
                <w:szCs w:val="16"/>
              </w:rPr>
              <w:t>Accumulated</w:t>
            </w:r>
            <w:r w:rsidRPr="00801872">
              <w:rPr>
                <w:rFonts w:ascii="Arial" w:hAnsi="Arial" w:cs="Arial"/>
                <w:sz w:val="16"/>
                <w:szCs w:val="16"/>
              </w:rPr>
              <w:t xml:space="preserve"> depreciation/amortisation and impairment - ROU assets</w:t>
            </w:r>
          </w:p>
        </w:tc>
        <w:tc>
          <w:tcPr>
            <w:tcW w:w="795" w:type="pct"/>
            <w:tcBorders>
              <w:top w:val="nil"/>
              <w:left w:val="nil"/>
              <w:bottom w:val="nil"/>
              <w:right w:val="nil"/>
            </w:tcBorders>
            <w:shd w:val="clear" w:color="auto" w:fill="auto"/>
            <w:noWrap/>
            <w:vAlign w:val="bottom"/>
            <w:hideMark/>
          </w:tcPr>
          <w:p w14:paraId="2E952518" w14:textId="4C2D4CAC"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(131)</w:t>
            </w:r>
          </w:p>
        </w:tc>
        <w:tc>
          <w:tcPr>
            <w:tcW w:w="907" w:type="pct"/>
            <w:tcBorders>
              <w:top w:val="nil"/>
              <w:left w:val="nil"/>
              <w:bottom w:val="nil"/>
              <w:right w:val="nil"/>
            </w:tcBorders>
            <w:shd w:val="clear" w:color="auto" w:fill="auto"/>
            <w:noWrap/>
            <w:vAlign w:val="bottom"/>
            <w:hideMark/>
          </w:tcPr>
          <w:p w14:paraId="2ABCD3AD" w14:textId="26BF42A6"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w:t>
            </w:r>
          </w:p>
        </w:tc>
        <w:tc>
          <w:tcPr>
            <w:tcW w:w="908" w:type="pct"/>
            <w:tcBorders>
              <w:top w:val="nil"/>
              <w:left w:val="nil"/>
              <w:bottom w:val="nil"/>
              <w:right w:val="nil"/>
            </w:tcBorders>
            <w:shd w:val="clear" w:color="auto" w:fill="auto"/>
            <w:noWrap/>
            <w:vAlign w:val="bottom"/>
            <w:hideMark/>
          </w:tcPr>
          <w:p w14:paraId="2911520A" w14:textId="6B28DC13" w:rsidR="004C7942" w:rsidRPr="00801872" w:rsidRDefault="004C7942" w:rsidP="004C7942">
            <w:pPr>
              <w:spacing w:before="0" w:after="0" w:line="240" w:lineRule="auto"/>
              <w:jc w:val="right"/>
              <w:rPr>
                <w:rFonts w:ascii="Arial" w:hAnsi="Arial" w:cs="Arial"/>
                <w:sz w:val="16"/>
                <w:szCs w:val="16"/>
              </w:rPr>
            </w:pPr>
            <w:r w:rsidRPr="00801872">
              <w:rPr>
                <w:rFonts w:ascii="Arial" w:hAnsi="Arial" w:cs="Arial"/>
                <w:sz w:val="16"/>
                <w:szCs w:val="16"/>
              </w:rPr>
              <w:t>(131)</w:t>
            </w:r>
          </w:p>
        </w:tc>
      </w:tr>
      <w:tr w:rsidR="004C7942" w:rsidRPr="00801872" w14:paraId="2B2CC571" w14:textId="77777777" w:rsidTr="004C7942">
        <w:trPr>
          <w:trHeight w:val="204"/>
        </w:trPr>
        <w:tc>
          <w:tcPr>
            <w:tcW w:w="2390" w:type="pct"/>
            <w:tcBorders>
              <w:top w:val="nil"/>
              <w:left w:val="nil"/>
              <w:bottom w:val="nil"/>
              <w:right w:val="nil"/>
            </w:tcBorders>
            <w:shd w:val="clear" w:color="auto" w:fill="auto"/>
            <w:vAlign w:val="bottom"/>
            <w:hideMark/>
          </w:tcPr>
          <w:p w14:paraId="454FFA68" w14:textId="77777777" w:rsidR="004C7942" w:rsidRPr="00801872" w:rsidRDefault="004C7942" w:rsidP="004C7942">
            <w:pPr>
              <w:spacing w:before="0" w:after="0" w:line="240" w:lineRule="auto"/>
              <w:rPr>
                <w:rFonts w:ascii="Arial" w:hAnsi="Arial" w:cs="Arial"/>
                <w:b/>
                <w:bCs/>
                <w:sz w:val="16"/>
                <w:szCs w:val="16"/>
              </w:rPr>
            </w:pPr>
            <w:r w:rsidRPr="00801872">
              <w:rPr>
                <w:rFonts w:ascii="Arial" w:hAnsi="Arial" w:cs="Arial"/>
                <w:b/>
                <w:bCs/>
                <w:sz w:val="16"/>
                <w:szCs w:val="16"/>
              </w:rPr>
              <w:t>Opening net book balance</w:t>
            </w:r>
          </w:p>
        </w:tc>
        <w:tc>
          <w:tcPr>
            <w:tcW w:w="795" w:type="pct"/>
            <w:tcBorders>
              <w:top w:val="single" w:sz="4" w:space="0" w:color="auto"/>
              <w:left w:val="nil"/>
              <w:bottom w:val="single" w:sz="4" w:space="0" w:color="auto"/>
              <w:right w:val="nil"/>
            </w:tcBorders>
            <w:shd w:val="clear" w:color="auto" w:fill="auto"/>
            <w:noWrap/>
            <w:vAlign w:val="bottom"/>
            <w:hideMark/>
          </w:tcPr>
          <w:p w14:paraId="28464538" w14:textId="415211C4" w:rsidR="004C7942" w:rsidRPr="00801872" w:rsidRDefault="004C7942" w:rsidP="004C7942">
            <w:pPr>
              <w:spacing w:before="0" w:after="0" w:line="240" w:lineRule="auto"/>
              <w:jc w:val="right"/>
              <w:rPr>
                <w:rFonts w:ascii="Arial" w:hAnsi="Arial" w:cs="Arial"/>
                <w:b/>
                <w:bCs/>
                <w:sz w:val="16"/>
                <w:szCs w:val="16"/>
              </w:rPr>
            </w:pPr>
            <w:r w:rsidRPr="00801872">
              <w:rPr>
                <w:rFonts w:ascii="Arial" w:hAnsi="Arial" w:cs="Arial"/>
                <w:b/>
                <w:bCs/>
                <w:sz w:val="16"/>
                <w:szCs w:val="16"/>
              </w:rPr>
              <w:t>3,285</w:t>
            </w:r>
          </w:p>
        </w:tc>
        <w:tc>
          <w:tcPr>
            <w:tcW w:w="907" w:type="pct"/>
            <w:tcBorders>
              <w:top w:val="single" w:sz="4" w:space="0" w:color="auto"/>
              <w:left w:val="nil"/>
              <w:bottom w:val="single" w:sz="4" w:space="0" w:color="auto"/>
              <w:right w:val="nil"/>
            </w:tcBorders>
            <w:shd w:val="clear" w:color="auto" w:fill="auto"/>
            <w:noWrap/>
            <w:vAlign w:val="bottom"/>
            <w:hideMark/>
          </w:tcPr>
          <w:p w14:paraId="2ADA3C3A" w14:textId="04806872" w:rsidR="004C7942" w:rsidRPr="00801872" w:rsidRDefault="004C7942" w:rsidP="004C7942">
            <w:pPr>
              <w:spacing w:before="0" w:after="0" w:line="240" w:lineRule="auto"/>
              <w:jc w:val="right"/>
              <w:rPr>
                <w:rFonts w:ascii="Arial" w:hAnsi="Arial" w:cs="Arial"/>
                <w:b/>
                <w:bCs/>
                <w:sz w:val="16"/>
                <w:szCs w:val="16"/>
              </w:rPr>
            </w:pPr>
            <w:r w:rsidRPr="00801872">
              <w:rPr>
                <w:rFonts w:ascii="Arial" w:hAnsi="Arial" w:cs="Arial"/>
                <w:b/>
                <w:bCs/>
                <w:sz w:val="16"/>
                <w:szCs w:val="16"/>
              </w:rPr>
              <w:t>181</w:t>
            </w:r>
          </w:p>
        </w:tc>
        <w:tc>
          <w:tcPr>
            <w:tcW w:w="908" w:type="pct"/>
            <w:tcBorders>
              <w:top w:val="single" w:sz="4" w:space="0" w:color="auto"/>
              <w:left w:val="nil"/>
              <w:bottom w:val="single" w:sz="4" w:space="0" w:color="auto"/>
              <w:right w:val="nil"/>
            </w:tcBorders>
            <w:shd w:val="clear" w:color="auto" w:fill="auto"/>
            <w:noWrap/>
            <w:vAlign w:val="bottom"/>
            <w:hideMark/>
          </w:tcPr>
          <w:p w14:paraId="11455078" w14:textId="4D338187" w:rsidR="004C7942" w:rsidRPr="00801872" w:rsidRDefault="004C7942" w:rsidP="004C7942">
            <w:pPr>
              <w:spacing w:before="0" w:after="0" w:line="240" w:lineRule="auto"/>
              <w:jc w:val="right"/>
              <w:rPr>
                <w:rFonts w:ascii="Arial" w:hAnsi="Arial" w:cs="Arial"/>
                <w:b/>
                <w:bCs/>
                <w:sz w:val="16"/>
                <w:szCs w:val="16"/>
              </w:rPr>
            </w:pPr>
            <w:r w:rsidRPr="00801872">
              <w:rPr>
                <w:rFonts w:ascii="Arial" w:hAnsi="Arial" w:cs="Arial"/>
                <w:b/>
                <w:bCs/>
                <w:sz w:val="16"/>
                <w:szCs w:val="16"/>
              </w:rPr>
              <w:t>3,466</w:t>
            </w:r>
          </w:p>
        </w:tc>
      </w:tr>
      <w:tr w:rsidR="00FA354D" w:rsidRPr="00801872" w14:paraId="08D71B80" w14:textId="77777777" w:rsidTr="004C7942">
        <w:trPr>
          <w:trHeight w:val="204"/>
        </w:trPr>
        <w:tc>
          <w:tcPr>
            <w:tcW w:w="2390" w:type="pct"/>
            <w:tcBorders>
              <w:top w:val="nil"/>
              <w:left w:val="nil"/>
              <w:bottom w:val="nil"/>
              <w:right w:val="nil"/>
            </w:tcBorders>
            <w:shd w:val="clear" w:color="auto" w:fill="auto"/>
            <w:vAlign w:val="bottom"/>
            <w:hideMark/>
          </w:tcPr>
          <w:p w14:paraId="6F9F3C37" w14:textId="77777777" w:rsidR="00FA354D" w:rsidRPr="00801872" w:rsidRDefault="00FA354D" w:rsidP="00FA354D">
            <w:pPr>
              <w:spacing w:before="0" w:after="0" w:line="240" w:lineRule="auto"/>
              <w:rPr>
                <w:rFonts w:ascii="Arial" w:hAnsi="Arial" w:cs="Arial"/>
                <w:b/>
                <w:bCs/>
                <w:sz w:val="16"/>
                <w:szCs w:val="16"/>
              </w:rPr>
            </w:pPr>
            <w:r w:rsidRPr="00801872">
              <w:rPr>
                <w:rFonts w:ascii="Arial" w:hAnsi="Arial" w:cs="Arial"/>
                <w:b/>
                <w:bCs/>
                <w:sz w:val="16"/>
                <w:szCs w:val="16"/>
              </w:rPr>
              <w:t>Capital asset additions</w:t>
            </w:r>
          </w:p>
        </w:tc>
        <w:tc>
          <w:tcPr>
            <w:tcW w:w="795" w:type="pct"/>
            <w:tcBorders>
              <w:top w:val="nil"/>
              <w:left w:val="nil"/>
              <w:bottom w:val="nil"/>
              <w:right w:val="nil"/>
            </w:tcBorders>
            <w:shd w:val="clear" w:color="auto" w:fill="auto"/>
            <w:noWrap/>
            <w:vAlign w:val="bottom"/>
            <w:hideMark/>
          </w:tcPr>
          <w:p w14:paraId="4AD604B6" w14:textId="77777777" w:rsidR="00FA354D" w:rsidRPr="00801872" w:rsidRDefault="00FA354D" w:rsidP="00FA354D">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0F7FA857" w14:textId="77777777" w:rsidR="00FA354D" w:rsidRPr="00801872" w:rsidRDefault="00FA354D" w:rsidP="00FA354D">
            <w:pPr>
              <w:spacing w:before="0" w:after="0" w:line="240" w:lineRule="auto"/>
              <w:jc w:val="right"/>
              <w:rPr>
                <w:rFonts w:ascii="Times New Roman" w:hAnsi="Times New Roman"/>
                <w:sz w:val="20"/>
              </w:rPr>
            </w:pPr>
          </w:p>
        </w:tc>
        <w:tc>
          <w:tcPr>
            <w:tcW w:w="908" w:type="pct"/>
            <w:tcBorders>
              <w:top w:val="nil"/>
              <w:left w:val="nil"/>
              <w:bottom w:val="nil"/>
              <w:right w:val="nil"/>
            </w:tcBorders>
            <w:shd w:val="clear" w:color="auto" w:fill="auto"/>
            <w:noWrap/>
            <w:vAlign w:val="bottom"/>
            <w:hideMark/>
          </w:tcPr>
          <w:p w14:paraId="2F69CC80" w14:textId="77777777" w:rsidR="00FA354D" w:rsidRPr="00801872" w:rsidRDefault="00FA354D" w:rsidP="00FA354D">
            <w:pPr>
              <w:spacing w:before="0" w:after="0" w:line="240" w:lineRule="auto"/>
              <w:jc w:val="right"/>
              <w:rPr>
                <w:rFonts w:ascii="Times New Roman" w:hAnsi="Times New Roman"/>
                <w:sz w:val="20"/>
              </w:rPr>
            </w:pPr>
          </w:p>
        </w:tc>
      </w:tr>
      <w:tr w:rsidR="00FA354D" w:rsidRPr="00801872" w14:paraId="7637A696" w14:textId="77777777" w:rsidTr="004C7942">
        <w:trPr>
          <w:trHeight w:val="204"/>
        </w:trPr>
        <w:tc>
          <w:tcPr>
            <w:tcW w:w="2390" w:type="pct"/>
            <w:tcBorders>
              <w:top w:val="nil"/>
              <w:left w:val="nil"/>
              <w:bottom w:val="nil"/>
              <w:right w:val="nil"/>
            </w:tcBorders>
            <w:shd w:val="clear" w:color="auto" w:fill="auto"/>
            <w:vAlign w:val="bottom"/>
            <w:hideMark/>
          </w:tcPr>
          <w:p w14:paraId="3F46BE8A" w14:textId="2670E450" w:rsidR="00FA354D" w:rsidRPr="00801872" w:rsidRDefault="00FA354D" w:rsidP="00F5380E">
            <w:pPr>
              <w:spacing w:before="0" w:after="0" w:line="240" w:lineRule="auto"/>
              <w:ind w:left="113"/>
              <w:rPr>
                <w:rFonts w:ascii="Arial" w:hAnsi="Arial" w:cs="Arial"/>
                <w:b/>
                <w:bCs/>
                <w:sz w:val="16"/>
                <w:szCs w:val="16"/>
              </w:rPr>
            </w:pPr>
            <w:r w:rsidRPr="00801872">
              <w:rPr>
                <w:rFonts w:ascii="Arial" w:hAnsi="Arial" w:cs="Arial"/>
                <w:b/>
                <w:color w:val="000000"/>
                <w:sz w:val="16"/>
                <w:szCs w:val="16"/>
              </w:rPr>
              <w:t>Estimated</w:t>
            </w:r>
            <w:r w:rsidRPr="00801872">
              <w:rPr>
                <w:rFonts w:ascii="Arial" w:hAnsi="Arial" w:cs="Arial"/>
                <w:b/>
                <w:bCs/>
                <w:sz w:val="16"/>
                <w:szCs w:val="16"/>
              </w:rPr>
              <w:t xml:space="preserve"> expenditure on new</w:t>
            </w:r>
            <w:r w:rsidR="00F5380E" w:rsidRPr="00801872">
              <w:rPr>
                <w:rFonts w:ascii="Arial" w:hAnsi="Arial" w:cs="Arial"/>
                <w:b/>
                <w:bCs/>
                <w:sz w:val="16"/>
                <w:szCs w:val="16"/>
              </w:rPr>
              <w:t xml:space="preserve"> </w:t>
            </w:r>
            <w:r w:rsidRPr="00801872">
              <w:rPr>
                <w:rFonts w:ascii="Arial" w:hAnsi="Arial" w:cs="Arial"/>
                <w:b/>
                <w:bCs/>
                <w:sz w:val="16"/>
                <w:szCs w:val="16"/>
              </w:rPr>
              <w:t>or replacement assets</w:t>
            </w:r>
          </w:p>
        </w:tc>
        <w:tc>
          <w:tcPr>
            <w:tcW w:w="795" w:type="pct"/>
            <w:tcBorders>
              <w:top w:val="nil"/>
              <w:left w:val="nil"/>
              <w:bottom w:val="nil"/>
              <w:right w:val="nil"/>
            </w:tcBorders>
            <w:shd w:val="clear" w:color="auto" w:fill="auto"/>
            <w:noWrap/>
            <w:vAlign w:val="bottom"/>
            <w:hideMark/>
          </w:tcPr>
          <w:p w14:paraId="18088116" w14:textId="77777777" w:rsidR="00FA354D" w:rsidRPr="00801872" w:rsidRDefault="00FA354D" w:rsidP="00FA354D">
            <w:pPr>
              <w:spacing w:before="0" w:after="0" w:line="240" w:lineRule="auto"/>
              <w:ind w:firstLineChars="100" w:firstLine="161"/>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194CF160" w14:textId="77777777" w:rsidR="00FA354D" w:rsidRPr="00801872" w:rsidRDefault="00FA354D" w:rsidP="00FA354D">
            <w:pPr>
              <w:spacing w:before="0" w:after="0" w:line="240" w:lineRule="auto"/>
              <w:jc w:val="right"/>
              <w:rPr>
                <w:rFonts w:ascii="Times New Roman" w:hAnsi="Times New Roman"/>
                <w:sz w:val="20"/>
              </w:rPr>
            </w:pPr>
          </w:p>
        </w:tc>
        <w:tc>
          <w:tcPr>
            <w:tcW w:w="908" w:type="pct"/>
            <w:tcBorders>
              <w:top w:val="nil"/>
              <w:left w:val="nil"/>
              <w:bottom w:val="nil"/>
              <w:right w:val="nil"/>
            </w:tcBorders>
            <w:shd w:val="clear" w:color="auto" w:fill="auto"/>
            <w:noWrap/>
            <w:vAlign w:val="bottom"/>
            <w:hideMark/>
          </w:tcPr>
          <w:p w14:paraId="37D4B52F" w14:textId="77777777" w:rsidR="00FA354D" w:rsidRPr="00801872" w:rsidRDefault="00FA354D" w:rsidP="00FA354D">
            <w:pPr>
              <w:spacing w:before="0" w:after="0" w:line="240" w:lineRule="auto"/>
              <w:jc w:val="right"/>
              <w:rPr>
                <w:rFonts w:ascii="Times New Roman" w:hAnsi="Times New Roman"/>
                <w:sz w:val="20"/>
              </w:rPr>
            </w:pPr>
          </w:p>
        </w:tc>
      </w:tr>
      <w:tr w:rsidR="00FA354D" w:rsidRPr="00801872" w14:paraId="6AAED0D0" w14:textId="77777777" w:rsidTr="004C7942">
        <w:trPr>
          <w:trHeight w:val="204"/>
        </w:trPr>
        <w:tc>
          <w:tcPr>
            <w:tcW w:w="2390" w:type="pct"/>
            <w:tcBorders>
              <w:top w:val="nil"/>
              <w:left w:val="nil"/>
              <w:bottom w:val="nil"/>
              <w:right w:val="nil"/>
            </w:tcBorders>
            <w:shd w:val="clear" w:color="auto" w:fill="auto"/>
            <w:vAlign w:val="bottom"/>
            <w:hideMark/>
          </w:tcPr>
          <w:p w14:paraId="4FFEB284" w14:textId="77777777" w:rsidR="00FA354D" w:rsidRPr="00801872" w:rsidRDefault="00FA354D" w:rsidP="00F5380E">
            <w:pPr>
              <w:spacing w:before="0" w:after="0" w:line="240" w:lineRule="auto"/>
              <w:ind w:left="227"/>
              <w:rPr>
                <w:rFonts w:ascii="Arial" w:hAnsi="Arial" w:cs="Arial"/>
                <w:sz w:val="16"/>
                <w:szCs w:val="16"/>
              </w:rPr>
            </w:pPr>
            <w:r w:rsidRPr="00801872">
              <w:rPr>
                <w:rFonts w:ascii="Arial" w:hAnsi="Arial" w:cs="Arial"/>
                <w:sz w:val="16"/>
                <w:szCs w:val="16"/>
              </w:rPr>
              <w:t>By purchase – appropriation ordinary annual services</w:t>
            </w:r>
            <w:r w:rsidRPr="00801872">
              <w:rPr>
                <w:rFonts w:ascii="Arial" w:hAnsi="Arial" w:cs="Arial"/>
                <w:sz w:val="16"/>
                <w:szCs w:val="16"/>
                <w:vertAlign w:val="superscript"/>
              </w:rPr>
              <w:t>(a)</w:t>
            </w:r>
          </w:p>
        </w:tc>
        <w:tc>
          <w:tcPr>
            <w:tcW w:w="795" w:type="pct"/>
            <w:tcBorders>
              <w:top w:val="nil"/>
              <w:left w:val="nil"/>
              <w:bottom w:val="nil"/>
              <w:right w:val="nil"/>
            </w:tcBorders>
            <w:shd w:val="clear" w:color="auto" w:fill="auto"/>
            <w:noWrap/>
            <w:vAlign w:val="bottom"/>
            <w:hideMark/>
          </w:tcPr>
          <w:p w14:paraId="79134CB0" w14:textId="77777777" w:rsidR="00FA354D" w:rsidRPr="00801872" w:rsidRDefault="00FA354D" w:rsidP="00FA354D">
            <w:pPr>
              <w:spacing w:before="0" w:after="0" w:line="240" w:lineRule="auto"/>
              <w:ind w:firstLineChars="100" w:firstLine="160"/>
              <w:jc w:val="right"/>
              <w:rPr>
                <w:rFonts w:ascii="Arial" w:hAnsi="Arial" w:cs="Arial"/>
                <w:sz w:val="16"/>
                <w:szCs w:val="16"/>
              </w:rPr>
            </w:pPr>
            <w:r w:rsidRPr="00801872">
              <w:rPr>
                <w:rFonts w:ascii="Arial" w:hAnsi="Arial" w:cs="Arial"/>
                <w:sz w:val="16"/>
                <w:szCs w:val="16"/>
              </w:rPr>
              <w:t>-</w:t>
            </w:r>
          </w:p>
        </w:tc>
        <w:tc>
          <w:tcPr>
            <w:tcW w:w="907" w:type="pct"/>
            <w:tcBorders>
              <w:top w:val="nil"/>
              <w:left w:val="nil"/>
              <w:bottom w:val="nil"/>
              <w:right w:val="nil"/>
            </w:tcBorders>
            <w:shd w:val="clear" w:color="auto" w:fill="auto"/>
            <w:noWrap/>
            <w:vAlign w:val="bottom"/>
            <w:hideMark/>
          </w:tcPr>
          <w:p w14:paraId="7471FADD" w14:textId="017E92E3" w:rsidR="00FA354D" w:rsidRPr="00801872" w:rsidRDefault="004C7942" w:rsidP="00FA354D">
            <w:pPr>
              <w:spacing w:before="0" w:after="0" w:line="240" w:lineRule="auto"/>
              <w:jc w:val="right"/>
              <w:rPr>
                <w:rFonts w:ascii="Arial" w:hAnsi="Arial" w:cs="Arial"/>
                <w:sz w:val="16"/>
                <w:szCs w:val="16"/>
              </w:rPr>
            </w:pPr>
            <w:r w:rsidRPr="00801872">
              <w:rPr>
                <w:rFonts w:ascii="Arial" w:hAnsi="Arial" w:cs="Arial"/>
                <w:sz w:val="16"/>
                <w:szCs w:val="16"/>
              </w:rPr>
              <w:t>1</w:t>
            </w:r>
            <w:r w:rsidR="00FA354D" w:rsidRPr="00801872">
              <w:rPr>
                <w:rFonts w:ascii="Arial" w:hAnsi="Arial" w:cs="Arial"/>
                <w:sz w:val="16"/>
                <w:szCs w:val="16"/>
              </w:rPr>
              <w:t>25</w:t>
            </w:r>
          </w:p>
        </w:tc>
        <w:tc>
          <w:tcPr>
            <w:tcW w:w="908" w:type="pct"/>
            <w:tcBorders>
              <w:top w:val="nil"/>
              <w:left w:val="nil"/>
              <w:bottom w:val="nil"/>
              <w:right w:val="nil"/>
            </w:tcBorders>
            <w:shd w:val="clear" w:color="auto" w:fill="auto"/>
            <w:noWrap/>
            <w:vAlign w:val="bottom"/>
            <w:hideMark/>
          </w:tcPr>
          <w:p w14:paraId="53B1E519" w14:textId="6BE7973C" w:rsidR="00FA354D" w:rsidRPr="00801872" w:rsidRDefault="004C7942" w:rsidP="00FA354D">
            <w:pPr>
              <w:spacing w:before="0" w:after="0" w:line="240" w:lineRule="auto"/>
              <w:jc w:val="right"/>
              <w:rPr>
                <w:rFonts w:ascii="Arial" w:hAnsi="Arial" w:cs="Arial"/>
                <w:sz w:val="16"/>
                <w:szCs w:val="16"/>
              </w:rPr>
            </w:pPr>
            <w:r w:rsidRPr="00801872">
              <w:rPr>
                <w:rFonts w:ascii="Arial" w:hAnsi="Arial" w:cs="Arial"/>
                <w:sz w:val="16"/>
                <w:szCs w:val="16"/>
              </w:rPr>
              <w:t>1</w:t>
            </w:r>
            <w:r w:rsidR="00FA354D" w:rsidRPr="00801872">
              <w:rPr>
                <w:rFonts w:ascii="Arial" w:hAnsi="Arial" w:cs="Arial"/>
                <w:sz w:val="16"/>
                <w:szCs w:val="16"/>
              </w:rPr>
              <w:t>25</w:t>
            </w:r>
          </w:p>
        </w:tc>
      </w:tr>
      <w:tr w:rsidR="00FA354D" w:rsidRPr="00801872" w14:paraId="36931D33" w14:textId="77777777" w:rsidTr="004C7942">
        <w:trPr>
          <w:trHeight w:val="204"/>
        </w:trPr>
        <w:tc>
          <w:tcPr>
            <w:tcW w:w="2390" w:type="pct"/>
            <w:tcBorders>
              <w:top w:val="nil"/>
              <w:left w:val="nil"/>
              <w:right w:val="nil"/>
            </w:tcBorders>
            <w:shd w:val="clear" w:color="auto" w:fill="auto"/>
            <w:vAlign w:val="bottom"/>
            <w:hideMark/>
          </w:tcPr>
          <w:p w14:paraId="4E058E81" w14:textId="77777777" w:rsidR="00FA354D" w:rsidRPr="00801872" w:rsidRDefault="00FA354D" w:rsidP="00F5380E">
            <w:pPr>
              <w:spacing w:before="0" w:after="0" w:line="240" w:lineRule="auto"/>
              <w:ind w:left="113"/>
              <w:rPr>
                <w:rFonts w:ascii="Arial" w:hAnsi="Arial" w:cs="Arial"/>
                <w:b/>
                <w:bCs/>
                <w:sz w:val="16"/>
                <w:szCs w:val="16"/>
              </w:rPr>
            </w:pPr>
            <w:r w:rsidRPr="00801872">
              <w:rPr>
                <w:rFonts w:ascii="Arial" w:hAnsi="Arial" w:cs="Arial"/>
                <w:b/>
                <w:color w:val="000000"/>
                <w:sz w:val="16"/>
                <w:szCs w:val="16"/>
              </w:rPr>
              <w:t>Total</w:t>
            </w:r>
            <w:r w:rsidRPr="00801872">
              <w:rPr>
                <w:rFonts w:ascii="Arial" w:hAnsi="Arial" w:cs="Arial"/>
                <w:b/>
                <w:bCs/>
                <w:sz w:val="16"/>
                <w:szCs w:val="16"/>
              </w:rPr>
              <w:t xml:space="preserve"> additions</w:t>
            </w:r>
          </w:p>
        </w:tc>
        <w:tc>
          <w:tcPr>
            <w:tcW w:w="795" w:type="pct"/>
            <w:tcBorders>
              <w:top w:val="single" w:sz="4" w:space="0" w:color="auto"/>
              <w:left w:val="nil"/>
              <w:bottom w:val="single" w:sz="4" w:space="0" w:color="auto"/>
              <w:right w:val="nil"/>
            </w:tcBorders>
            <w:shd w:val="clear" w:color="auto" w:fill="auto"/>
            <w:noWrap/>
            <w:vAlign w:val="bottom"/>
            <w:hideMark/>
          </w:tcPr>
          <w:p w14:paraId="4638B6B1" w14:textId="4585BC59" w:rsidR="00FA354D" w:rsidRPr="00801872" w:rsidRDefault="00801872" w:rsidP="00FA354D">
            <w:pPr>
              <w:spacing w:before="0" w:after="0" w:line="240" w:lineRule="auto"/>
              <w:jc w:val="right"/>
              <w:rPr>
                <w:rFonts w:ascii="Arial" w:hAnsi="Arial" w:cs="Arial"/>
                <w:b/>
                <w:bCs/>
                <w:sz w:val="16"/>
                <w:szCs w:val="16"/>
              </w:rPr>
            </w:pPr>
            <w:r w:rsidRPr="00801872">
              <w:rPr>
                <w:rFonts w:ascii="Arial" w:hAnsi="Arial" w:cs="Arial"/>
                <w:b/>
                <w:bCs/>
                <w:sz w:val="16"/>
                <w:szCs w:val="16"/>
              </w:rPr>
              <w:t>-</w:t>
            </w:r>
          </w:p>
        </w:tc>
        <w:tc>
          <w:tcPr>
            <w:tcW w:w="907" w:type="pct"/>
            <w:tcBorders>
              <w:top w:val="single" w:sz="4" w:space="0" w:color="auto"/>
              <w:left w:val="nil"/>
              <w:bottom w:val="single" w:sz="4" w:space="0" w:color="auto"/>
              <w:right w:val="nil"/>
            </w:tcBorders>
            <w:shd w:val="clear" w:color="auto" w:fill="auto"/>
            <w:noWrap/>
            <w:vAlign w:val="bottom"/>
            <w:hideMark/>
          </w:tcPr>
          <w:p w14:paraId="08C57740" w14:textId="5FC48B48" w:rsidR="00FA354D" w:rsidRPr="00801872" w:rsidRDefault="00801872" w:rsidP="00FA354D">
            <w:pPr>
              <w:spacing w:before="0" w:after="0" w:line="240" w:lineRule="auto"/>
              <w:jc w:val="right"/>
              <w:rPr>
                <w:rFonts w:ascii="Arial" w:hAnsi="Arial" w:cs="Arial"/>
                <w:b/>
                <w:bCs/>
                <w:sz w:val="16"/>
                <w:szCs w:val="16"/>
              </w:rPr>
            </w:pPr>
            <w:r w:rsidRPr="00801872">
              <w:rPr>
                <w:rFonts w:ascii="Arial" w:hAnsi="Arial" w:cs="Arial"/>
                <w:b/>
                <w:bCs/>
                <w:sz w:val="16"/>
                <w:szCs w:val="16"/>
              </w:rPr>
              <w:t>125</w:t>
            </w:r>
          </w:p>
        </w:tc>
        <w:tc>
          <w:tcPr>
            <w:tcW w:w="908" w:type="pct"/>
            <w:tcBorders>
              <w:top w:val="single" w:sz="4" w:space="0" w:color="auto"/>
              <w:left w:val="nil"/>
              <w:bottom w:val="single" w:sz="4" w:space="0" w:color="auto"/>
              <w:right w:val="nil"/>
            </w:tcBorders>
            <w:shd w:val="clear" w:color="auto" w:fill="auto"/>
            <w:noWrap/>
            <w:vAlign w:val="bottom"/>
            <w:hideMark/>
          </w:tcPr>
          <w:p w14:paraId="1A7C88A7" w14:textId="7AE29F17" w:rsidR="00FA354D" w:rsidRPr="00801872" w:rsidRDefault="00801872" w:rsidP="00FA354D">
            <w:pPr>
              <w:spacing w:before="0" w:after="0" w:line="240" w:lineRule="auto"/>
              <w:jc w:val="right"/>
              <w:rPr>
                <w:rFonts w:ascii="Arial" w:hAnsi="Arial" w:cs="Arial"/>
                <w:b/>
                <w:bCs/>
                <w:sz w:val="16"/>
                <w:szCs w:val="16"/>
              </w:rPr>
            </w:pPr>
            <w:r w:rsidRPr="00801872">
              <w:rPr>
                <w:rFonts w:ascii="Arial" w:hAnsi="Arial" w:cs="Arial"/>
                <w:b/>
                <w:bCs/>
                <w:sz w:val="16"/>
                <w:szCs w:val="16"/>
              </w:rPr>
              <w:t>125</w:t>
            </w:r>
          </w:p>
        </w:tc>
      </w:tr>
      <w:tr w:rsidR="00FA354D" w:rsidRPr="00801872" w14:paraId="606E7D6F" w14:textId="77777777" w:rsidTr="004C7942">
        <w:trPr>
          <w:trHeight w:val="204"/>
        </w:trPr>
        <w:tc>
          <w:tcPr>
            <w:tcW w:w="2390" w:type="pct"/>
            <w:tcBorders>
              <w:left w:val="nil"/>
              <w:bottom w:val="nil"/>
              <w:right w:val="nil"/>
            </w:tcBorders>
            <w:shd w:val="clear" w:color="auto" w:fill="auto"/>
            <w:vAlign w:val="bottom"/>
            <w:hideMark/>
          </w:tcPr>
          <w:p w14:paraId="44D3FFA6" w14:textId="77777777" w:rsidR="00FA354D" w:rsidRPr="00801872" w:rsidRDefault="00FA354D" w:rsidP="00F5380E">
            <w:pPr>
              <w:spacing w:before="0" w:after="0" w:line="240" w:lineRule="auto"/>
              <w:ind w:left="113"/>
              <w:rPr>
                <w:rFonts w:ascii="Arial" w:hAnsi="Arial" w:cs="Arial"/>
                <w:b/>
                <w:bCs/>
                <w:sz w:val="16"/>
                <w:szCs w:val="16"/>
              </w:rPr>
            </w:pPr>
            <w:r w:rsidRPr="00801872">
              <w:rPr>
                <w:rFonts w:ascii="Arial" w:hAnsi="Arial" w:cs="Arial"/>
                <w:b/>
                <w:color w:val="000000"/>
                <w:sz w:val="16"/>
                <w:szCs w:val="16"/>
              </w:rPr>
              <w:t>Other</w:t>
            </w:r>
            <w:r w:rsidRPr="00801872">
              <w:rPr>
                <w:rFonts w:ascii="Arial" w:hAnsi="Arial" w:cs="Arial"/>
                <w:b/>
                <w:bCs/>
                <w:sz w:val="16"/>
                <w:szCs w:val="16"/>
              </w:rPr>
              <w:t xml:space="preserve"> movements</w:t>
            </w:r>
          </w:p>
        </w:tc>
        <w:tc>
          <w:tcPr>
            <w:tcW w:w="795" w:type="pct"/>
            <w:tcBorders>
              <w:top w:val="single" w:sz="4" w:space="0" w:color="auto"/>
              <w:left w:val="nil"/>
              <w:bottom w:val="nil"/>
              <w:right w:val="nil"/>
            </w:tcBorders>
            <w:shd w:val="clear" w:color="auto" w:fill="auto"/>
            <w:noWrap/>
            <w:vAlign w:val="bottom"/>
            <w:hideMark/>
          </w:tcPr>
          <w:p w14:paraId="14036025" w14:textId="77777777" w:rsidR="00FA354D" w:rsidRPr="00801872" w:rsidRDefault="00FA354D" w:rsidP="00FA354D">
            <w:pPr>
              <w:spacing w:before="0" w:after="0" w:line="240" w:lineRule="auto"/>
              <w:jc w:val="right"/>
              <w:rPr>
                <w:rFonts w:ascii="Arial" w:hAnsi="Arial" w:cs="Arial"/>
                <w:b/>
                <w:bCs/>
                <w:sz w:val="16"/>
                <w:szCs w:val="16"/>
              </w:rPr>
            </w:pPr>
          </w:p>
        </w:tc>
        <w:tc>
          <w:tcPr>
            <w:tcW w:w="907" w:type="pct"/>
            <w:tcBorders>
              <w:top w:val="single" w:sz="4" w:space="0" w:color="auto"/>
              <w:left w:val="nil"/>
              <w:bottom w:val="nil"/>
              <w:right w:val="nil"/>
            </w:tcBorders>
            <w:shd w:val="clear" w:color="auto" w:fill="auto"/>
            <w:noWrap/>
            <w:vAlign w:val="bottom"/>
            <w:hideMark/>
          </w:tcPr>
          <w:p w14:paraId="608C20F0" w14:textId="77777777" w:rsidR="00FA354D" w:rsidRPr="00801872" w:rsidRDefault="00FA354D" w:rsidP="00FA354D">
            <w:pPr>
              <w:spacing w:before="0" w:after="0" w:line="240" w:lineRule="auto"/>
              <w:jc w:val="right"/>
              <w:rPr>
                <w:rFonts w:ascii="Arial" w:hAnsi="Arial" w:cs="Arial"/>
                <w:b/>
                <w:bCs/>
                <w:sz w:val="16"/>
                <w:szCs w:val="16"/>
              </w:rPr>
            </w:pPr>
          </w:p>
        </w:tc>
        <w:tc>
          <w:tcPr>
            <w:tcW w:w="908" w:type="pct"/>
            <w:tcBorders>
              <w:top w:val="single" w:sz="4" w:space="0" w:color="auto"/>
              <w:left w:val="nil"/>
              <w:bottom w:val="nil"/>
              <w:right w:val="nil"/>
            </w:tcBorders>
            <w:shd w:val="clear" w:color="auto" w:fill="auto"/>
            <w:noWrap/>
            <w:vAlign w:val="bottom"/>
            <w:hideMark/>
          </w:tcPr>
          <w:p w14:paraId="7AD88B8C" w14:textId="77777777" w:rsidR="00FA354D" w:rsidRPr="00801872" w:rsidRDefault="00FA354D" w:rsidP="00FA354D">
            <w:pPr>
              <w:spacing w:before="0" w:after="0" w:line="240" w:lineRule="auto"/>
              <w:jc w:val="right"/>
              <w:rPr>
                <w:rFonts w:ascii="Arial" w:hAnsi="Arial" w:cs="Arial"/>
                <w:b/>
                <w:bCs/>
                <w:sz w:val="16"/>
                <w:szCs w:val="16"/>
              </w:rPr>
            </w:pPr>
          </w:p>
        </w:tc>
      </w:tr>
      <w:tr w:rsidR="00801872" w:rsidRPr="00801872" w14:paraId="0620789C" w14:textId="77777777" w:rsidTr="004C7942">
        <w:trPr>
          <w:trHeight w:val="204"/>
        </w:trPr>
        <w:tc>
          <w:tcPr>
            <w:tcW w:w="2390" w:type="pct"/>
            <w:tcBorders>
              <w:top w:val="nil"/>
              <w:left w:val="nil"/>
              <w:bottom w:val="nil"/>
              <w:right w:val="nil"/>
            </w:tcBorders>
            <w:shd w:val="clear" w:color="auto" w:fill="auto"/>
            <w:vAlign w:val="bottom"/>
            <w:hideMark/>
          </w:tcPr>
          <w:p w14:paraId="09CEE3AB" w14:textId="77777777" w:rsidR="00801872" w:rsidRPr="00801872" w:rsidRDefault="00801872" w:rsidP="00801872">
            <w:pPr>
              <w:spacing w:before="0" w:after="0" w:line="240" w:lineRule="auto"/>
              <w:ind w:left="227"/>
              <w:rPr>
                <w:rFonts w:ascii="Arial" w:hAnsi="Arial" w:cs="Arial"/>
                <w:sz w:val="16"/>
                <w:szCs w:val="16"/>
              </w:rPr>
            </w:pPr>
            <w:r w:rsidRPr="00801872">
              <w:rPr>
                <w:rFonts w:ascii="Arial" w:hAnsi="Arial" w:cs="Arial"/>
                <w:sz w:val="16"/>
                <w:szCs w:val="16"/>
              </w:rPr>
              <w:t>Depreciation/amortisation expense</w:t>
            </w:r>
          </w:p>
        </w:tc>
        <w:tc>
          <w:tcPr>
            <w:tcW w:w="795" w:type="pct"/>
            <w:tcBorders>
              <w:top w:val="nil"/>
              <w:left w:val="nil"/>
              <w:bottom w:val="nil"/>
              <w:right w:val="nil"/>
            </w:tcBorders>
            <w:shd w:val="clear" w:color="auto" w:fill="auto"/>
            <w:noWrap/>
            <w:vAlign w:val="bottom"/>
            <w:hideMark/>
          </w:tcPr>
          <w:p w14:paraId="6100D084" w14:textId="0519D9C9"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(252)</w:t>
            </w:r>
          </w:p>
        </w:tc>
        <w:tc>
          <w:tcPr>
            <w:tcW w:w="907" w:type="pct"/>
            <w:tcBorders>
              <w:top w:val="nil"/>
              <w:left w:val="nil"/>
              <w:bottom w:val="nil"/>
              <w:right w:val="nil"/>
            </w:tcBorders>
            <w:shd w:val="clear" w:color="auto" w:fill="auto"/>
            <w:noWrap/>
            <w:vAlign w:val="bottom"/>
            <w:hideMark/>
          </w:tcPr>
          <w:p w14:paraId="774C3709" w14:textId="51469139"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(123)</w:t>
            </w:r>
          </w:p>
        </w:tc>
        <w:tc>
          <w:tcPr>
            <w:tcW w:w="908" w:type="pct"/>
            <w:tcBorders>
              <w:top w:val="nil"/>
              <w:left w:val="nil"/>
              <w:bottom w:val="nil"/>
              <w:right w:val="nil"/>
            </w:tcBorders>
            <w:shd w:val="clear" w:color="auto" w:fill="auto"/>
            <w:noWrap/>
            <w:vAlign w:val="bottom"/>
            <w:hideMark/>
          </w:tcPr>
          <w:p w14:paraId="41E8415E" w14:textId="38EEA59E"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(375)</w:t>
            </w:r>
          </w:p>
        </w:tc>
      </w:tr>
      <w:tr w:rsidR="00801872" w:rsidRPr="00801872" w14:paraId="155730C1" w14:textId="77777777" w:rsidTr="004C7942">
        <w:trPr>
          <w:trHeight w:val="204"/>
        </w:trPr>
        <w:tc>
          <w:tcPr>
            <w:tcW w:w="2390" w:type="pct"/>
            <w:tcBorders>
              <w:top w:val="nil"/>
              <w:left w:val="nil"/>
              <w:bottom w:val="nil"/>
              <w:right w:val="nil"/>
            </w:tcBorders>
            <w:shd w:val="clear" w:color="auto" w:fill="auto"/>
            <w:vAlign w:val="center"/>
            <w:hideMark/>
          </w:tcPr>
          <w:p w14:paraId="26BFBAC3" w14:textId="77777777" w:rsidR="00801872" w:rsidRPr="00801872" w:rsidRDefault="00801872" w:rsidP="00801872">
            <w:pPr>
              <w:spacing w:before="0" w:after="0" w:line="240" w:lineRule="auto"/>
              <w:ind w:left="227"/>
              <w:rPr>
                <w:rFonts w:ascii="Arial" w:hAnsi="Arial" w:cs="Arial"/>
                <w:sz w:val="16"/>
                <w:szCs w:val="16"/>
              </w:rPr>
            </w:pPr>
            <w:r w:rsidRPr="00801872">
              <w:rPr>
                <w:rFonts w:ascii="Arial" w:hAnsi="Arial" w:cs="Arial"/>
                <w:sz w:val="16"/>
                <w:szCs w:val="16"/>
              </w:rPr>
              <w:t>Depreciation/amortisation on ROU assets</w:t>
            </w:r>
          </w:p>
        </w:tc>
        <w:tc>
          <w:tcPr>
            <w:tcW w:w="795" w:type="pct"/>
            <w:tcBorders>
              <w:top w:val="nil"/>
              <w:left w:val="nil"/>
              <w:bottom w:val="nil"/>
              <w:right w:val="nil"/>
            </w:tcBorders>
            <w:shd w:val="clear" w:color="auto" w:fill="auto"/>
            <w:noWrap/>
            <w:vAlign w:val="bottom"/>
            <w:hideMark/>
          </w:tcPr>
          <w:p w14:paraId="246C8643" w14:textId="5E65328F"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(391)</w:t>
            </w:r>
          </w:p>
        </w:tc>
        <w:tc>
          <w:tcPr>
            <w:tcW w:w="907" w:type="pct"/>
            <w:tcBorders>
              <w:top w:val="nil"/>
              <w:left w:val="nil"/>
              <w:bottom w:val="nil"/>
              <w:right w:val="nil"/>
            </w:tcBorders>
            <w:shd w:val="clear" w:color="auto" w:fill="auto"/>
            <w:noWrap/>
            <w:vAlign w:val="bottom"/>
            <w:hideMark/>
          </w:tcPr>
          <w:p w14:paraId="72676D63" w14:textId="31614335"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w:t>
            </w:r>
          </w:p>
        </w:tc>
        <w:tc>
          <w:tcPr>
            <w:tcW w:w="908" w:type="pct"/>
            <w:tcBorders>
              <w:top w:val="nil"/>
              <w:left w:val="nil"/>
              <w:bottom w:val="nil"/>
              <w:right w:val="nil"/>
            </w:tcBorders>
            <w:shd w:val="clear" w:color="auto" w:fill="auto"/>
            <w:noWrap/>
            <w:vAlign w:val="bottom"/>
            <w:hideMark/>
          </w:tcPr>
          <w:p w14:paraId="04DC5FE3" w14:textId="16DFD80D"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(391)</w:t>
            </w:r>
          </w:p>
        </w:tc>
      </w:tr>
      <w:tr w:rsidR="00801872" w:rsidRPr="00801872" w14:paraId="78E0F6D7" w14:textId="77777777" w:rsidTr="004C7942">
        <w:trPr>
          <w:trHeight w:val="204"/>
        </w:trPr>
        <w:tc>
          <w:tcPr>
            <w:tcW w:w="2390" w:type="pct"/>
            <w:tcBorders>
              <w:top w:val="nil"/>
              <w:left w:val="nil"/>
              <w:bottom w:val="nil"/>
              <w:right w:val="nil"/>
            </w:tcBorders>
            <w:shd w:val="clear" w:color="auto" w:fill="auto"/>
            <w:vAlign w:val="bottom"/>
            <w:hideMark/>
          </w:tcPr>
          <w:p w14:paraId="4CF612CF" w14:textId="77777777" w:rsidR="00801872" w:rsidRPr="00801872" w:rsidRDefault="00801872" w:rsidP="00801872">
            <w:pPr>
              <w:spacing w:before="0" w:after="0" w:line="240" w:lineRule="auto"/>
              <w:ind w:left="113"/>
              <w:rPr>
                <w:rFonts w:ascii="Arial" w:hAnsi="Arial" w:cs="Arial"/>
                <w:b/>
                <w:bCs/>
                <w:sz w:val="16"/>
                <w:szCs w:val="16"/>
              </w:rPr>
            </w:pPr>
            <w:r w:rsidRPr="00801872">
              <w:rPr>
                <w:rFonts w:ascii="Arial" w:hAnsi="Arial" w:cs="Arial"/>
                <w:b/>
                <w:color w:val="000000"/>
                <w:sz w:val="16"/>
                <w:szCs w:val="16"/>
              </w:rPr>
              <w:t>Total</w:t>
            </w:r>
            <w:r w:rsidRPr="00801872">
              <w:rPr>
                <w:rFonts w:ascii="Arial" w:hAnsi="Arial" w:cs="Arial"/>
                <w:b/>
                <w:bCs/>
                <w:sz w:val="16"/>
                <w:szCs w:val="16"/>
              </w:rPr>
              <w:t xml:space="preserve"> other movements</w:t>
            </w:r>
          </w:p>
        </w:tc>
        <w:tc>
          <w:tcPr>
            <w:tcW w:w="795" w:type="pct"/>
            <w:tcBorders>
              <w:top w:val="single" w:sz="4" w:space="0" w:color="auto"/>
              <w:left w:val="nil"/>
              <w:bottom w:val="single" w:sz="4" w:space="0" w:color="auto"/>
              <w:right w:val="nil"/>
            </w:tcBorders>
            <w:shd w:val="clear" w:color="auto" w:fill="auto"/>
            <w:noWrap/>
            <w:vAlign w:val="bottom"/>
            <w:hideMark/>
          </w:tcPr>
          <w:p w14:paraId="173C7FF8" w14:textId="7E1AC6FC"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(643)</w:t>
            </w:r>
          </w:p>
        </w:tc>
        <w:tc>
          <w:tcPr>
            <w:tcW w:w="907" w:type="pct"/>
            <w:tcBorders>
              <w:top w:val="single" w:sz="4" w:space="0" w:color="auto"/>
              <w:left w:val="nil"/>
              <w:bottom w:val="single" w:sz="4" w:space="0" w:color="auto"/>
              <w:right w:val="nil"/>
            </w:tcBorders>
            <w:shd w:val="clear" w:color="auto" w:fill="auto"/>
            <w:noWrap/>
            <w:vAlign w:val="bottom"/>
            <w:hideMark/>
          </w:tcPr>
          <w:p w14:paraId="07060EBC" w14:textId="08E20BEE"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(123)</w:t>
            </w:r>
          </w:p>
        </w:tc>
        <w:tc>
          <w:tcPr>
            <w:tcW w:w="908" w:type="pct"/>
            <w:tcBorders>
              <w:top w:val="single" w:sz="4" w:space="0" w:color="auto"/>
              <w:left w:val="nil"/>
              <w:bottom w:val="single" w:sz="4" w:space="0" w:color="auto"/>
              <w:right w:val="nil"/>
            </w:tcBorders>
            <w:shd w:val="clear" w:color="auto" w:fill="auto"/>
            <w:noWrap/>
            <w:vAlign w:val="bottom"/>
            <w:hideMark/>
          </w:tcPr>
          <w:p w14:paraId="0E6FFA46" w14:textId="38C8A4C4"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(766)</w:t>
            </w:r>
          </w:p>
        </w:tc>
      </w:tr>
      <w:tr w:rsidR="00FA354D" w:rsidRPr="00801872" w14:paraId="607A420D" w14:textId="77777777" w:rsidTr="004C7942">
        <w:trPr>
          <w:trHeight w:val="204"/>
        </w:trPr>
        <w:tc>
          <w:tcPr>
            <w:tcW w:w="2390" w:type="pct"/>
            <w:tcBorders>
              <w:top w:val="nil"/>
              <w:left w:val="nil"/>
              <w:bottom w:val="nil"/>
              <w:right w:val="nil"/>
            </w:tcBorders>
            <w:shd w:val="clear" w:color="auto" w:fill="auto"/>
            <w:vAlign w:val="bottom"/>
            <w:hideMark/>
          </w:tcPr>
          <w:p w14:paraId="696A84C6" w14:textId="3A88CC03" w:rsidR="00FA354D" w:rsidRPr="00801872" w:rsidRDefault="00FA354D" w:rsidP="00FA354D">
            <w:pPr>
              <w:spacing w:before="0" w:after="0" w:line="240" w:lineRule="auto"/>
              <w:rPr>
                <w:rFonts w:ascii="Arial" w:hAnsi="Arial" w:cs="Arial"/>
                <w:b/>
                <w:bCs/>
                <w:sz w:val="16"/>
                <w:szCs w:val="16"/>
              </w:rPr>
            </w:pPr>
            <w:r w:rsidRPr="00801872">
              <w:rPr>
                <w:rFonts w:ascii="Arial" w:hAnsi="Arial" w:cs="Arial"/>
                <w:b/>
                <w:bCs/>
                <w:sz w:val="16"/>
                <w:szCs w:val="16"/>
              </w:rPr>
              <w:t>As at 30 June 202</w:t>
            </w:r>
            <w:r w:rsidR="004C7942" w:rsidRPr="00801872">
              <w:rPr>
                <w:rFonts w:ascii="Arial" w:hAnsi="Arial" w:cs="Arial"/>
                <w:b/>
                <w:bCs/>
                <w:sz w:val="16"/>
                <w:szCs w:val="16"/>
              </w:rPr>
              <w:t>6</w:t>
            </w:r>
          </w:p>
        </w:tc>
        <w:tc>
          <w:tcPr>
            <w:tcW w:w="795" w:type="pct"/>
            <w:tcBorders>
              <w:top w:val="nil"/>
              <w:left w:val="nil"/>
              <w:bottom w:val="nil"/>
              <w:right w:val="nil"/>
            </w:tcBorders>
            <w:shd w:val="clear" w:color="auto" w:fill="auto"/>
            <w:noWrap/>
            <w:vAlign w:val="bottom"/>
            <w:hideMark/>
          </w:tcPr>
          <w:p w14:paraId="367484B6" w14:textId="77777777" w:rsidR="00FA354D" w:rsidRPr="00801872" w:rsidRDefault="00FA354D" w:rsidP="00FA354D">
            <w:pPr>
              <w:spacing w:before="0" w:after="0" w:line="240" w:lineRule="auto"/>
              <w:jc w:val="right"/>
              <w:rPr>
                <w:rFonts w:ascii="Arial" w:hAnsi="Arial" w:cs="Arial"/>
                <w:b/>
                <w:bCs/>
                <w:sz w:val="16"/>
                <w:szCs w:val="16"/>
              </w:rPr>
            </w:pPr>
          </w:p>
        </w:tc>
        <w:tc>
          <w:tcPr>
            <w:tcW w:w="907" w:type="pct"/>
            <w:tcBorders>
              <w:top w:val="nil"/>
              <w:left w:val="nil"/>
              <w:bottom w:val="nil"/>
              <w:right w:val="nil"/>
            </w:tcBorders>
            <w:shd w:val="clear" w:color="auto" w:fill="auto"/>
            <w:noWrap/>
            <w:vAlign w:val="bottom"/>
            <w:hideMark/>
          </w:tcPr>
          <w:p w14:paraId="2F13F95C" w14:textId="77777777" w:rsidR="00FA354D" w:rsidRPr="00801872" w:rsidRDefault="00FA354D" w:rsidP="00FA354D">
            <w:pPr>
              <w:spacing w:before="0" w:after="0" w:line="240" w:lineRule="auto"/>
              <w:jc w:val="right"/>
              <w:rPr>
                <w:rFonts w:ascii="Times New Roman" w:hAnsi="Times New Roman"/>
                <w:sz w:val="20"/>
              </w:rPr>
            </w:pPr>
          </w:p>
        </w:tc>
        <w:tc>
          <w:tcPr>
            <w:tcW w:w="908" w:type="pct"/>
            <w:tcBorders>
              <w:top w:val="nil"/>
              <w:left w:val="nil"/>
              <w:bottom w:val="nil"/>
              <w:right w:val="nil"/>
            </w:tcBorders>
            <w:shd w:val="clear" w:color="auto" w:fill="auto"/>
            <w:noWrap/>
            <w:vAlign w:val="bottom"/>
            <w:hideMark/>
          </w:tcPr>
          <w:p w14:paraId="2C51FD97" w14:textId="77777777" w:rsidR="00FA354D" w:rsidRPr="00801872" w:rsidRDefault="00FA354D" w:rsidP="00FA354D">
            <w:pPr>
              <w:spacing w:before="0" w:after="0" w:line="240" w:lineRule="auto"/>
              <w:jc w:val="right"/>
              <w:rPr>
                <w:rFonts w:ascii="Times New Roman" w:hAnsi="Times New Roman"/>
                <w:sz w:val="20"/>
              </w:rPr>
            </w:pPr>
          </w:p>
        </w:tc>
      </w:tr>
      <w:tr w:rsidR="00801872" w:rsidRPr="00801872" w14:paraId="09819FCE" w14:textId="77777777" w:rsidTr="004C7942">
        <w:trPr>
          <w:trHeight w:val="204"/>
        </w:trPr>
        <w:tc>
          <w:tcPr>
            <w:tcW w:w="2390" w:type="pct"/>
            <w:tcBorders>
              <w:top w:val="nil"/>
              <w:left w:val="nil"/>
              <w:bottom w:val="nil"/>
              <w:right w:val="nil"/>
            </w:tcBorders>
            <w:shd w:val="clear" w:color="auto" w:fill="auto"/>
            <w:vAlign w:val="center"/>
            <w:hideMark/>
          </w:tcPr>
          <w:p w14:paraId="4D44CF67" w14:textId="77777777" w:rsidR="00801872" w:rsidRPr="00801872" w:rsidRDefault="00801872" w:rsidP="00801872">
            <w:pPr>
              <w:spacing w:before="0" w:after="0" w:line="240" w:lineRule="auto"/>
              <w:ind w:left="113"/>
              <w:rPr>
                <w:rFonts w:ascii="Arial" w:hAnsi="Arial" w:cs="Arial"/>
                <w:sz w:val="16"/>
                <w:szCs w:val="16"/>
              </w:rPr>
            </w:pPr>
            <w:r w:rsidRPr="00801872">
              <w:rPr>
                <w:rFonts w:ascii="Arial" w:hAnsi="Arial" w:cs="Arial"/>
                <w:sz w:val="16"/>
                <w:szCs w:val="16"/>
              </w:rPr>
              <w:t>Gross book value</w:t>
            </w:r>
          </w:p>
        </w:tc>
        <w:tc>
          <w:tcPr>
            <w:tcW w:w="795" w:type="pct"/>
            <w:tcBorders>
              <w:top w:val="nil"/>
              <w:left w:val="nil"/>
              <w:bottom w:val="nil"/>
              <w:right w:val="nil"/>
            </w:tcBorders>
            <w:shd w:val="clear" w:color="auto" w:fill="auto"/>
            <w:noWrap/>
            <w:vAlign w:val="bottom"/>
            <w:hideMark/>
          </w:tcPr>
          <w:p w14:paraId="63D584B9" w14:textId="4DF4C12D"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1,300 </w:t>
            </w:r>
          </w:p>
        </w:tc>
        <w:tc>
          <w:tcPr>
            <w:tcW w:w="907" w:type="pct"/>
            <w:tcBorders>
              <w:top w:val="nil"/>
              <w:left w:val="nil"/>
              <w:bottom w:val="nil"/>
              <w:right w:val="nil"/>
            </w:tcBorders>
            <w:shd w:val="clear" w:color="auto" w:fill="auto"/>
            <w:noWrap/>
            <w:vAlign w:val="bottom"/>
            <w:hideMark/>
          </w:tcPr>
          <w:p w14:paraId="1151930A" w14:textId="3F14B380"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822 </w:t>
            </w:r>
          </w:p>
        </w:tc>
        <w:tc>
          <w:tcPr>
            <w:tcW w:w="908" w:type="pct"/>
            <w:tcBorders>
              <w:top w:val="nil"/>
              <w:left w:val="nil"/>
              <w:bottom w:val="nil"/>
              <w:right w:val="nil"/>
            </w:tcBorders>
            <w:shd w:val="clear" w:color="auto" w:fill="auto"/>
            <w:noWrap/>
            <w:vAlign w:val="bottom"/>
            <w:hideMark/>
          </w:tcPr>
          <w:p w14:paraId="01829458" w14:textId="1203FD69"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2,122 </w:t>
            </w:r>
          </w:p>
        </w:tc>
      </w:tr>
      <w:tr w:rsidR="00801872" w:rsidRPr="00801872" w14:paraId="3B7E5528" w14:textId="77777777" w:rsidTr="004C7942">
        <w:trPr>
          <w:trHeight w:val="204"/>
        </w:trPr>
        <w:tc>
          <w:tcPr>
            <w:tcW w:w="2390" w:type="pct"/>
            <w:tcBorders>
              <w:top w:val="nil"/>
              <w:left w:val="nil"/>
              <w:bottom w:val="nil"/>
              <w:right w:val="nil"/>
            </w:tcBorders>
            <w:shd w:val="clear" w:color="auto" w:fill="auto"/>
            <w:vAlign w:val="center"/>
            <w:hideMark/>
          </w:tcPr>
          <w:p w14:paraId="4CDC5F47" w14:textId="77777777" w:rsidR="00801872" w:rsidRPr="00801872" w:rsidRDefault="00801872" w:rsidP="00801872">
            <w:pPr>
              <w:spacing w:before="0" w:after="0" w:line="240" w:lineRule="auto"/>
              <w:ind w:left="113"/>
              <w:rPr>
                <w:rFonts w:ascii="Arial" w:hAnsi="Arial" w:cs="Arial"/>
                <w:sz w:val="16"/>
                <w:szCs w:val="16"/>
              </w:rPr>
            </w:pPr>
            <w:r w:rsidRPr="00801872">
              <w:rPr>
                <w:rFonts w:ascii="Arial" w:hAnsi="Arial" w:cs="Arial"/>
                <w:sz w:val="16"/>
                <w:szCs w:val="16"/>
              </w:rPr>
              <w:t>Gross book value - ROU assets</w:t>
            </w:r>
          </w:p>
        </w:tc>
        <w:tc>
          <w:tcPr>
            <w:tcW w:w="795" w:type="pct"/>
            <w:tcBorders>
              <w:top w:val="nil"/>
              <w:left w:val="nil"/>
              <w:bottom w:val="nil"/>
              <w:right w:val="nil"/>
            </w:tcBorders>
            <w:shd w:val="clear" w:color="auto" w:fill="auto"/>
            <w:noWrap/>
            <w:vAlign w:val="bottom"/>
            <w:hideMark/>
          </w:tcPr>
          <w:p w14:paraId="3D400A09" w14:textId="0A10D894"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2,116 </w:t>
            </w:r>
          </w:p>
        </w:tc>
        <w:tc>
          <w:tcPr>
            <w:tcW w:w="907" w:type="pct"/>
            <w:tcBorders>
              <w:top w:val="nil"/>
              <w:left w:val="nil"/>
              <w:bottom w:val="nil"/>
              <w:right w:val="nil"/>
            </w:tcBorders>
            <w:shd w:val="clear" w:color="auto" w:fill="auto"/>
            <w:noWrap/>
            <w:vAlign w:val="bottom"/>
            <w:hideMark/>
          </w:tcPr>
          <w:p w14:paraId="5CCDD854" w14:textId="24FE787F"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 </w:t>
            </w:r>
          </w:p>
        </w:tc>
        <w:tc>
          <w:tcPr>
            <w:tcW w:w="908" w:type="pct"/>
            <w:tcBorders>
              <w:top w:val="nil"/>
              <w:left w:val="nil"/>
              <w:bottom w:val="nil"/>
              <w:right w:val="nil"/>
            </w:tcBorders>
            <w:shd w:val="clear" w:color="auto" w:fill="auto"/>
            <w:noWrap/>
            <w:vAlign w:val="bottom"/>
            <w:hideMark/>
          </w:tcPr>
          <w:p w14:paraId="5FF0FF48" w14:textId="2086408B"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2,116 </w:t>
            </w:r>
          </w:p>
        </w:tc>
      </w:tr>
      <w:tr w:rsidR="00801872" w:rsidRPr="00801872" w14:paraId="7DC52C2D" w14:textId="77777777" w:rsidTr="004C7942">
        <w:trPr>
          <w:trHeight w:val="204"/>
        </w:trPr>
        <w:tc>
          <w:tcPr>
            <w:tcW w:w="2390" w:type="pct"/>
            <w:tcBorders>
              <w:top w:val="nil"/>
              <w:left w:val="nil"/>
              <w:bottom w:val="nil"/>
              <w:right w:val="nil"/>
            </w:tcBorders>
            <w:shd w:val="clear" w:color="auto" w:fill="auto"/>
            <w:vAlign w:val="center"/>
            <w:hideMark/>
          </w:tcPr>
          <w:p w14:paraId="7895BDDD" w14:textId="77777777" w:rsidR="00801872" w:rsidRPr="00801872" w:rsidRDefault="00801872" w:rsidP="00801872">
            <w:pPr>
              <w:spacing w:before="0" w:after="0" w:line="240" w:lineRule="auto"/>
              <w:ind w:left="113"/>
              <w:rPr>
                <w:rFonts w:ascii="Arial" w:hAnsi="Arial" w:cs="Arial"/>
                <w:sz w:val="16"/>
                <w:szCs w:val="16"/>
              </w:rPr>
            </w:pPr>
            <w:r w:rsidRPr="00801872">
              <w:rPr>
                <w:rFonts w:ascii="Arial" w:hAnsi="Arial" w:cs="Arial"/>
                <w:color w:val="000000"/>
                <w:sz w:val="16"/>
                <w:szCs w:val="16"/>
              </w:rPr>
              <w:t>Accumulated</w:t>
            </w:r>
            <w:r w:rsidRPr="00801872">
              <w:rPr>
                <w:rFonts w:ascii="Arial" w:hAnsi="Arial" w:cs="Arial"/>
                <w:sz w:val="16"/>
                <w:szCs w:val="16"/>
              </w:rPr>
              <w:t xml:space="preserve"> depreciation/amortisation and impairment</w:t>
            </w:r>
          </w:p>
        </w:tc>
        <w:tc>
          <w:tcPr>
            <w:tcW w:w="795" w:type="pct"/>
            <w:tcBorders>
              <w:top w:val="nil"/>
              <w:left w:val="nil"/>
              <w:bottom w:val="nil"/>
              <w:right w:val="nil"/>
            </w:tcBorders>
            <w:shd w:val="clear" w:color="auto" w:fill="auto"/>
            <w:noWrap/>
            <w:vAlign w:val="bottom"/>
            <w:hideMark/>
          </w:tcPr>
          <w:p w14:paraId="23A1BB6D" w14:textId="57A50688"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(252)</w:t>
            </w:r>
          </w:p>
        </w:tc>
        <w:tc>
          <w:tcPr>
            <w:tcW w:w="907" w:type="pct"/>
            <w:tcBorders>
              <w:top w:val="nil"/>
              <w:left w:val="nil"/>
              <w:bottom w:val="nil"/>
              <w:right w:val="nil"/>
            </w:tcBorders>
            <w:shd w:val="clear" w:color="auto" w:fill="auto"/>
            <w:noWrap/>
            <w:vAlign w:val="bottom"/>
            <w:hideMark/>
          </w:tcPr>
          <w:p w14:paraId="0EA00D0F" w14:textId="07D8A5CF"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(639)</w:t>
            </w:r>
          </w:p>
        </w:tc>
        <w:tc>
          <w:tcPr>
            <w:tcW w:w="908" w:type="pct"/>
            <w:tcBorders>
              <w:top w:val="nil"/>
              <w:left w:val="nil"/>
              <w:bottom w:val="nil"/>
              <w:right w:val="nil"/>
            </w:tcBorders>
            <w:shd w:val="clear" w:color="auto" w:fill="auto"/>
            <w:noWrap/>
            <w:vAlign w:val="bottom"/>
            <w:hideMark/>
          </w:tcPr>
          <w:p w14:paraId="2D219E5D" w14:textId="2CFE26A0"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(891)</w:t>
            </w:r>
          </w:p>
        </w:tc>
      </w:tr>
      <w:tr w:rsidR="00801872" w:rsidRPr="00801872" w14:paraId="184291EF" w14:textId="77777777" w:rsidTr="004C7942">
        <w:trPr>
          <w:trHeight w:val="204"/>
        </w:trPr>
        <w:tc>
          <w:tcPr>
            <w:tcW w:w="2390" w:type="pct"/>
            <w:tcBorders>
              <w:top w:val="nil"/>
              <w:left w:val="nil"/>
              <w:bottom w:val="nil"/>
              <w:right w:val="nil"/>
            </w:tcBorders>
            <w:shd w:val="clear" w:color="auto" w:fill="auto"/>
            <w:vAlign w:val="center"/>
            <w:hideMark/>
          </w:tcPr>
          <w:p w14:paraId="103CA4C0" w14:textId="77777777" w:rsidR="00801872" w:rsidRPr="00801872" w:rsidRDefault="00801872" w:rsidP="00801872">
            <w:pPr>
              <w:spacing w:before="0" w:after="0" w:line="240" w:lineRule="auto"/>
              <w:ind w:left="113"/>
              <w:rPr>
                <w:rFonts w:ascii="Arial" w:hAnsi="Arial" w:cs="Arial"/>
                <w:sz w:val="16"/>
                <w:szCs w:val="16"/>
              </w:rPr>
            </w:pPr>
            <w:r w:rsidRPr="00801872">
              <w:rPr>
                <w:rFonts w:ascii="Arial" w:hAnsi="Arial" w:cs="Arial"/>
                <w:color w:val="000000"/>
                <w:sz w:val="16"/>
                <w:szCs w:val="16"/>
              </w:rPr>
              <w:t>Accumulated</w:t>
            </w:r>
            <w:r w:rsidRPr="00801872">
              <w:rPr>
                <w:rFonts w:ascii="Arial" w:hAnsi="Arial" w:cs="Arial"/>
                <w:sz w:val="16"/>
                <w:szCs w:val="16"/>
              </w:rPr>
              <w:t xml:space="preserve"> depreciation/amortisation and impairment - ROU assets</w:t>
            </w:r>
          </w:p>
        </w:tc>
        <w:tc>
          <w:tcPr>
            <w:tcW w:w="795" w:type="pct"/>
            <w:tcBorders>
              <w:top w:val="nil"/>
              <w:left w:val="nil"/>
              <w:bottom w:val="nil"/>
              <w:right w:val="nil"/>
            </w:tcBorders>
            <w:shd w:val="clear" w:color="auto" w:fill="auto"/>
            <w:noWrap/>
            <w:vAlign w:val="bottom"/>
            <w:hideMark/>
          </w:tcPr>
          <w:p w14:paraId="01890A88" w14:textId="3C002F1D"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(522)</w:t>
            </w:r>
          </w:p>
        </w:tc>
        <w:tc>
          <w:tcPr>
            <w:tcW w:w="907" w:type="pct"/>
            <w:tcBorders>
              <w:top w:val="nil"/>
              <w:left w:val="nil"/>
              <w:bottom w:val="nil"/>
              <w:right w:val="nil"/>
            </w:tcBorders>
            <w:shd w:val="clear" w:color="auto" w:fill="auto"/>
            <w:noWrap/>
            <w:vAlign w:val="bottom"/>
            <w:hideMark/>
          </w:tcPr>
          <w:p w14:paraId="0165C067" w14:textId="4CACD069"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 xml:space="preserve">- </w:t>
            </w:r>
          </w:p>
        </w:tc>
        <w:tc>
          <w:tcPr>
            <w:tcW w:w="908" w:type="pct"/>
            <w:tcBorders>
              <w:top w:val="nil"/>
              <w:left w:val="nil"/>
              <w:bottom w:val="nil"/>
              <w:right w:val="nil"/>
            </w:tcBorders>
            <w:shd w:val="clear" w:color="auto" w:fill="auto"/>
            <w:noWrap/>
            <w:vAlign w:val="bottom"/>
            <w:hideMark/>
          </w:tcPr>
          <w:p w14:paraId="3792DD5A" w14:textId="2C090530" w:rsidR="00801872" w:rsidRPr="00801872" w:rsidRDefault="00801872" w:rsidP="00801872">
            <w:pPr>
              <w:spacing w:before="0" w:after="0" w:line="240" w:lineRule="auto"/>
              <w:jc w:val="right"/>
              <w:rPr>
                <w:rFonts w:ascii="Arial" w:hAnsi="Arial" w:cs="Arial"/>
                <w:sz w:val="16"/>
                <w:szCs w:val="16"/>
              </w:rPr>
            </w:pPr>
            <w:r w:rsidRPr="00801872">
              <w:rPr>
                <w:rFonts w:ascii="Arial" w:hAnsi="Arial" w:cs="Arial"/>
                <w:sz w:val="16"/>
                <w:szCs w:val="16"/>
              </w:rPr>
              <w:t>(522)</w:t>
            </w:r>
          </w:p>
        </w:tc>
      </w:tr>
      <w:tr w:rsidR="00801872" w:rsidRPr="00801872" w14:paraId="343DF8B9" w14:textId="77777777" w:rsidTr="004C7942">
        <w:trPr>
          <w:trHeight w:val="204"/>
        </w:trPr>
        <w:tc>
          <w:tcPr>
            <w:tcW w:w="2390" w:type="pct"/>
            <w:tcBorders>
              <w:top w:val="nil"/>
              <w:left w:val="nil"/>
              <w:bottom w:val="single" w:sz="4" w:space="0" w:color="auto"/>
              <w:right w:val="nil"/>
            </w:tcBorders>
            <w:shd w:val="clear" w:color="auto" w:fill="auto"/>
            <w:noWrap/>
            <w:vAlign w:val="bottom"/>
            <w:hideMark/>
          </w:tcPr>
          <w:p w14:paraId="4CE54CF3" w14:textId="77777777" w:rsidR="00801872" w:rsidRPr="00801872" w:rsidRDefault="00801872" w:rsidP="00801872">
            <w:pPr>
              <w:spacing w:before="0" w:after="0" w:line="240" w:lineRule="auto"/>
              <w:rPr>
                <w:rFonts w:ascii="Arial" w:hAnsi="Arial" w:cs="Arial"/>
                <w:b/>
                <w:bCs/>
                <w:sz w:val="16"/>
                <w:szCs w:val="16"/>
              </w:rPr>
            </w:pPr>
            <w:r w:rsidRPr="00801872">
              <w:rPr>
                <w:rFonts w:ascii="Arial" w:hAnsi="Arial" w:cs="Arial"/>
                <w:b/>
                <w:bCs/>
                <w:sz w:val="16"/>
                <w:szCs w:val="16"/>
              </w:rPr>
              <w:t>Closing net book balance</w:t>
            </w:r>
          </w:p>
        </w:tc>
        <w:tc>
          <w:tcPr>
            <w:tcW w:w="795" w:type="pct"/>
            <w:tcBorders>
              <w:top w:val="single" w:sz="4" w:space="0" w:color="auto"/>
              <w:left w:val="nil"/>
              <w:bottom w:val="single" w:sz="4" w:space="0" w:color="auto"/>
              <w:right w:val="nil"/>
            </w:tcBorders>
            <w:shd w:val="clear" w:color="auto" w:fill="auto"/>
            <w:noWrap/>
            <w:vAlign w:val="bottom"/>
            <w:hideMark/>
          </w:tcPr>
          <w:p w14:paraId="13C5D8ED" w14:textId="5CC55B25"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 xml:space="preserve">2,642 </w:t>
            </w:r>
          </w:p>
        </w:tc>
        <w:tc>
          <w:tcPr>
            <w:tcW w:w="907" w:type="pct"/>
            <w:tcBorders>
              <w:top w:val="single" w:sz="4" w:space="0" w:color="auto"/>
              <w:left w:val="nil"/>
              <w:bottom w:val="single" w:sz="4" w:space="0" w:color="auto"/>
              <w:right w:val="nil"/>
            </w:tcBorders>
            <w:shd w:val="clear" w:color="auto" w:fill="auto"/>
            <w:noWrap/>
            <w:vAlign w:val="bottom"/>
            <w:hideMark/>
          </w:tcPr>
          <w:p w14:paraId="281FBCFD" w14:textId="1B52468E"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 xml:space="preserve">183 </w:t>
            </w:r>
          </w:p>
        </w:tc>
        <w:tc>
          <w:tcPr>
            <w:tcW w:w="908" w:type="pct"/>
            <w:tcBorders>
              <w:top w:val="single" w:sz="4" w:space="0" w:color="auto"/>
              <w:left w:val="nil"/>
              <w:bottom w:val="single" w:sz="4" w:space="0" w:color="auto"/>
              <w:right w:val="nil"/>
            </w:tcBorders>
            <w:shd w:val="clear" w:color="auto" w:fill="auto"/>
            <w:noWrap/>
            <w:vAlign w:val="bottom"/>
            <w:hideMark/>
          </w:tcPr>
          <w:p w14:paraId="64A1F4EC" w14:textId="703D7676" w:rsidR="00801872" w:rsidRPr="00801872" w:rsidRDefault="00801872" w:rsidP="00801872">
            <w:pPr>
              <w:spacing w:before="0" w:after="0" w:line="240" w:lineRule="auto"/>
              <w:jc w:val="right"/>
              <w:rPr>
                <w:rFonts w:ascii="Arial" w:hAnsi="Arial" w:cs="Arial"/>
                <w:b/>
                <w:bCs/>
                <w:sz w:val="16"/>
                <w:szCs w:val="16"/>
              </w:rPr>
            </w:pPr>
            <w:r w:rsidRPr="00801872">
              <w:rPr>
                <w:rFonts w:ascii="Arial" w:hAnsi="Arial" w:cs="Arial"/>
                <w:b/>
                <w:bCs/>
                <w:sz w:val="16"/>
                <w:szCs w:val="16"/>
              </w:rPr>
              <w:t xml:space="preserve">2,825 </w:t>
            </w:r>
          </w:p>
        </w:tc>
      </w:tr>
    </w:tbl>
    <w:p w14:paraId="487B95C4" w14:textId="77777777" w:rsidR="00FA354D" w:rsidRPr="00801872" w:rsidRDefault="00FA354D" w:rsidP="00FA354D">
      <w:pPr>
        <w:pStyle w:val="ChartandTableFootnote"/>
      </w:pPr>
      <w:r w:rsidRPr="00801872">
        <w:t>Prepared on Australian Accounting Standards basis.</w:t>
      </w:r>
    </w:p>
    <w:p w14:paraId="100C3C5A" w14:textId="511D307C" w:rsidR="00FA354D" w:rsidRDefault="00FA354D" w:rsidP="004C4460">
      <w:pPr>
        <w:pStyle w:val="ChartandTableFootnoteAlpha"/>
        <w:numPr>
          <w:ilvl w:val="4"/>
          <w:numId w:val="7"/>
        </w:numPr>
        <w:ind w:left="357" w:hanging="357"/>
      </w:pPr>
      <w:r w:rsidRPr="00801872">
        <w:rPr>
          <w:rFonts w:cs="Arial"/>
        </w:rPr>
        <w:t xml:space="preserve">‘Appropriation ordinary annual services’ refers to funding provided through Appropriation Bill (No. 1) </w:t>
      </w:r>
      <w:r w:rsidR="00801872" w:rsidRPr="00D346CE">
        <w:rPr>
          <w:rFonts w:cs="Arial"/>
        </w:rPr>
        <w:t>2025–2026</w:t>
      </w:r>
      <w:r w:rsidR="00801872">
        <w:rPr>
          <w:rFonts w:cs="Arial"/>
        </w:rPr>
        <w:t xml:space="preserve"> and Supply Bill (</w:t>
      </w:r>
      <w:r w:rsidR="00326326">
        <w:rPr>
          <w:rFonts w:cs="Arial"/>
        </w:rPr>
        <w:t>No. 1</w:t>
      </w:r>
      <w:r w:rsidR="00801872">
        <w:rPr>
          <w:rFonts w:cs="Arial"/>
        </w:rPr>
        <w:t>) 2025-26</w:t>
      </w:r>
      <w:r w:rsidR="00801872" w:rsidRPr="00D346CE">
        <w:rPr>
          <w:rFonts w:cs="Arial"/>
        </w:rPr>
        <w:t xml:space="preserve"> for depreciation/amortisation</w:t>
      </w:r>
      <w:r w:rsidR="00801872">
        <w:rPr>
          <w:rFonts w:cs="Arial"/>
        </w:rPr>
        <w:t>,</w:t>
      </w:r>
      <w:r w:rsidR="00801872" w:rsidRPr="00D346CE">
        <w:rPr>
          <w:rFonts w:cs="Arial"/>
        </w:rPr>
        <w:t xml:space="preserve"> DCBs or other operational expenses</w:t>
      </w:r>
    </w:p>
    <w:bookmarkEnd w:id="2"/>
    <w:bookmarkEnd w:id="3"/>
    <w:bookmarkEnd w:id="4"/>
    <w:bookmarkEnd w:id="5"/>
    <w:sectPr w:rsidR="00FA354D" w:rsidSect="004D6CFE">
      <w:footerReference w:type="even" r:id="rId26"/>
      <w:footerReference w:type="default" r:id="rId27"/>
      <w:headerReference w:type="first" r:id="rId28"/>
      <w:footerReference w:type="first" r:id="rId29"/>
      <w:type w:val="even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B1F7" w14:textId="77777777" w:rsidR="004D6CFE" w:rsidRDefault="004D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B57D" w14:textId="77777777" w:rsidR="004D6CFE" w:rsidRDefault="004D6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04BB" w14:textId="77777777" w:rsidR="004D6CFE" w:rsidRDefault="004D6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508E" w14:textId="63943F80" w:rsidR="009824FE" w:rsidRPr="00C431FB" w:rsidRDefault="009824FE" w:rsidP="00FA354D">
    <w:pPr>
      <w:pStyle w:val="FooterOdd"/>
      <w:rPr>
        <w:color w:val="auto"/>
      </w:rPr>
    </w:pPr>
    <w:r>
      <w:rPr>
        <w:rStyle w:val="PageNumber"/>
        <w:rFonts w:cs="Times New Roman"/>
      </w:rPr>
      <w:fldChar w:fldCharType="begin"/>
    </w:r>
    <w:r>
      <w:rPr>
        <w:rStyle w:val="PageNumber"/>
        <w:rFonts w:cs="Times New Roman"/>
      </w:rPr>
      <w:instrText xml:space="preserve"> STYLEREF  "Heading 1 - IA"  \* MERGEFORMAT </w:instrText>
    </w:r>
    <w:r>
      <w:rPr>
        <w:rStyle w:val="PageNumber"/>
        <w:rFonts w:cs="Times New Roman"/>
      </w:rPr>
      <w:fldChar w:fldCharType="separate"/>
    </w:r>
    <w:r w:rsidR="00C16CC4">
      <w:rPr>
        <w:rStyle w:val="PageNumber"/>
        <w:rFonts w:cs="Times New Roman"/>
        <w:noProof/>
      </w:rPr>
      <w:t>Infrastructure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rPr>
      <w:t>3</w:t>
    </w:r>
    <w:r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E9BE" w14:textId="5A849263" w:rsidR="009824FE" w:rsidRPr="00C431FB" w:rsidRDefault="009824FE" w:rsidP="00FA354D">
    <w:pPr>
      <w:pStyle w:val="FooterOdd"/>
      <w:rPr>
        <w:color w:val="auto"/>
      </w:rPr>
    </w:pPr>
    <w:r>
      <w:rPr>
        <w:rStyle w:val="PageNumber"/>
        <w:rFonts w:cs="Times New Roman"/>
      </w:rPr>
      <w:fldChar w:fldCharType="begin"/>
    </w:r>
    <w:r>
      <w:rPr>
        <w:rStyle w:val="PageNumber"/>
        <w:rFonts w:cs="Times New Roman"/>
      </w:rPr>
      <w:instrText xml:space="preserve"> STYLEREF  "Heading 1 - IA"  \* MERGEFORMAT </w:instrText>
    </w:r>
    <w:r>
      <w:rPr>
        <w:rStyle w:val="PageNumber"/>
        <w:rFonts w:cs="Times New Roman"/>
      </w:rPr>
      <w:fldChar w:fldCharType="separate"/>
    </w:r>
    <w:r w:rsidR="00C16CC4">
      <w:rPr>
        <w:rStyle w:val="PageNumber"/>
        <w:rFonts w:cs="Times New Roman"/>
        <w:noProof/>
      </w:rPr>
      <w:t>Infrastructure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rPr>
      <w:t>3</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1B4B13D8"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4D6CFE">
      <w:rPr>
        <w:rStyle w:val="PageNumber"/>
        <w:color w:val="000000"/>
      </w:rPr>
      <w:fldChar w:fldCharType="begin"/>
    </w:r>
    <w:r w:rsidR="004D6CFE">
      <w:rPr>
        <w:rStyle w:val="PageNumber"/>
        <w:color w:val="000000"/>
      </w:rPr>
      <w:instrText xml:space="preserve"> STYLEREF  "Heading 1 - IA"  \* MERGEFORMAT </w:instrText>
    </w:r>
    <w:r w:rsidR="004D6CFE">
      <w:rPr>
        <w:rStyle w:val="PageNumber"/>
        <w:color w:val="000000"/>
      </w:rPr>
      <w:fldChar w:fldCharType="separate"/>
    </w:r>
    <w:r w:rsidR="00C16CC4">
      <w:rPr>
        <w:rStyle w:val="PageNumber"/>
        <w:noProof/>
        <w:color w:val="000000"/>
      </w:rPr>
      <w:t>Infrastructure Australia</w:t>
    </w:r>
    <w:r w:rsidR="004D6CFE">
      <w:rPr>
        <w:rStyle w:val="PageNumber"/>
        <w:color w:val="000000"/>
      </w:rPr>
      <w:fldChar w:fldCharType="end"/>
    </w:r>
    <w:r w:rsidR="004D6CFE">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36DAC1E0" w:rsidR="009824FE" w:rsidRPr="00B628E8" w:rsidRDefault="004D6CFE"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IA"  \* MERGEFORMAT </w:instrText>
    </w:r>
    <w:r>
      <w:rPr>
        <w:rStyle w:val="PageNumber"/>
        <w:color w:val="000000"/>
      </w:rPr>
      <w:fldChar w:fldCharType="separate"/>
    </w:r>
    <w:r w:rsidR="00C16CC4">
      <w:rPr>
        <w:rStyle w:val="PageNumber"/>
        <w:noProof/>
        <w:color w:val="000000"/>
      </w:rPr>
      <w:t>Infrastructure Australia</w:t>
    </w:r>
    <w:r>
      <w:rPr>
        <w:rStyle w:val="PageNumber"/>
        <w:color w:val="000000"/>
      </w:rPr>
      <w:fldChar w:fldCharType="end"/>
    </w:r>
    <w:r>
      <w:rPr>
        <w:rStyle w:val="PageNumber"/>
        <w:color w:val="000000"/>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7295E8AA" w:rsidR="009824FE" w:rsidRPr="009E69CA" w:rsidRDefault="004D6CFE" w:rsidP="009E69CA">
    <w:pPr>
      <w:pStyle w:val="FooterOdd"/>
    </w:pPr>
    <w:r>
      <w:rPr>
        <w:rStyle w:val="PageNumber"/>
        <w:color w:val="000000"/>
      </w:rPr>
      <w:fldChar w:fldCharType="begin"/>
    </w:r>
    <w:r>
      <w:rPr>
        <w:rStyle w:val="PageNumber"/>
        <w:color w:val="000000"/>
      </w:rPr>
      <w:instrText xml:space="preserve"> STYLEREF  "Heading 1 - IA"  \* MERGEFORMAT </w:instrText>
    </w:r>
    <w:r>
      <w:rPr>
        <w:rStyle w:val="PageNumber"/>
        <w:color w:val="000000"/>
      </w:rPr>
      <w:fldChar w:fldCharType="separate"/>
    </w:r>
    <w:r w:rsidR="00C16CC4">
      <w:rPr>
        <w:rStyle w:val="PageNumber"/>
        <w:noProof/>
        <w:color w:val="000000"/>
      </w:rPr>
      <w:t>Infrastructure Australia</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AED0" w14:textId="77777777" w:rsidR="004D6CFE" w:rsidRDefault="004D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9B58" w14:textId="77777777" w:rsidR="004D6CFE" w:rsidRDefault="004D6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3F3C" w14:textId="77777777" w:rsidR="004D6CFE" w:rsidRDefault="004D6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DAB3"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E9B" w14:textId="77777777" w:rsidR="009824FE" w:rsidRDefault="009824FE" w:rsidP="00B219F6">
    <w:pPr>
      <w:pStyle w:val="HeaderOdd"/>
    </w:pPr>
    <w:r>
      <w:t xml:space="preserve">Portfolio Budget Statements  |  </w:t>
    </w:r>
    <w:r w:rsidRPr="00D47C6E">
      <w:rPr>
        <w:noProof/>
        <w:position w:val="-6"/>
      </w:rPr>
      <w:drawing>
        <wp:inline distT="0" distB="0" distL="0" distR="0" wp14:anchorId="384FB0BE" wp14:editId="643C3A18">
          <wp:extent cx="919093" cy="130897"/>
          <wp:effectExtent l="0" t="0" r="0" b="2540"/>
          <wp:docPr id="10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06BD2286" w14:textId="77777777" w:rsidR="009824FE" w:rsidRPr="003C769F" w:rsidRDefault="009824FE" w:rsidP="00FA354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6CFE"/>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6CC4"/>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infrastructure.gov.au/sites/default/files/documents/australian-government-response-to-the-independent-review-of-infrastructure-australia.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frastructureaustralia.gov.au/annual-repor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nfrastructure.gov.au/sites/default/files/documents/independent-review-of-infrastructure-australia-october2022.pdf"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frastructureaustralia.gov.au/corporate-pla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F200A9B0-93C6-4B21-8A2B-7C07E867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2722</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2025-03-24T03:54:00Z</dcterms:created>
  <dcterms:modified xsi:type="dcterms:W3CDTF">2025-03-24T05:59:00Z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