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6269"/>
        <w:gridCol w:w="1511"/>
      </w:tblGrid>
      <w:tr w:rsidR="00252063">
        <w:tblPrEx>
          <w:tblCellMar>
            <w:top w:w="0" w:type="dxa"/>
            <w:left w:w="0" w:type="dxa"/>
            <w:bottom w:w="0" w:type="dxa"/>
            <w:right w:w="0" w:type="dxa"/>
          </w:tblCellMar>
        </w:tblPrEx>
        <w:trPr>
          <w:trHeight w:hRule="exact" w:val="241"/>
        </w:trPr>
        <w:tc>
          <w:tcPr>
            <w:tcW w:w="6269" w:type="dxa"/>
            <w:tcBorders>
              <w:top w:val="nil"/>
              <w:left w:val="nil"/>
              <w:bottom w:val="nil"/>
              <w:right w:val="nil"/>
            </w:tcBorders>
            <w:vAlign w:val="center"/>
          </w:tcPr>
          <w:p w:rsidR="00252063" w:rsidRDefault="00252063">
            <w:pPr>
              <w:widowControl w:val="0"/>
              <w:kinsoku w:val="0"/>
              <w:overflowPunct w:val="0"/>
              <w:spacing w:after="10" w:line="207" w:lineRule="exact"/>
              <w:ind w:right="111"/>
              <w:jc w:val="right"/>
              <w:textAlignment w:val="baseline"/>
              <w:rPr>
                <w:rFonts w:ascii="Arial" w:hAnsi="Arial" w:cs="Times New Roman"/>
                <w:b/>
                <w:sz w:val="17"/>
                <w:szCs w:val="24"/>
                <w:lang w:val="en-US"/>
              </w:rPr>
            </w:pPr>
            <w:bookmarkStart w:id="0" w:name="_GoBack"/>
            <w:bookmarkEnd w:id="0"/>
            <w:r>
              <w:rPr>
                <w:rFonts w:ascii="Arial" w:hAnsi="Arial" w:cs="Times New Roman"/>
                <w:b/>
                <w:sz w:val="17"/>
                <w:szCs w:val="24"/>
                <w:lang w:val="en-US"/>
              </w:rPr>
              <w:t>Portfolio Additional Estimates Statements |</w:t>
            </w:r>
          </w:p>
        </w:tc>
        <w:tc>
          <w:tcPr>
            <w:tcW w:w="1511" w:type="dxa"/>
            <w:tcBorders>
              <w:top w:val="nil"/>
              <w:left w:val="nil"/>
              <w:bottom w:val="nil"/>
              <w:right w:val="nil"/>
            </w:tcBorders>
          </w:tcPr>
          <w:p w:rsidR="00252063" w:rsidRDefault="00252063">
            <w:pPr>
              <w:widowControl w:val="0"/>
              <w:kinsoku w:val="0"/>
              <w:overflowPunct w:val="0"/>
              <w:spacing w:after="12" w:line="229" w:lineRule="atLeast"/>
              <w:ind w:right="57"/>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252063" w:rsidRDefault="00252063">
      <w:pPr>
        <w:widowControl w:val="0"/>
        <w:kinsoku w:val="0"/>
        <w:overflowPunct w:val="0"/>
        <w:spacing w:after="736" w:line="20" w:lineRule="exact"/>
        <w:textAlignment w:val="baseline"/>
        <w:rPr>
          <w:rFonts w:ascii="Times New Roman" w:hAnsi="Times New Roman" w:cs="Times New Roman"/>
          <w:sz w:val="24"/>
          <w:szCs w:val="24"/>
          <w:lang w:val="en-US"/>
        </w:rPr>
      </w:pPr>
    </w:p>
    <w:p w:rsidR="00252063" w:rsidRDefault="00252063">
      <w:pPr>
        <w:widowControl w:val="0"/>
        <w:kinsoku w:val="0"/>
        <w:overflowPunct w:val="0"/>
        <w:spacing w:before="3" w:after="0" w:line="412" w:lineRule="exact"/>
        <w:ind w:left="144"/>
        <w:textAlignment w:val="baseline"/>
        <w:rPr>
          <w:rFonts w:ascii="Arial" w:hAnsi="Arial" w:cs="Times New Roman"/>
          <w:b/>
          <w:w w:val="95"/>
          <w:sz w:val="36"/>
          <w:szCs w:val="24"/>
          <w:lang w:val="en-US"/>
        </w:rPr>
      </w:pPr>
      <w:r>
        <w:rPr>
          <w:rFonts w:ascii="Arial" w:hAnsi="Arial" w:cs="Times New Roman"/>
          <w:b/>
          <w:w w:val="95"/>
          <w:sz w:val="36"/>
          <w:szCs w:val="24"/>
          <w:lang w:val="en-US"/>
        </w:rPr>
        <w:t>Portfolio glossary</w:t>
      </w:r>
    </w:p>
    <w:p w:rsidR="00252063" w:rsidRDefault="00252063">
      <w:pPr>
        <w:widowControl w:val="0"/>
        <w:tabs>
          <w:tab w:val="left" w:pos="2880"/>
        </w:tabs>
        <w:kinsoku w:val="0"/>
        <w:overflowPunct w:val="0"/>
        <w:spacing w:before="238"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tabs>
          <w:tab w:val="left" w:pos="2880"/>
        </w:tabs>
        <w:kinsoku w:val="0"/>
        <w:overflowPunct w:val="0"/>
        <w:spacing w:before="120" w:after="0" w:line="248" w:lineRule="exact"/>
        <w:ind w:left="2808" w:right="288"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Accrual Accounting</w:t>
      </w:r>
      <w:r>
        <w:rPr>
          <w:rFonts w:ascii="Times New Roman" w:hAnsi="Times New Roman" w:cs="Times New Roman"/>
          <w:sz w:val="21"/>
          <w:szCs w:val="24"/>
          <w:lang w:val="en-US"/>
        </w:rPr>
        <w:tab/>
        <w:t>The system of accounting where items are brought to account and included in the financial statements as they are earned or incurred, rather than as they are received or paid.</w:t>
      </w:r>
    </w:p>
    <w:p w:rsidR="00252063" w:rsidRDefault="00252063">
      <w:pPr>
        <w:widowControl w:val="0"/>
        <w:tabs>
          <w:tab w:val="left" w:pos="2880"/>
        </w:tabs>
        <w:kinsoku w:val="0"/>
        <w:overflowPunct w:val="0"/>
        <w:spacing w:before="121" w:after="0" w:line="249" w:lineRule="exact"/>
        <w:ind w:left="2808" w:right="288"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Accumulated Depreciation</w:t>
      </w:r>
      <w:r>
        <w:rPr>
          <w:rFonts w:ascii="Times New Roman" w:hAnsi="Times New Roman" w:cs="Times New Roman"/>
          <w:sz w:val="21"/>
          <w:szCs w:val="24"/>
          <w:lang w:val="en-US"/>
        </w:rPr>
        <w:tab/>
        <w:t>The aggregate depreciation recorded for a particular depreciating asset.</w:t>
      </w:r>
    </w:p>
    <w:p w:rsidR="00252063" w:rsidRDefault="00252063">
      <w:pPr>
        <w:widowControl w:val="0"/>
        <w:tabs>
          <w:tab w:val="left" w:pos="2880"/>
        </w:tabs>
        <w:kinsoku w:val="0"/>
        <w:overflowPunct w:val="0"/>
        <w:spacing w:before="121" w:after="0" w:line="249" w:lineRule="exact"/>
        <w:ind w:left="2808" w:right="792"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Activities</w:t>
      </w:r>
      <w:r>
        <w:rPr>
          <w:rFonts w:ascii="Times New Roman" w:hAnsi="Times New Roman" w:cs="Times New Roman"/>
          <w:sz w:val="21"/>
          <w:szCs w:val="24"/>
          <w:lang w:val="en-US"/>
        </w:rPr>
        <w:tab/>
        <w:t>The actions/functions performed by entities to deliver government policies.</w:t>
      </w:r>
    </w:p>
    <w:p w:rsidR="00252063" w:rsidRDefault="00252063">
      <w:pPr>
        <w:widowControl w:val="0"/>
        <w:tabs>
          <w:tab w:val="left" w:pos="2880"/>
        </w:tabs>
        <w:kinsoku w:val="0"/>
        <w:overflowPunct w:val="0"/>
        <w:spacing w:before="118" w:after="0" w:line="249" w:lineRule="exact"/>
        <w:ind w:left="2808" w:right="288"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Additional Estimates</w:t>
      </w:r>
      <w:r>
        <w:rPr>
          <w:rFonts w:ascii="Times New Roman" w:hAnsi="Times New Roman" w:cs="Times New Roman"/>
          <w:sz w:val="21"/>
          <w:szCs w:val="24"/>
          <w:lang w:val="en-US"/>
        </w:rPr>
        <w:tab/>
        <w:t>Where amounts appropriated at Budget time are insufficient, Parliament may appropriate more funds to Portfolios through the Additional Estimates Appropriation Acts.</w:t>
      </w:r>
    </w:p>
    <w:p w:rsidR="00252063" w:rsidRDefault="00252063">
      <w:pPr>
        <w:widowControl w:val="0"/>
        <w:tabs>
          <w:tab w:val="left" w:pos="2880"/>
        </w:tabs>
        <w:kinsoku w:val="0"/>
        <w:overflowPunct w:val="0"/>
        <w:spacing w:before="120" w:after="120" w:line="248" w:lineRule="exact"/>
        <w:ind w:left="2808" w:right="288"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Administered Items</w:t>
      </w:r>
      <w:r>
        <w:rPr>
          <w:rFonts w:ascii="Times New Roman" w:hAnsi="Times New Roman" w:cs="Times New Roman"/>
          <w:sz w:val="21"/>
          <w:szCs w:val="24"/>
          <w:lang w:val="en-US"/>
        </w:rPr>
        <w:tab/>
        <w:t>The expenses, revenues, assets or liabilities managed by agencies on behalf of the Commonwealth. Agencies do not control administered items. Administered expenses include grants, subsidies and benefits. In many cases, administered expenses fund the delivery of third-party outputs.</w:t>
      </w:r>
    </w:p>
    <w:tbl>
      <w:tblPr>
        <w:tblW w:w="0" w:type="auto"/>
        <w:tblLayout w:type="fixed"/>
        <w:tblCellMar>
          <w:left w:w="0" w:type="dxa"/>
          <w:right w:w="0" w:type="dxa"/>
        </w:tblCellMar>
        <w:tblLook w:val="0000" w:firstRow="0" w:lastRow="0" w:firstColumn="0" w:lastColumn="0" w:noHBand="0" w:noVBand="0"/>
      </w:tblPr>
      <w:tblGrid>
        <w:gridCol w:w="2448"/>
        <w:gridCol w:w="5332"/>
      </w:tblGrid>
      <w:tr w:rsidR="00252063">
        <w:tblPrEx>
          <w:tblCellMar>
            <w:top w:w="0" w:type="dxa"/>
            <w:left w:w="0" w:type="dxa"/>
            <w:bottom w:w="0" w:type="dxa"/>
            <w:right w:w="0" w:type="dxa"/>
          </w:tblCellMar>
        </w:tblPrEx>
        <w:trPr>
          <w:trHeight w:hRule="exact" w:val="3559"/>
        </w:trPr>
        <w:tc>
          <w:tcPr>
            <w:tcW w:w="2448" w:type="dxa"/>
            <w:tcBorders>
              <w:top w:val="nil"/>
              <w:left w:val="nil"/>
              <w:bottom w:val="nil"/>
              <w:right w:val="nil"/>
            </w:tcBorders>
          </w:tcPr>
          <w:p w:rsidR="00252063" w:rsidRDefault="00252063">
            <w:pPr>
              <w:widowControl w:val="0"/>
              <w:kinsoku w:val="0"/>
              <w:overflowPunct w:val="0"/>
              <w:spacing w:after="0" w:line="249"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Administrative Arrangements Order</w:t>
            </w:r>
          </w:p>
          <w:p w:rsidR="00252063" w:rsidRDefault="00252063">
            <w:pPr>
              <w:widowControl w:val="0"/>
              <w:kinsoku w:val="0"/>
              <w:overflowPunct w:val="0"/>
              <w:spacing w:before="1618" w:after="960" w:line="240"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Administered Capital Budgets (ACB)</w:t>
            </w:r>
          </w:p>
        </w:tc>
        <w:tc>
          <w:tcPr>
            <w:tcW w:w="5332" w:type="dxa"/>
            <w:tcBorders>
              <w:top w:val="nil"/>
              <w:left w:val="nil"/>
              <w:bottom w:val="nil"/>
              <w:right w:val="nil"/>
            </w:tcBorders>
          </w:tcPr>
          <w:p w:rsidR="00252063" w:rsidRDefault="00252063">
            <w:pPr>
              <w:widowControl w:val="0"/>
              <w:kinsoku w:val="0"/>
              <w:overflowPunct w:val="0"/>
              <w:spacing w:after="0" w:line="248" w:lineRule="exact"/>
              <w:ind w:left="432" w:right="25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Department of state, and the Acts of Parliament to be administered by each minister.</w:t>
            </w:r>
          </w:p>
          <w:p w:rsidR="00252063" w:rsidRDefault="00252063">
            <w:pPr>
              <w:widowControl w:val="0"/>
              <w:kinsoku w:val="0"/>
              <w:overflowPunct w:val="0"/>
              <w:spacing w:before="125" w:after="0" w:line="240" w:lineRule="exact"/>
              <w:ind w:left="432" w:right="25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Administered Capital Budgets (ACB) are provided to non-corporate entities (as an equity injection) that receive government funding to meet the costs associated with the replacement of minor assets (assets valued at $10 million or less) or maintenance costs that are eligible to be capitalised.</w:t>
            </w:r>
          </w:p>
        </w:tc>
      </w:tr>
    </w:tbl>
    <w:p w:rsidR="00252063" w:rsidRDefault="00252063">
      <w:pPr>
        <w:widowControl w:val="0"/>
        <w:kinsoku w:val="0"/>
        <w:overflowPunct w:val="0"/>
        <w:spacing w:after="448" w:line="20" w:lineRule="exact"/>
        <w:textAlignment w:val="baseline"/>
        <w:rPr>
          <w:rFonts w:ascii="Times New Roman" w:hAnsi="Times New Roman" w:cs="Times New Roman"/>
          <w:sz w:val="24"/>
          <w:szCs w:val="24"/>
          <w:lang w:val="en-US"/>
        </w:rPr>
      </w:pPr>
    </w:p>
    <w:p w:rsidR="00252063" w:rsidRDefault="00252063">
      <w:pPr>
        <w:widowControl w:val="0"/>
        <w:tabs>
          <w:tab w:val="left" w:pos="2808"/>
        </w:tabs>
        <w:kinsoku w:val="0"/>
        <w:overflowPunct w:val="0"/>
        <w:spacing w:before="2" w:after="188" w:line="248" w:lineRule="exact"/>
        <w:ind w:left="2808" w:right="144"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Appropriation</w:t>
      </w:r>
      <w:r>
        <w:rPr>
          <w:rFonts w:ascii="Times New Roman" w:hAnsi="Times New Roman" w:cs="Times New Roman"/>
          <w:sz w:val="21"/>
          <w:szCs w:val="24"/>
          <w:lang w:val="en-US"/>
        </w:rPr>
        <w:tab/>
        <w:t>An authorisation by Parliament to spend moneys from the Consolidated Revenue Fund for a particular purpose. Annual Appropriation Acts provide annual funding for government operations and programs; for investment in assets; or to reduce liabilities. Bills</w:t>
      </w:r>
    </w:p>
    <w:p w:rsidR="00252063" w:rsidRDefault="00E7390B">
      <w:pPr>
        <w:widowControl w:val="0"/>
        <w:kinsoku w:val="0"/>
        <w:overflowPunct w:val="0"/>
        <w:spacing w:before="223" w:after="0" w:line="207" w:lineRule="exact"/>
        <w:jc w:val="right"/>
        <w:textAlignment w:val="baseline"/>
        <w:rPr>
          <w:rFonts w:ascii="Arial" w:hAnsi="Arial" w:cs="Times New Roman"/>
          <w:b/>
          <w:spacing w:val="-1"/>
          <w:sz w:val="17"/>
          <w:szCs w:val="24"/>
          <w:lang w:val="en-US"/>
        </w:rPr>
      </w:pPr>
      <w:r>
        <w:rPr>
          <w:noProof/>
        </w:rPr>
        <mc:AlternateContent>
          <mc:Choice Requires="wps">
            <w:drawing>
              <wp:anchor distT="0" distB="0" distL="0" distR="0" simplePos="0" relativeHeight="251658240" behindDoc="0" locked="0" layoutInCell="0" allowOverlap="1">
                <wp:simplePos x="0" y="0"/>
                <wp:positionH relativeFrom="page">
                  <wp:posOffset>701040</wp:posOffset>
                </wp:positionH>
                <wp:positionV relativeFrom="page">
                  <wp:posOffset>8287385</wp:posOffset>
                </wp:positionV>
                <wp:extent cx="4940935" cy="0"/>
                <wp:effectExtent l="0" t="0" r="0" b="0"/>
                <wp:wrapSquare wrapText="bothSides"/>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4CDAA"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52.55pt" to="444.2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EtEw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" o:allowincell="f" strokeweight=".7pt">
                <w10:wrap type="square" anchorx="page" anchory="page"/>
              </v:line>
            </w:pict>
          </mc:Fallback>
        </mc:AlternateContent>
      </w:r>
      <w:r w:rsidR="00252063">
        <w:rPr>
          <w:rFonts w:ascii="Arial" w:hAnsi="Arial" w:cs="Times New Roman"/>
          <w:b/>
          <w:spacing w:val="-1"/>
          <w:sz w:val="17"/>
          <w:szCs w:val="24"/>
          <w:lang w:val="en-US"/>
        </w:rPr>
        <w:t>Portfolio glossary | Page 119</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1095" w:bottom="298" w:left="110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88"/>
        <w:gridCol w:w="6192"/>
      </w:tblGrid>
      <w:tr w:rsidR="00252063">
        <w:tblPrEx>
          <w:tblCellMar>
            <w:top w:w="0" w:type="dxa"/>
            <w:left w:w="0" w:type="dxa"/>
            <w:bottom w:w="0" w:type="dxa"/>
            <w:right w:w="0" w:type="dxa"/>
          </w:tblCellMar>
        </w:tblPrEx>
        <w:trPr>
          <w:trHeight w:hRule="exact" w:val="232"/>
        </w:trPr>
        <w:tc>
          <w:tcPr>
            <w:tcW w:w="1588" w:type="dxa"/>
            <w:tcBorders>
              <w:top w:val="nil"/>
              <w:left w:val="nil"/>
              <w:bottom w:val="nil"/>
              <w:right w:val="nil"/>
            </w:tcBorders>
          </w:tcPr>
          <w:p w:rsidR="00252063" w:rsidRDefault="00252063">
            <w:pPr>
              <w:widowControl w:val="0"/>
              <w:kinsoku w:val="0"/>
              <w:overflowPunct w:val="0"/>
              <w:spacing w:after="3" w:line="229" w:lineRule="atLeast"/>
              <w:ind w:left="13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2" w:type="dxa"/>
            <w:tcBorders>
              <w:top w:val="nil"/>
              <w:left w:val="nil"/>
              <w:bottom w:val="nil"/>
              <w:right w:val="nil"/>
            </w:tcBorders>
            <w:vAlign w:val="center"/>
          </w:tcPr>
          <w:p w:rsidR="00252063" w:rsidRDefault="00252063">
            <w:pPr>
              <w:widowControl w:val="0"/>
              <w:kinsoku w:val="0"/>
              <w:overflowPunct w:val="0"/>
              <w:spacing w:after="10" w:line="207" w:lineRule="exact"/>
              <w:ind w:right="2659"/>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252063" w:rsidRDefault="00252063">
      <w:pPr>
        <w:widowControl w:val="0"/>
        <w:kinsoku w:val="0"/>
        <w:overflowPunct w:val="0"/>
        <w:spacing w:after="736" w:line="20" w:lineRule="exact"/>
        <w:textAlignment w:val="baseline"/>
        <w:rPr>
          <w:rFonts w:ascii="Times New Roman" w:hAnsi="Times New Roman" w:cs="Times New Roman"/>
          <w:sz w:val="24"/>
          <w:szCs w:val="24"/>
          <w:lang w:val="en-US"/>
        </w:rPr>
      </w:pPr>
    </w:p>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kinsoku w:val="0"/>
        <w:overflowPunct w:val="0"/>
        <w:spacing w:before="127" w:after="0" w:line="248" w:lineRule="exact"/>
        <w:ind w:left="2808" w:right="216"/>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proposing appropriations for the forthcoming financial year are introduced into Parliament on Budget Night. The annual Appropriation Bills propose specified amounts of appropriation for expenditure by entities to carry out the government’s outcomes.</w:t>
      </w:r>
    </w:p>
    <w:p w:rsidR="00252063" w:rsidRDefault="00252063">
      <w:pPr>
        <w:widowControl w:val="0"/>
        <w:tabs>
          <w:tab w:val="left" w:pos="2880"/>
        </w:tabs>
        <w:kinsoku w:val="0"/>
        <w:overflowPunct w:val="0"/>
        <w:spacing w:before="118" w:after="0" w:line="249" w:lineRule="exact"/>
        <w:ind w:left="2808" w:right="504"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Budget Paper 1 (BP1)</w:t>
      </w:r>
      <w:r>
        <w:rPr>
          <w:rFonts w:ascii="Bookman Old Style" w:hAnsi="Bookman Old Style" w:cs="Times New Roman"/>
          <w:sz w:val="19"/>
          <w:szCs w:val="24"/>
          <w:lang w:val="en-US"/>
        </w:rPr>
        <w:tab/>
        <w:t>The Budget Strategy and Outlook – provides an overview of the economic and fiscal outlook, summarises the Government’s fiscal strategy, and outlines key Budget priorities.</w:t>
      </w:r>
    </w:p>
    <w:p w:rsidR="00252063" w:rsidRDefault="00252063">
      <w:pPr>
        <w:widowControl w:val="0"/>
        <w:tabs>
          <w:tab w:val="left" w:pos="2880"/>
        </w:tabs>
        <w:kinsoku w:val="0"/>
        <w:overflowPunct w:val="0"/>
        <w:spacing w:before="118" w:after="0" w:line="249" w:lineRule="exact"/>
        <w:ind w:left="2808" w:right="216" w:hanging="266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Budget Paper 2 (BP2)</w:t>
      </w:r>
      <w:r>
        <w:rPr>
          <w:rFonts w:ascii="Bookman Old Style" w:hAnsi="Bookman Old Style" w:cs="Times New Roman"/>
          <w:spacing w:val="-6"/>
          <w:sz w:val="19"/>
          <w:szCs w:val="24"/>
          <w:lang w:val="en-US"/>
        </w:rPr>
        <w:tab/>
        <w:t>The Budget Measures – provides comprehensive information on all government decisions that involve changes to its receipt and payment activities since the last Economic and Fiscal Update.</w:t>
      </w:r>
    </w:p>
    <w:p w:rsidR="00252063" w:rsidRDefault="00252063">
      <w:pPr>
        <w:widowControl w:val="0"/>
        <w:tabs>
          <w:tab w:val="left" w:pos="2880"/>
        </w:tabs>
        <w:kinsoku w:val="0"/>
        <w:overflowPunct w:val="0"/>
        <w:spacing w:before="121" w:after="0" w:line="248" w:lineRule="exact"/>
        <w:ind w:left="2808" w:right="216"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Budget Paper 3 (BP3)</w:t>
      </w:r>
      <w:r>
        <w:rPr>
          <w:rFonts w:ascii="Bookman Old Style" w:hAnsi="Bookman Old Style" w:cs="Times New Roman"/>
          <w:sz w:val="19"/>
          <w:szCs w:val="24"/>
          <w:lang w:val="en-US"/>
        </w:rPr>
        <w:tab/>
        <w:t>Federal Financial Relations – includes information on revenue provision and payments (GST and specific purpose payments), as well as an overview of fiscal developments in the states and territories.</w:t>
      </w:r>
    </w:p>
    <w:p w:rsidR="00252063" w:rsidRDefault="00252063">
      <w:pPr>
        <w:widowControl w:val="0"/>
        <w:tabs>
          <w:tab w:val="left" w:pos="2880"/>
        </w:tabs>
        <w:kinsoku w:val="0"/>
        <w:overflowPunct w:val="0"/>
        <w:spacing w:before="125" w:after="0" w:line="248" w:lineRule="exact"/>
        <w:ind w:left="2808" w:right="216"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Budget Paper 4 (BP4)</w:t>
      </w:r>
      <w:r>
        <w:rPr>
          <w:rFonts w:ascii="Bookman Old Style" w:hAnsi="Bookman Old Style" w:cs="Times New Roman"/>
          <w:sz w:val="19"/>
          <w:szCs w:val="24"/>
          <w:lang w:val="en-US"/>
        </w:rPr>
        <w:tab/>
        <w:t>Agency Resourcing – shows, for each entity, estimated resourcing by type of appropriation, estimated expenses for each special appropriation act, estimated balances and flows for all special accounts, and estimated average staffing levels in the public sector.</w:t>
      </w:r>
    </w:p>
    <w:p w:rsidR="00252063" w:rsidRDefault="00252063">
      <w:pPr>
        <w:widowControl w:val="0"/>
        <w:tabs>
          <w:tab w:val="left" w:pos="2880"/>
        </w:tabs>
        <w:kinsoku w:val="0"/>
        <w:overflowPunct w:val="0"/>
        <w:spacing w:before="118" w:after="136" w:line="248" w:lineRule="exact"/>
        <w:ind w:left="2808" w:right="648"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Capital Expenditure</w:t>
      </w:r>
      <w:r>
        <w:rPr>
          <w:rFonts w:ascii="Bookman Old Style" w:hAnsi="Bookman Old Style" w:cs="Times New Roman"/>
          <w:sz w:val="19"/>
          <w:szCs w:val="24"/>
          <w:lang w:val="en-US"/>
        </w:rPr>
        <w:tab/>
        <w:t>Expenditure by an agency on capital projects, for example, purchasing a building.</w:t>
      </w:r>
    </w:p>
    <w:tbl>
      <w:tblPr>
        <w:tblW w:w="0" w:type="auto"/>
        <w:tblLayout w:type="fixed"/>
        <w:tblCellMar>
          <w:left w:w="0" w:type="dxa"/>
          <w:right w:w="0" w:type="dxa"/>
        </w:tblCellMar>
        <w:tblLook w:val="0000" w:firstRow="0" w:lastRow="0" w:firstColumn="0" w:lastColumn="0" w:noHBand="0" w:noVBand="0"/>
      </w:tblPr>
      <w:tblGrid>
        <w:gridCol w:w="2677"/>
        <w:gridCol w:w="5103"/>
      </w:tblGrid>
      <w:tr w:rsidR="00252063">
        <w:tblPrEx>
          <w:tblCellMar>
            <w:top w:w="0" w:type="dxa"/>
            <w:left w:w="0" w:type="dxa"/>
            <w:bottom w:w="0" w:type="dxa"/>
            <w:right w:w="0" w:type="dxa"/>
          </w:tblCellMar>
        </w:tblPrEx>
        <w:trPr>
          <w:trHeight w:hRule="exact" w:val="3976"/>
        </w:trPr>
        <w:tc>
          <w:tcPr>
            <w:tcW w:w="2677" w:type="dxa"/>
            <w:tcBorders>
              <w:top w:val="nil"/>
              <w:left w:val="nil"/>
              <w:bottom w:val="nil"/>
              <w:right w:val="nil"/>
            </w:tcBorders>
          </w:tcPr>
          <w:p w:rsidR="00252063" w:rsidRDefault="00252063">
            <w:pPr>
              <w:widowControl w:val="0"/>
              <w:kinsoku w:val="0"/>
              <w:overflowPunct w:val="0"/>
              <w:spacing w:after="0" w:line="240" w:lineRule="exact"/>
              <w:ind w:left="144" w:right="540"/>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Consolidated Revenue Fund (CRF)</w:t>
            </w:r>
          </w:p>
          <w:p w:rsidR="00252063" w:rsidRDefault="00252063">
            <w:pPr>
              <w:widowControl w:val="0"/>
              <w:kinsoku w:val="0"/>
              <w:overflowPunct w:val="0"/>
              <w:spacing w:before="1114" w:after="0" w:line="249" w:lineRule="exact"/>
              <w:ind w:lef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Corporate Commonwealth Entity</w:t>
            </w:r>
          </w:p>
          <w:p w:rsidR="00252063" w:rsidRDefault="00252063">
            <w:pPr>
              <w:widowControl w:val="0"/>
              <w:kinsoku w:val="0"/>
              <w:overflowPunct w:val="0"/>
              <w:spacing w:before="366" w:after="1014" w:line="249" w:lineRule="exact"/>
              <w:ind w:lef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Departmental Capital Budget</w:t>
            </w:r>
          </w:p>
        </w:tc>
        <w:tc>
          <w:tcPr>
            <w:tcW w:w="5103" w:type="dxa"/>
            <w:tcBorders>
              <w:top w:val="nil"/>
              <w:left w:val="nil"/>
              <w:bottom w:val="nil"/>
              <w:right w:val="nil"/>
            </w:tcBorders>
          </w:tcPr>
          <w:p w:rsidR="00252063" w:rsidRDefault="00252063">
            <w:pPr>
              <w:widowControl w:val="0"/>
              <w:kinsoku w:val="0"/>
              <w:overflowPunct w:val="0"/>
              <w:spacing w:after="0" w:line="245" w:lineRule="exact"/>
              <w:ind w:left="144" w:right="180"/>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Section 81 of the Australian Constitution stipulates that all revenue raised or money received by the Commonwealth forms the one Consolidated Revenue Fund (CRF). The CRF is not a bank account. The Official Public Account reflects most of the operations of the CRF.</w:t>
            </w:r>
          </w:p>
          <w:p w:rsidR="00252063" w:rsidRDefault="00252063">
            <w:pPr>
              <w:widowControl w:val="0"/>
              <w:kinsoku w:val="0"/>
              <w:overflowPunct w:val="0"/>
              <w:spacing w:before="123" w:after="0" w:line="247" w:lineRule="exact"/>
              <w:ind w:left="144" w:right="612"/>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 xml:space="preserve">A Commonwealth entity that is a body corporate under the </w:t>
            </w:r>
            <w:r>
              <w:rPr>
                <w:rFonts w:ascii="Bookman Old Style" w:hAnsi="Bookman Old Style" w:cs="Times New Roman"/>
                <w:i/>
                <w:spacing w:val="-6"/>
                <w:sz w:val="19"/>
                <w:szCs w:val="24"/>
                <w:lang w:val="en-US"/>
              </w:rPr>
              <w:t xml:space="preserve">Public Governance, Performance and Accountability Act 2013 </w:t>
            </w:r>
            <w:r>
              <w:rPr>
                <w:rFonts w:ascii="Bookman Old Style" w:hAnsi="Bookman Old Style" w:cs="Times New Roman"/>
                <w:spacing w:val="-6"/>
                <w:sz w:val="19"/>
                <w:szCs w:val="24"/>
                <w:lang w:val="en-US"/>
              </w:rPr>
              <w:t>(PGPA Act).</w:t>
            </w:r>
          </w:p>
          <w:p w:rsidR="00252063" w:rsidRDefault="00252063">
            <w:pPr>
              <w:widowControl w:val="0"/>
              <w:kinsoku w:val="0"/>
              <w:overflowPunct w:val="0"/>
              <w:spacing w:before="125" w:after="20" w:line="248" w:lineRule="exact"/>
              <w:ind w:left="144" w:right="324"/>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Departmental Capital Budget (DCB) are provided to non-corporate Entities (as an equity injection) that receive government funding to meet the costs associated with the replacement of minor assets (assets valued at $10 million or less) or maintenance costs that are eligible to be capitalised. The funding</w:t>
            </w:r>
          </w:p>
        </w:tc>
      </w:tr>
    </w:tbl>
    <w:p w:rsidR="00252063" w:rsidRDefault="00252063">
      <w:pPr>
        <w:widowControl w:val="0"/>
        <w:kinsoku w:val="0"/>
        <w:overflowPunct w:val="0"/>
        <w:spacing w:after="232" w:line="20" w:lineRule="exact"/>
        <w:textAlignment w:val="baseline"/>
        <w:rPr>
          <w:rFonts w:ascii="Times New Roman" w:hAnsi="Times New Roman" w:cs="Times New Roman"/>
          <w:sz w:val="24"/>
          <w:szCs w:val="24"/>
          <w:lang w:val="en-US"/>
        </w:rPr>
      </w:pPr>
    </w:p>
    <w:p w:rsidR="00252063" w:rsidRDefault="00E7390B">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59264"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5201F"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MEwIAACk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" o:allowincell="f" strokeweight=".7pt">
                <w10:wrap type="square" anchorx="page" anchory="page"/>
              </v:line>
            </w:pict>
          </mc:Fallback>
        </mc:AlternateContent>
      </w:r>
      <w:r w:rsidR="00252063">
        <w:rPr>
          <w:rFonts w:ascii="Arial" w:hAnsi="Arial" w:cs="Times New Roman"/>
          <w:b/>
          <w:sz w:val="17"/>
          <w:szCs w:val="24"/>
          <w:lang w:val="en-US"/>
        </w:rPr>
        <w:t>Page 120 | Portfolio glossary</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1099" w:bottom="197" w:left="1100" w:header="720" w:footer="720" w:gutter="0"/>
          <w:cols w:space="720"/>
          <w:noEndnote/>
        </w:sectPr>
      </w:pPr>
    </w:p>
    <w:p w:rsidR="00252063" w:rsidRDefault="00E7390B">
      <w:pPr>
        <w:widowControl w:val="0"/>
        <w:kinsoku w:val="0"/>
        <w:overflowPunct w:val="0"/>
        <w:spacing w:before="11" w:after="759" w:line="207" w:lineRule="exact"/>
        <w:textAlignment w:val="baseline"/>
        <w:rPr>
          <w:rFonts w:ascii="Arial" w:hAnsi="Arial" w:cs="Times New Roman"/>
          <w:b/>
          <w:spacing w:val="-4"/>
          <w:sz w:val="17"/>
          <w:szCs w:val="24"/>
          <w:lang w:val="en-US"/>
        </w:rPr>
      </w:pPr>
      <w:r>
        <w:rPr>
          <w:noProof/>
        </w:rPr>
        <w:lastRenderedPageBreak/>
        <mc:AlternateContent>
          <mc:Choice Requires="wps">
            <w:drawing>
              <wp:anchor distT="0" distB="0" distL="0" distR="0" simplePos="0" relativeHeight="251660288"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4" name="Picture 4"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8.65pt;margin-top:26.9pt;width:72.7pt;height:10.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" o:allowincell="f" stroked="f">
                <v:fill opacity="0"/>
                <v:textbox inset="0,0,0,0">
                  <w:txbxContent>
                    <w:p w:rsidR="00252063" w:rsidRDefault="00252063">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4" name="Picture 4"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252063">
        <w:rPr>
          <w:rFonts w:ascii="Arial" w:hAnsi="Arial" w:cs="Times New Roman"/>
          <w:b/>
          <w:spacing w:val="-4"/>
          <w:sz w:val="17"/>
          <w:szCs w:val="24"/>
          <w:lang w:val="en-US"/>
        </w:rPr>
        <w:t>Portfolio Additional Estimates Statements |</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2694" w:bottom="197" w:left="3845" w:header="720" w:footer="720" w:gutter="0"/>
          <w:cols w:space="720"/>
          <w:noEndnote/>
        </w:sectPr>
      </w:pPr>
    </w:p>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kinsoku w:val="0"/>
        <w:overflowPunct w:val="0"/>
        <w:spacing w:before="127" w:after="0" w:line="247" w:lineRule="exact"/>
        <w:ind w:left="2808" w:right="576"/>
        <w:textAlignment w:val="baseline"/>
        <w:rPr>
          <w:rFonts w:ascii="Bookman Old Style" w:hAnsi="Bookman Old Style" w:cs="Times New Roman"/>
          <w:spacing w:val="-8"/>
          <w:sz w:val="19"/>
          <w:szCs w:val="24"/>
          <w:lang w:val="en-US"/>
        </w:rPr>
      </w:pPr>
      <w:r>
        <w:rPr>
          <w:rFonts w:ascii="Bookman Old Style" w:hAnsi="Bookman Old Style" w:cs="Times New Roman"/>
          <w:spacing w:val="-8"/>
          <w:sz w:val="19"/>
          <w:szCs w:val="24"/>
          <w:lang w:val="en-US"/>
        </w:rPr>
        <w:t>for depreciation, amortisation and make-good expenses was replaced with a DCB in the 2010–11 Budget.</w:t>
      </w:r>
    </w:p>
    <w:p w:rsidR="00252063" w:rsidRDefault="00252063">
      <w:pPr>
        <w:widowControl w:val="0"/>
        <w:tabs>
          <w:tab w:val="left" w:pos="2880"/>
        </w:tabs>
        <w:kinsoku w:val="0"/>
        <w:overflowPunct w:val="0"/>
        <w:spacing w:before="126" w:after="0" w:line="248" w:lineRule="exact"/>
        <w:ind w:left="2808" w:right="144" w:hanging="266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Departmental Item</w:t>
      </w:r>
      <w:r>
        <w:rPr>
          <w:rFonts w:ascii="Bookman Old Style" w:hAnsi="Bookman Old Style" w:cs="Times New Roman"/>
          <w:spacing w:val="-4"/>
          <w:sz w:val="19"/>
          <w:szCs w:val="24"/>
          <w:lang w:val="en-US"/>
        </w:rPr>
        <w:tab/>
        <w:t>Resources (expenses, revenues, assets and liabilities) that an entity controls directly. This includes outsourced activities funded and controlled by the entity. Examples of Departmental items include entity running costs, accrued employee entitlements and net appropriations. A Departmental item is a component of a Departmental program.</w:t>
      </w:r>
    </w:p>
    <w:p w:rsidR="00252063" w:rsidRDefault="00252063">
      <w:pPr>
        <w:widowControl w:val="0"/>
        <w:tabs>
          <w:tab w:val="left" w:pos="2880"/>
        </w:tabs>
        <w:kinsoku w:val="0"/>
        <w:overflowPunct w:val="0"/>
        <w:spacing w:before="117" w:after="0" w:line="249" w:lineRule="exact"/>
        <w:ind w:left="2808" w:right="144" w:hanging="266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Depreciation</w:t>
      </w:r>
      <w:r>
        <w:rPr>
          <w:rFonts w:ascii="Bookman Old Style" w:hAnsi="Bookman Old Style" w:cs="Times New Roman"/>
          <w:spacing w:val="-6"/>
          <w:sz w:val="19"/>
          <w:szCs w:val="24"/>
          <w:lang w:val="en-US"/>
        </w:rPr>
        <w:tab/>
        <w:t>Apportionment of an asset’s capital value as an expense over its estimated useful life to take account of normal usage, obsolescence, or the passage of time.</w:t>
      </w:r>
    </w:p>
    <w:p w:rsidR="00252063" w:rsidRDefault="00252063">
      <w:pPr>
        <w:widowControl w:val="0"/>
        <w:tabs>
          <w:tab w:val="left" w:pos="2880"/>
        </w:tabs>
        <w:kinsoku w:val="0"/>
        <w:overflowPunct w:val="0"/>
        <w:spacing w:before="135" w:after="0" w:line="235"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Entities</w:t>
      </w:r>
      <w:r>
        <w:rPr>
          <w:rFonts w:ascii="Bookman Old Style" w:hAnsi="Bookman Old Style" w:cs="Times New Roman"/>
          <w:spacing w:val="-2"/>
          <w:sz w:val="19"/>
          <w:szCs w:val="24"/>
          <w:lang w:val="en-US"/>
        </w:rPr>
        <w:tab/>
        <w:t>Commonwealth entities and Commonwealth</w:t>
      </w:r>
    </w:p>
    <w:p w:rsidR="00252063" w:rsidRDefault="00252063">
      <w:pPr>
        <w:widowControl w:val="0"/>
        <w:kinsoku w:val="0"/>
        <w:overflowPunct w:val="0"/>
        <w:spacing w:after="0" w:line="249" w:lineRule="exact"/>
        <w:ind w:left="2808" w:right="43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companies as defined under the PGPA Act that are within the General Government Sector (GGS).</w:t>
      </w:r>
    </w:p>
    <w:p w:rsidR="00252063" w:rsidRDefault="00252063">
      <w:pPr>
        <w:widowControl w:val="0"/>
        <w:tabs>
          <w:tab w:val="left" w:pos="2880"/>
        </w:tabs>
        <w:kinsoku w:val="0"/>
        <w:overflowPunct w:val="0"/>
        <w:spacing w:before="116" w:after="0" w:line="249" w:lineRule="exact"/>
        <w:ind w:left="2808" w:right="864"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Equity or Net Assets</w:t>
      </w:r>
      <w:r>
        <w:rPr>
          <w:rFonts w:ascii="Bookman Old Style" w:hAnsi="Bookman Old Style" w:cs="Times New Roman"/>
          <w:sz w:val="19"/>
          <w:szCs w:val="24"/>
          <w:lang w:val="en-US"/>
        </w:rPr>
        <w:tab/>
        <w:t>Residual interest in the assets of an entity after deduction of its liabilities.</w:t>
      </w:r>
    </w:p>
    <w:p w:rsidR="00252063" w:rsidRDefault="00252063">
      <w:pPr>
        <w:widowControl w:val="0"/>
        <w:tabs>
          <w:tab w:val="left" w:pos="2880"/>
        </w:tabs>
        <w:kinsoku w:val="0"/>
        <w:overflowPunct w:val="0"/>
        <w:spacing w:before="123" w:after="0" w:line="248" w:lineRule="exact"/>
        <w:ind w:left="2808" w:right="144" w:hanging="2664"/>
        <w:textAlignment w:val="baseline"/>
        <w:rPr>
          <w:rFonts w:ascii="Bookman Old Style" w:hAnsi="Bookman Old Style" w:cs="Times New Roman"/>
          <w:spacing w:val="-9"/>
          <w:sz w:val="19"/>
          <w:szCs w:val="24"/>
          <w:lang w:val="en-US"/>
        </w:rPr>
      </w:pPr>
      <w:r>
        <w:rPr>
          <w:rFonts w:ascii="Bookman Old Style" w:hAnsi="Bookman Old Style" w:cs="Times New Roman"/>
          <w:spacing w:val="-9"/>
          <w:sz w:val="19"/>
          <w:szCs w:val="24"/>
          <w:lang w:val="en-US"/>
        </w:rPr>
        <w:t>Estimated Actual</w:t>
      </w:r>
      <w:r>
        <w:rPr>
          <w:rFonts w:ascii="Bookman Old Style" w:hAnsi="Bookman Old Style" w:cs="Times New Roman"/>
          <w:spacing w:val="-9"/>
          <w:sz w:val="19"/>
          <w:szCs w:val="24"/>
          <w:lang w:val="en-US"/>
        </w:rPr>
        <w:tab/>
        <w:t>Details of the estimated final figures for 2022-23 as included in the Budget documentation. As the Budget may be released before all 2022-23 Annual Reports are tabled in Parliament, the figures for 2022-23 remain estimates.</w:t>
      </w:r>
    </w:p>
    <w:p w:rsidR="00252063" w:rsidRDefault="00252063">
      <w:pPr>
        <w:widowControl w:val="0"/>
        <w:tabs>
          <w:tab w:val="left" w:pos="2880"/>
        </w:tabs>
        <w:kinsoku w:val="0"/>
        <w:overflowPunct w:val="0"/>
        <w:spacing w:before="122" w:after="0" w:line="248" w:lineRule="exact"/>
        <w:ind w:left="2808" w:right="144" w:hanging="266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Executive Agency</w:t>
      </w:r>
      <w:r>
        <w:rPr>
          <w:rFonts w:ascii="Bookman Old Style" w:hAnsi="Bookman Old Style" w:cs="Times New Roman"/>
          <w:spacing w:val="-6"/>
          <w:sz w:val="19"/>
          <w:szCs w:val="24"/>
          <w:lang w:val="en-US"/>
        </w:rPr>
        <w:tab/>
        <w:t xml:space="preserve">An agency designated, in an executive order made by the Governor-General-in-Council, as separate from a Department, for staffing and accountability and reporting purposes, under the </w:t>
      </w:r>
      <w:r>
        <w:rPr>
          <w:rFonts w:ascii="Bookman Old Style" w:hAnsi="Bookman Old Style" w:cs="Times New Roman"/>
          <w:i/>
          <w:spacing w:val="-6"/>
          <w:sz w:val="19"/>
          <w:szCs w:val="24"/>
          <w:lang w:val="en-US"/>
        </w:rPr>
        <w:t>Public Service Act 1999</w:t>
      </w:r>
      <w:r>
        <w:rPr>
          <w:rFonts w:ascii="Bookman Old Style" w:hAnsi="Bookman Old Style" w:cs="Times New Roman"/>
          <w:spacing w:val="-6"/>
          <w:sz w:val="19"/>
          <w:szCs w:val="24"/>
          <w:lang w:val="en-US"/>
        </w:rPr>
        <w:t>.</w:t>
      </w:r>
    </w:p>
    <w:p w:rsidR="00252063" w:rsidRDefault="00252063">
      <w:pPr>
        <w:widowControl w:val="0"/>
        <w:tabs>
          <w:tab w:val="left" w:pos="2880"/>
        </w:tabs>
        <w:kinsoku w:val="0"/>
        <w:overflowPunct w:val="0"/>
        <w:spacing w:before="122" w:after="2870" w:line="248" w:lineRule="exact"/>
        <w:ind w:left="2808" w:right="288"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Expense</w:t>
      </w:r>
      <w:r>
        <w:rPr>
          <w:rFonts w:ascii="Bookman Old Style" w:hAnsi="Bookman Old Style" w:cs="Times New Roman"/>
          <w:sz w:val="19"/>
          <w:szCs w:val="24"/>
          <w:lang w:val="en-US"/>
        </w:rPr>
        <w:tab/>
        <w:t>Total value of all of the resources consumed in producing goods and services or the loss of future economic benefits in the form of reductions in assets or increases in liabilities of an entity.</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type w:val="continuous"/>
          <w:pgSz w:w="9979" w:h="14174"/>
          <w:pgMar w:top="520" w:right="1102" w:bottom="197" w:left="1097" w:header="720" w:footer="720" w:gutter="0"/>
          <w:cols w:space="720"/>
          <w:noEndnote/>
        </w:sectPr>
      </w:pPr>
    </w:p>
    <w:p w:rsidR="00252063" w:rsidRDefault="00E7390B">
      <w:pPr>
        <w:widowControl w:val="0"/>
        <w:kinsoku w:val="0"/>
        <w:overflowPunct w:val="0"/>
        <w:spacing w:before="222" w:after="0" w:line="207" w:lineRule="exact"/>
        <w:jc w:val="right"/>
        <w:textAlignment w:val="baseline"/>
        <w:rPr>
          <w:rFonts w:ascii="Arial" w:hAnsi="Arial" w:cs="Times New Roman"/>
          <w:b/>
          <w:spacing w:val="-1"/>
          <w:sz w:val="17"/>
          <w:szCs w:val="24"/>
          <w:lang w:val="en-US"/>
        </w:rPr>
      </w:pPr>
      <w:r>
        <w:rPr>
          <w:noProof/>
        </w:rPr>
        <mc:AlternateContent>
          <mc:Choice Requires="wps">
            <w:drawing>
              <wp:anchor distT="0" distB="0" distL="0" distR="0" simplePos="0" relativeHeight="251661312"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71DE7"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oF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BshqgUUAgAAKQ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r w:rsidR="00252063">
        <w:rPr>
          <w:rFonts w:ascii="Arial" w:hAnsi="Arial" w:cs="Times New Roman"/>
          <w:b/>
          <w:spacing w:val="-1"/>
          <w:sz w:val="17"/>
          <w:szCs w:val="24"/>
          <w:lang w:val="en-US"/>
        </w:rPr>
        <w:t>Portfolio glossary | Page 121</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type w:val="continuous"/>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88"/>
        <w:gridCol w:w="6192"/>
      </w:tblGrid>
      <w:tr w:rsidR="00252063">
        <w:tblPrEx>
          <w:tblCellMar>
            <w:top w:w="0" w:type="dxa"/>
            <w:left w:w="0" w:type="dxa"/>
            <w:bottom w:w="0" w:type="dxa"/>
            <w:right w:w="0" w:type="dxa"/>
          </w:tblCellMar>
        </w:tblPrEx>
        <w:trPr>
          <w:trHeight w:hRule="exact" w:val="232"/>
        </w:trPr>
        <w:tc>
          <w:tcPr>
            <w:tcW w:w="1588" w:type="dxa"/>
            <w:tcBorders>
              <w:top w:val="nil"/>
              <w:left w:val="nil"/>
              <w:bottom w:val="nil"/>
              <w:right w:val="nil"/>
            </w:tcBorders>
          </w:tcPr>
          <w:p w:rsidR="00252063" w:rsidRDefault="00252063">
            <w:pPr>
              <w:widowControl w:val="0"/>
              <w:kinsoku w:val="0"/>
              <w:overflowPunct w:val="0"/>
              <w:spacing w:after="3" w:line="229" w:lineRule="atLeast"/>
              <w:ind w:left="13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5" name="Picture 5"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2" w:type="dxa"/>
            <w:tcBorders>
              <w:top w:val="nil"/>
              <w:left w:val="nil"/>
              <w:bottom w:val="nil"/>
              <w:right w:val="nil"/>
            </w:tcBorders>
            <w:vAlign w:val="center"/>
          </w:tcPr>
          <w:p w:rsidR="00252063" w:rsidRDefault="00252063">
            <w:pPr>
              <w:widowControl w:val="0"/>
              <w:kinsoku w:val="0"/>
              <w:overflowPunct w:val="0"/>
              <w:spacing w:after="10" w:line="207" w:lineRule="exact"/>
              <w:ind w:right="2659"/>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252063" w:rsidRDefault="00252063">
      <w:pPr>
        <w:widowControl w:val="0"/>
        <w:kinsoku w:val="0"/>
        <w:overflowPunct w:val="0"/>
        <w:spacing w:after="736" w:line="20" w:lineRule="exact"/>
        <w:textAlignment w:val="baseline"/>
        <w:rPr>
          <w:rFonts w:ascii="Times New Roman" w:hAnsi="Times New Roman" w:cs="Times New Roman"/>
          <w:sz w:val="24"/>
          <w:szCs w:val="24"/>
          <w:lang w:val="en-US"/>
        </w:rPr>
      </w:pPr>
    </w:p>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tabs>
          <w:tab w:val="left" w:pos="2880"/>
        </w:tabs>
        <w:kinsoku w:val="0"/>
        <w:overflowPunct w:val="0"/>
        <w:spacing w:before="119" w:after="0" w:line="249" w:lineRule="exact"/>
        <w:ind w:left="144" w:right="50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Expenses not requiring</w:t>
      </w:r>
      <w:r>
        <w:rPr>
          <w:rFonts w:ascii="Bookman Old Style" w:hAnsi="Bookman Old Style" w:cs="Times New Roman"/>
          <w:spacing w:val="-3"/>
          <w:sz w:val="19"/>
          <w:szCs w:val="24"/>
          <w:lang w:val="en-US"/>
        </w:rPr>
        <w:tab/>
        <w:t>Includes expenses where there is: a government appropriation in the Budget policy not to fund those expenses within the year;</w:t>
      </w:r>
    </w:p>
    <w:p w:rsidR="00252063" w:rsidRDefault="00252063">
      <w:pPr>
        <w:widowControl w:val="0"/>
        <w:tabs>
          <w:tab w:val="left" w:pos="2880"/>
        </w:tabs>
        <w:kinsoku w:val="0"/>
        <w:overflowPunct w:val="0"/>
        <w:spacing w:after="0" w:line="248" w:lineRule="exact"/>
        <w:ind w:left="2808" w:right="288" w:hanging="266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year</w:t>
      </w:r>
      <w:r>
        <w:rPr>
          <w:rFonts w:ascii="Bookman Old Style" w:hAnsi="Bookman Old Style" w:cs="Times New Roman"/>
          <w:spacing w:val="-4"/>
          <w:sz w:val="19"/>
          <w:szCs w:val="24"/>
          <w:lang w:val="en-US"/>
        </w:rPr>
        <w:tab/>
        <w:t>where the funding has been provided in a prior year but the expense will be incurred in the current year; items which do not or will not involve a cash flow impact (such as bad debt expenses); or where the expenses reflect the usage of services or resources provided free of charge. From the 2018-19 MYEFO, movements of Administered funds that can be met from a prior year appropriation are not re-appropriated in the year required. Such expenses are reflected as ‘Expenses not requiring appropriation in the Budget year’.</w:t>
      </w:r>
    </w:p>
    <w:p w:rsidR="00252063" w:rsidRDefault="00252063">
      <w:pPr>
        <w:widowControl w:val="0"/>
        <w:tabs>
          <w:tab w:val="left" w:pos="2880"/>
        </w:tabs>
        <w:kinsoku w:val="0"/>
        <w:overflowPunct w:val="0"/>
        <w:spacing w:before="119" w:after="0" w:line="249" w:lineRule="exact"/>
        <w:ind w:left="2808" w:right="432" w:hanging="266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Fair Value</w:t>
      </w:r>
      <w:r>
        <w:rPr>
          <w:rFonts w:ascii="Bookman Old Style" w:hAnsi="Bookman Old Style" w:cs="Times New Roman"/>
          <w:spacing w:val="-6"/>
          <w:sz w:val="19"/>
          <w:szCs w:val="24"/>
          <w:lang w:val="en-US"/>
        </w:rPr>
        <w:tab/>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p w:rsidR="00252063" w:rsidRDefault="00252063">
      <w:pPr>
        <w:widowControl w:val="0"/>
        <w:tabs>
          <w:tab w:val="left" w:pos="2880"/>
        </w:tabs>
        <w:kinsoku w:val="0"/>
        <w:overflowPunct w:val="0"/>
        <w:spacing w:before="118" w:after="0" w:line="249" w:lineRule="exact"/>
        <w:ind w:left="2808" w:right="288" w:hanging="266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Fiscal Balance</w:t>
      </w:r>
      <w:r>
        <w:rPr>
          <w:rFonts w:ascii="Bookman Old Style" w:hAnsi="Bookman Old Style" w:cs="Times New Roman"/>
          <w:spacing w:val="-6"/>
          <w:sz w:val="19"/>
          <w:szCs w:val="24"/>
          <w:lang w:val="en-US"/>
        </w:rPr>
        <w:tab/>
        <w:t>An accrual measure that shows whether the government has to borrow from financial markets to cover its activities. Fiscal balance includes revenue, less operating expenses, plus revaluation adjustments, plus capital adjustments.</w:t>
      </w:r>
    </w:p>
    <w:p w:rsidR="00252063" w:rsidRDefault="00252063">
      <w:pPr>
        <w:widowControl w:val="0"/>
        <w:tabs>
          <w:tab w:val="left" w:pos="2880"/>
        </w:tabs>
        <w:kinsoku w:val="0"/>
        <w:overflowPunct w:val="0"/>
        <w:spacing w:before="118" w:after="106" w:line="249" w:lineRule="exact"/>
        <w:ind w:left="2808" w:right="216"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Forward Estimates Period</w:t>
      </w:r>
      <w:r>
        <w:rPr>
          <w:rFonts w:ascii="Bookman Old Style" w:hAnsi="Bookman Old Style" w:cs="Times New Roman"/>
          <w:sz w:val="19"/>
          <w:szCs w:val="24"/>
          <w:lang w:val="en-US"/>
        </w:rPr>
        <w:tab/>
        <w:t>The three years following the Budget year. For example, for the 2023-24 Budget year, 2024-25 is forward year 1, 2025-26 is forward year 2 and 2026-27 is forward year 3.</w:t>
      </w:r>
    </w:p>
    <w:tbl>
      <w:tblPr>
        <w:tblW w:w="0" w:type="auto"/>
        <w:tblLayout w:type="fixed"/>
        <w:tblCellMar>
          <w:left w:w="0" w:type="dxa"/>
          <w:right w:w="0" w:type="dxa"/>
        </w:tblCellMar>
        <w:tblLook w:val="0000" w:firstRow="0" w:lastRow="0" w:firstColumn="0" w:lastColumn="0" w:noHBand="0" w:noVBand="0"/>
      </w:tblPr>
      <w:tblGrid>
        <w:gridCol w:w="2721"/>
        <w:gridCol w:w="5059"/>
      </w:tblGrid>
      <w:tr w:rsidR="00252063">
        <w:tblPrEx>
          <w:tblCellMar>
            <w:top w:w="0" w:type="dxa"/>
            <w:left w:w="0" w:type="dxa"/>
            <w:bottom w:w="0" w:type="dxa"/>
            <w:right w:w="0" w:type="dxa"/>
          </w:tblCellMar>
        </w:tblPrEx>
        <w:trPr>
          <w:trHeight w:hRule="exact" w:val="2516"/>
        </w:trPr>
        <w:tc>
          <w:tcPr>
            <w:tcW w:w="2721" w:type="dxa"/>
            <w:tcBorders>
              <w:top w:val="nil"/>
              <w:left w:val="nil"/>
              <w:bottom w:val="nil"/>
              <w:right w:val="nil"/>
            </w:tcBorders>
          </w:tcPr>
          <w:p w:rsidR="00252063" w:rsidRDefault="00252063">
            <w:pPr>
              <w:widowControl w:val="0"/>
              <w:kinsoku w:val="0"/>
              <w:overflowPunct w:val="0"/>
              <w:spacing w:after="2012" w:line="249"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General Government Sector (GGS)</w:t>
            </w:r>
          </w:p>
        </w:tc>
        <w:tc>
          <w:tcPr>
            <w:tcW w:w="5059" w:type="dxa"/>
            <w:tcBorders>
              <w:top w:val="nil"/>
              <w:left w:val="nil"/>
              <w:bottom w:val="nil"/>
              <w:right w:val="nil"/>
            </w:tcBorders>
          </w:tcPr>
          <w:p w:rsidR="00252063" w:rsidRDefault="00252063">
            <w:pPr>
              <w:widowControl w:val="0"/>
              <w:kinsoku w:val="0"/>
              <w:overflowPunct w:val="0"/>
              <w:spacing w:after="20" w:line="249" w:lineRule="exact"/>
              <w:ind w:left="108" w:right="216"/>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A Government Finance Statistics (GFS) classification of all entities that are controlled and largely funded by the Australian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bl>
    <w:p w:rsidR="00252063" w:rsidRDefault="00252063">
      <w:pPr>
        <w:widowControl w:val="0"/>
        <w:kinsoku w:val="0"/>
        <w:overflowPunct w:val="0"/>
        <w:spacing w:after="1456" w:line="20" w:lineRule="exact"/>
        <w:textAlignment w:val="baseline"/>
        <w:rPr>
          <w:rFonts w:ascii="Times New Roman" w:hAnsi="Times New Roman" w:cs="Times New Roman"/>
          <w:sz w:val="24"/>
          <w:szCs w:val="24"/>
          <w:lang w:val="en-US"/>
        </w:rPr>
      </w:pPr>
    </w:p>
    <w:p w:rsidR="00252063" w:rsidRDefault="00E7390B">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62336"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24AD"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fL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" o:allowincell="f" strokeweight=".7pt">
                <w10:wrap type="square" anchorx="page" anchory="page"/>
              </v:line>
            </w:pict>
          </mc:Fallback>
        </mc:AlternateContent>
      </w:r>
      <w:r w:rsidR="00252063">
        <w:rPr>
          <w:rFonts w:ascii="Arial" w:hAnsi="Arial" w:cs="Times New Roman"/>
          <w:b/>
          <w:sz w:val="17"/>
          <w:szCs w:val="24"/>
          <w:lang w:val="en-US"/>
        </w:rPr>
        <w:t>Page 122 | Portfolio glossary</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1099" w:bottom="197" w:left="1100" w:header="720" w:footer="720" w:gutter="0"/>
          <w:cols w:space="720"/>
          <w:noEndnote/>
        </w:sectPr>
      </w:pPr>
    </w:p>
    <w:p w:rsidR="00252063" w:rsidRDefault="00E7390B">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63360" behindDoc="0" locked="0" layoutInCell="0" allowOverlap="1">
                <wp:simplePos x="0" y="0"/>
                <wp:positionH relativeFrom="page">
                  <wp:posOffset>2435860</wp:posOffset>
                </wp:positionH>
                <wp:positionV relativeFrom="page">
                  <wp:posOffset>330200</wp:posOffset>
                </wp:positionV>
                <wp:extent cx="2184400" cy="627380"/>
                <wp:effectExtent l="0" t="0" r="0" b="0"/>
                <wp:wrapSquare wrapText="bothSides"/>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7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before="11" w:after="759" w:line="207"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91.8pt;margin-top:26pt;width:172pt;height:49.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" o:allowincell="f" stroked="f">
                <v:fill opacity="0"/>
                <v:textbox inset="0,0,0,0">
                  <w:txbxContent>
                    <w:p w:rsidR="00252063" w:rsidRDefault="00252063">
                      <w:pPr>
                        <w:widowControl w:val="0"/>
                        <w:kinsoku w:val="0"/>
                        <w:overflowPunct w:val="0"/>
                        <w:spacing w:before="11" w:after="759" w:line="207"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68.65pt;margin-top:26.9pt;width:72.7pt;height:10.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" o:allowincell="f" stroked="f">
                <v:fill opacity="0"/>
                <v:textbox inset="0,0,0,0">
                  <w:txbxContent>
                    <w:p w:rsidR="00252063" w:rsidRDefault="00252063">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simplePos x="0" y="0"/>
                <wp:positionH relativeFrom="page">
                  <wp:posOffset>688975</wp:posOffset>
                </wp:positionH>
                <wp:positionV relativeFrom="page">
                  <wp:posOffset>957580</wp:posOffset>
                </wp:positionV>
                <wp:extent cx="4940300" cy="2105660"/>
                <wp:effectExtent l="0" t="0" r="0" b="0"/>
                <wp:wrapSquare wrapText="bothSides"/>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105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tabs>
                                <w:tab w:val="left" w:pos="2880"/>
                              </w:tabs>
                              <w:kinsoku w:val="0"/>
                              <w:overflowPunct w:val="0"/>
                              <w:spacing w:before="122" w:after="0" w:line="249" w:lineRule="exact"/>
                              <w:ind w:lef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Government Finance</w:t>
                            </w:r>
                            <w:r>
                              <w:rPr>
                                <w:rFonts w:ascii="Bookman Old Style" w:hAnsi="Bookman Old Style" w:cs="Times New Roman"/>
                                <w:spacing w:val="-3"/>
                                <w:sz w:val="19"/>
                                <w:szCs w:val="24"/>
                                <w:lang w:val="en-US"/>
                              </w:rPr>
                              <w:tab/>
                              <w:t>A reporting framework that is a specialised statistical</w:t>
                            </w:r>
                          </w:p>
                          <w:p w:rsidR="00252063" w:rsidRDefault="00252063">
                            <w:pPr>
                              <w:widowControl w:val="0"/>
                              <w:tabs>
                                <w:tab w:val="left" w:pos="2880"/>
                              </w:tabs>
                              <w:kinsoku w:val="0"/>
                              <w:overflowPunct w:val="0"/>
                              <w:spacing w:before="1" w:after="0" w:line="249" w:lineRule="exact"/>
                              <w:ind w:left="2808" w:right="144"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Statistics (GFS)</w:t>
                            </w:r>
                            <w:r>
                              <w:rPr>
                                <w:rFonts w:ascii="Bookman Old Style" w:hAnsi="Bookman Old Style" w:cs="Times New Roman"/>
                                <w:sz w:val="19"/>
                                <w:szCs w:val="24"/>
                                <w:lang w:val="en-US"/>
                              </w:rPr>
                              <w:tab/>
                              <w:t>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p w:rsidR="00252063" w:rsidRDefault="00252063">
                            <w:pPr>
                              <w:widowControl w:val="0"/>
                              <w:tabs>
                                <w:tab w:val="left" w:pos="2880"/>
                              </w:tabs>
                              <w:kinsoku w:val="0"/>
                              <w:overflowPunct w:val="0"/>
                              <w:spacing w:before="118" w:after="120" w:line="249" w:lineRule="exact"/>
                              <w:ind w:left="2808" w:right="216" w:hanging="2664"/>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Measure</w:t>
                            </w:r>
                            <w:r>
                              <w:rPr>
                                <w:rFonts w:ascii="Bookman Old Style" w:hAnsi="Bookman Old Style" w:cs="Times New Roman"/>
                                <w:spacing w:val="-7"/>
                                <w:sz w:val="19"/>
                                <w:szCs w:val="24"/>
                                <w:lang w:val="en-US"/>
                              </w:rPr>
                              <w:tab/>
                              <w:t>A new policy or savings decision of the Government with financial impacts on the government's underlying cash balance; fiscal balance; operating balance; headline cash balance; net debt or net worth.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4.25pt;margin-top:75.4pt;width:389pt;height:165.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kjwIAACU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" o:allowincell="f" stroked="f">
                <v:fill opacity="0"/>
                <v:textbox inset="0,0,0,0">
                  <w:txbxContent>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tabs>
                          <w:tab w:val="left" w:pos="2880"/>
                        </w:tabs>
                        <w:kinsoku w:val="0"/>
                        <w:overflowPunct w:val="0"/>
                        <w:spacing w:before="122" w:after="0" w:line="249" w:lineRule="exact"/>
                        <w:ind w:lef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Government Finance</w:t>
                      </w:r>
                      <w:r>
                        <w:rPr>
                          <w:rFonts w:ascii="Bookman Old Style" w:hAnsi="Bookman Old Style" w:cs="Times New Roman"/>
                          <w:spacing w:val="-3"/>
                          <w:sz w:val="19"/>
                          <w:szCs w:val="24"/>
                          <w:lang w:val="en-US"/>
                        </w:rPr>
                        <w:tab/>
                        <w:t>A reporting framework that is a specialised statistical</w:t>
                      </w:r>
                    </w:p>
                    <w:p w:rsidR="00252063" w:rsidRDefault="00252063">
                      <w:pPr>
                        <w:widowControl w:val="0"/>
                        <w:tabs>
                          <w:tab w:val="left" w:pos="2880"/>
                        </w:tabs>
                        <w:kinsoku w:val="0"/>
                        <w:overflowPunct w:val="0"/>
                        <w:spacing w:before="1" w:after="0" w:line="249" w:lineRule="exact"/>
                        <w:ind w:left="2808" w:right="144"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Statistics (GFS)</w:t>
                      </w:r>
                      <w:r>
                        <w:rPr>
                          <w:rFonts w:ascii="Bookman Old Style" w:hAnsi="Bookman Old Style" w:cs="Times New Roman"/>
                          <w:sz w:val="19"/>
                          <w:szCs w:val="24"/>
                          <w:lang w:val="en-US"/>
                        </w:rPr>
                        <w:tab/>
                        <w:t>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p w:rsidR="00252063" w:rsidRDefault="00252063">
                      <w:pPr>
                        <w:widowControl w:val="0"/>
                        <w:tabs>
                          <w:tab w:val="left" w:pos="2880"/>
                        </w:tabs>
                        <w:kinsoku w:val="0"/>
                        <w:overflowPunct w:val="0"/>
                        <w:spacing w:before="118" w:after="120" w:line="249" w:lineRule="exact"/>
                        <w:ind w:left="2808" w:right="216" w:hanging="2664"/>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Measure</w:t>
                      </w:r>
                      <w:r>
                        <w:rPr>
                          <w:rFonts w:ascii="Bookman Old Style" w:hAnsi="Bookman Old Style" w:cs="Times New Roman"/>
                          <w:spacing w:val="-7"/>
                          <w:sz w:val="19"/>
                          <w:szCs w:val="24"/>
                          <w:lang w:val="en-US"/>
                        </w:rPr>
                        <w:tab/>
                        <w:t>A new policy or savings decision of the Government with financial impacts on the government's underlying cash balance; fiscal balance; operating balance; headline cash balance; net debt or net worth.</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simplePos x="0" y="0"/>
                <wp:positionH relativeFrom="page">
                  <wp:posOffset>792480</wp:posOffset>
                </wp:positionH>
                <wp:positionV relativeFrom="page">
                  <wp:posOffset>3063240</wp:posOffset>
                </wp:positionV>
                <wp:extent cx="1371600" cy="31369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3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44"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Mid-Year Economic and Fiscal Outlook (MYEFO)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62.4pt;margin-top:241.2pt;width:108pt;height:24.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" o:allowincell="f" stroked="f">
                <v:fill opacity="0"/>
                <v:textbox inset="0,0,0,0">
                  <w:txbxContent>
                    <w:p w:rsidR="00252063" w:rsidRDefault="00252063">
                      <w:pPr>
                        <w:widowControl w:val="0"/>
                        <w:kinsoku w:val="0"/>
                        <w:overflowPunct w:val="0"/>
                        <w:spacing w:after="0" w:line="244"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Mid-Year Economic and Fiscal Outlook (MYEFO)</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2502535</wp:posOffset>
                </wp:positionH>
                <wp:positionV relativeFrom="page">
                  <wp:posOffset>3063240</wp:posOffset>
                </wp:positionV>
                <wp:extent cx="3035300" cy="5365750"/>
                <wp:effectExtent l="0" t="0" r="0" b="0"/>
                <wp:wrapSquare wrapText="bothSides"/>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536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48"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p w:rsidR="00252063" w:rsidRDefault="00252063">
                            <w:pPr>
                              <w:widowControl w:val="0"/>
                              <w:kinsoku w:val="0"/>
                              <w:overflowPunct w:val="0"/>
                              <w:spacing w:before="116" w:after="0" w:line="249"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 xml:space="preserve">Commonwealth payments to states and territories made in accordance with Part 4 of the </w:t>
                            </w:r>
                            <w:r>
                              <w:rPr>
                                <w:rFonts w:ascii="Bookman Old Style" w:hAnsi="Bookman Old Style" w:cs="Times New Roman"/>
                                <w:i/>
                                <w:spacing w:val="-4"/>
                                <w:sz w:val="19"/>
                                <w:szCs w:val="24"/>
                                <w:lang w:val="en-US"/>
                              </w:rPr>
                              <w:t xml:space="preserve">Federal Financial Relations Act 2009 </w:t>
                            </w:r>
                            <w:r>
                              <w:rPr>
                                <w:rFonts w:ascii="Bookman Old Style" w:hAnsi="Bookman Old Style" w:cs="Times New Roman"/>
                                <w:spacing w:val="-4"/>
                                <w:sz w:val="19"/>
                                <w:szCs w:val="24"/>
                                <w:lang w:val="en-US"/>
                              </w:rPr>
                              <w:t>(FFR Act). The Minister may determine that an amount specified in the determination is to be paid to a State specified in the determination for the purpose of making a grant of financial assistance to support the delivery by the State of specified outputs or projects; or facilitate reforms by the State; or reward the State for nationally significant reforms.</w:t>
                            </w:r>
                          </w:p>
                          <w:p w:rsidR="00252063" w:rsidRDefault="00252063">
                            <w:pPr>
                              <w:widowControl w:val="0"/>
                              <w:kinsoku w:val="0"/>
                              <w:overflowPunct w:val="0"/>
                              <w:spacing w:before="116" w:after="0" w:line="249" w:lineRule="exact"/>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A Commonwealth entity that is not a body corporate.</w:t>
                            </w:r>
                          </w:p>
                          <w:p w:rsidR="00252063" w:rsidRDefault="00252063">
                            <w:pPr>
                              <w:widowControl w:val="0"/>
                              <w:kinsoku w:val="0"/>
                              <w:overflowPunct w:val="0"/>
                              <w:spacing w:before="368" w:after="1618" w:line="249" w:lineRule="exact"/>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The Commonwealth’s central bank account. The OPA is one of a group of linked bank accounts, referred to as the Official Public Account Group of Accounts. OPAs are maintained with the Reserve Bank of Australia, as required by subsection 53(3) of the PGPA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97.05pt;margin-top:241.2pt;width:239pt;height:42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" o:allowincell="f" stroked="f">
                <v:fill opacity="0"/>
                <v:textbox inset="0,0,0,0">
                  <w:txbxContent>
                    <w:p w:rsidR="00252063" w:rsidRDefault="00252063">
                      <w:pPr>
                        <w:widowControl w:val="0"/>
                        <w:kinsoku w:val="0"/>
                        <w:overflowPunct w:val="0"/>
                        <w:spacing w:after="0" w:line="248"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p w:rsidR="00252063" w:rsidRDefault="00252063">
                      <w:pPr>
                        <w:widowControl w:val="0"/>
                        <w:kinsoku w:val="0"/>
                        <w:overflowPunct w:val="0"/>
                        <w:spacing w:before="116" w:after="0" w:line="249"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 xml:space="preserve">Commonwealth payments to states and territories made in accordance with Part 4 of the </w:t>
                      </w:r>
                      <w:r>
                        <w:rPr>
                          <w:rFonts w:ascii="Bookman Old Style" w:hAnsi="Bookman Old Style" w:cs="Times New Roman"/>
                          <w:i/>
                          <w:spacing w:val="-4"/>
                          <w:sz w:val="19"/>
                          <w:szCs w:val="24"/>
                          <w:lang w:val="en-US"/>
                        </w:rPr>
                        <w:t xml:space="preserve">Federal Financial Relations Act 2009 </w:t>
                      </w:r>
                      <w:r>
                        <w:rPr>
                          <w:rFonts w:ascii="Bookman Old Style" w:hAnsi="Bookman Old Style" w:cs="Times New Roman"/>
                          <w:spacing w:val="-4"/>
                          <w:sz w:val="19"/>
                          <w:szCs w:val="24"/>
                          <w:lang w:val="en-US"/>
                        </w:rPr>
                        <w:t>(FFR Act). The Minister may determine that an amount specified in the determination is to be paid to a State specified in the determination for the purpose of making a grant of financial assistance to support the delivery by the State of specified outputs or projects; or facilitate reforms by the State; or reward the State for nationally significant reforms.</w:t>
                      </w:r>
                    </w:p>
                    <w:p w:rsidR="00252063" w:rsidRDefault="00252063">
                      <w:pPr>
                        <w:widowControl w:val="0"/>
                        <w:kinsoku w:val="0"/>
                        <w:overflowPunct w:val="0"/>
                        <w:spacing w:before="116" w:after="0" w:line="249" w:lineRule="exact"/>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A Commonwealth entity that is not a body corporate.</w:t>
                      </w:r>
                    </w:p>
                    <w:p w:rsidR="00252063" w:rsidRDefault="00252063">
                      <w:pPr>
                        <w:widowControl w:val="0"/>
                        <w:kinsoku w:val="0"/>
                        <w:overflowPunct w:val="0"/>
                        <w:spacing w:before="368" w:after="1618" w:line="249" w:lineRule="exact"/>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The Commonwealth’s central bank account. The OPA is one of a group of linked bank accounts, referred to as the Official Public Account Group of Accounts. OPAs are maintained with the Reserve Bank of Australia, as required by subsection 53(3) of the PGPA Act.</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792480</wp:posOffset>
                </wp:positionH>
                <wp:positionV relativeFrom="page">
                  <wp:posOffset>4398645</wp:posOffset>
                </wp:positionV>
                <wp:extent cx="1173480" cy="319405"/>
                <wp:effectExtent l="0" t="0" r="0" b="0"/>
                <wp:wrapSquare wrapText="bothSides"/>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19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44" w:lineRule="exact"/>
                              <w:textAlignment w:val="baseline"/>
                              <w:rPr>
                                <w:rFonts w:ascii="Bookman Old Style" w:hAnsi="Bookman Old Style" w:cs="Times New Roman"/>
                                <w:spacing w:val="-8"/>
                                <w:sz w:val="19"/>
                                <w:szCs w:val="24"/>
                                <w:lang w:val="en-US"/>
                              </w:rPr>
                            </w:pPr>
                            <w:r>
                              <w:rPr>
                                <w:rFonts w:ascii="Bookman Old Style" w:hAnsi="Bookman Old Style" w:cs="Times New Roman"/>
                                <w:spacing w:val="-8"/>
                                <w:sz w:val="19"/>
                                <w:szCs w:val="24"/>
                                <w:lang w:val="en-US"/>
                              </w:rPr>
                              <w:t>National Partnership 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62.4pt;margin-top:346.35pt;width:92.4pt;height:25.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" o:allowincell="f" stroked="f">
                <v:fill opacity="0"/>
                <v:textbox inset="0,0,0,0">
                  <w:txbxContent>
                    <w:p w:rsidR="00252063" w:rsidRDefault="00252063">
                      <w:pPr>
                        <w:widowControl w:val="0"/>
                        <w:kinsoku w:val="0"/>
                        <w:overflowPunct w:val="0"/>
                        <w:spacing w:after="0" w:line="244" w:lineRule="exact"/>
                        <w:textAlignment w:val="baseline"/>
                        <w:rPr>
                          <w:rFonts w:ascii="Bookman Old Style" w:hAnsi="Bookman Old Style" w:cs="Times New Roman"/>
                          <w:spacing w:val="-8"/>
                          <w:sz w:val="19"/>
                          <w:szCs w:val="24"/>
                          <w:lang w:val="en-US"/>
                        </w:rPr>
                      </w:pPr>
                      <w:r>
                        <w:rPr>
                          <w:rFonts w:ascii="Bookman Old Style" w:hAnsi="Bookman Old Style" w:cs="Times New Roman"/>
                          <w:spacing w:val="-8"/>
                          <w:sz w:val="19"/>
                          <w:szCs w:val="24"/>
                          <w:lang w:val="en-US"/>
                        </w:rPr>
                        <w:t>National Partnership payments</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792480</wp:posOffset>
                </wp:positionH>
                <wp:positionV relativeFrom="page">
                  <wp:posOffset>6053455</wp:posOffset>
                </wp:positionV>
                <wp:extent cx="1301750" cy="709930"/>
                <wp:effectExtent l="0" t="0" r="0" b="0"/>
                <wp:wrapSquare wrapText="bothSides"/>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709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49" w:lineRule="exact"/>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Non-Corporate</w:t>
                            </w:r>
                          </w:p>
                          <w:p w:rsidR="00252063" w:rsidRDefault="00252063">
                            <w:pPr>
                              <w:widowControl w:val="0"/>
                              <w:kinsoku w:val="0"/>
                              <w:overflowPunct w:val="0"/>
                              <w:spacing w:before="1" w:after="0" w:line="249"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Commonwealth Entity</w:t>
                            </w:r>
                          </w:p>
                          <w:p w:rsidR="00252063" w:rsidRDefault="00252063">
                            <w:pPr>
                              <w:widowControl w:val="0"/>
                              <w:kinsoku w:val="0"/>
                              <w:overflowPunct w:val="0"/>
                              <w:spacing w:before="121" w:after="0" w:line="244"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Official Public Account (OPA)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62.4pt;margin-top:476.65pt;width:102.5pt;height:55.9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" o:allowincell="f" stroked="f">
                <v:fill opacity="0"/>
                <v:textbox inset="0,0,0,0">
                  <w:txbxContent>
                    <w:p w:rsidR="00252063" w:rsidRDefault="00252063">
                      <w:pPr>
                        <w:widowControl w:val="0"/>
                        <w:kinsoku w:val="0"/>
                        <w:overflowPunct w:val="0"/>
                        <w:spacing w:after="0" w:line="249" w:lineRule="exact"/>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Non-Corporate</w:t>
                      </w:r>
                    </w:p>
                    <w:p w:rsidR="00252063" w:rsidRDefault="00252063">
                      <w:pPr>
                        <w:widowControl w:val="0"/>
                        <w:kinsoku w:val="0"/>
                        <w:overflowPunct w:val="0"/>
                        <w:spacing w:before="1" w:after="0" w:line="249"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Commonwealth Entity</w:t>
                      </w:r>
                    </w:p>
                    <w:p w:rsidR="00252063" w:rsidRDefault="00252063">
                      <w:pPr>
                        <w:widowControl w:val="0"/>
                        <w:kinsoku w:val="0"/>
                        <w:overflowPunct w:val="0"/>
                        <w:spacing w:before="121" w:after="0" w:line="244"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Official Public Account (OPA)</w:t>
                      </w: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simplePos x="0" y="0"/>
                <wp:positionH relativeFrom="page">
                  <wp:posOffset>698500</wp:posOffset>
                </wp:positionH>
                <wp:positionV relativeFrom="page">
                  <wp:posOffset>8428990</wp:posOffset>
                </wp:positionV>
                <wp:extent cx="4940300" cy="283210"/>
                <wp:effectExtent l="0" t="0" r="0" b="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83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before="222" w:after="5" w:line="207" w:lineRule="exact"/>
                              <w:jc w:val="right"/>
                              <w:textAlignment w:val="baseline"/>
                              <w:rPr>
                                <w:rFonts w:ascii="Arial" w:hAnsi="Arial" w:cs="Times New Roman"/>
                                <w:b/>
                                <w:spacing w:val="-1"/>
                                <w:sz w:val="17"/>
                                <w:szCs w:val="24"/>
                                <w:lang w:val="en-US"/>
                              </w:rPr>
                            </w:pPr>
                            <w:r>
                              <w:rPr>
                                <w:rFonts w:ascii="Arial" w:hAnsi="Arial" w:cs="Times New Roman"/>
                                <w:b/>
                                <w:spacing w:val="-1"/>
                                <w:sz w:val="17"/>
                                <w:szCs w:val="24"/>
                                <w:lang w:val="en-US"/>
                              </w:rPr>
                              <w:t>Portfolio glossary | Page 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55pt;margin-top:663.7pt;width:389pt;height:22.3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" o:allowincell="f" stroked="f">
                <v:fill opacity="0"/>
                <v:textbox inset="0,0,0,0">
                  <w:txbxContent>
                    <w:p w:rsidR="00252063" w:rsidRDefault="00252063">
                      <w:pPr>
                        <w:widowControl w:val="0"/>
                        <w:kinsoku w:val="0"/>
                        <w:overflowPunct w:val="0"/>
                        <w:spacing w:before="222" w:after="5" w:line="207" w:lineRule="exact"/>
                        <w:jc w:val="right"/>
                        <w:textAlignment w:val="baseline"/>
                        <w:rPr>
                          <w:rFonts w:ascii="Arial" w:hAnsi="Arial" w:cs="Times New Roman"/>
                          <w:b/>
                          <w:spacing w:val="-1"/>
                          <w:sz w:val="17"/>
                          <w:szCs w:val="24"/>
                          <w:lang w:val="en-US"/>
                        </w:rPr>
                      </w:pPr>
                      <w:r>
                        <w:rPr>
                          <w:rFonts w:ascii="Arial" w:hAnsi="Arial" w:cs="Times New Roman"/>
                          <w:b/>
                          <w:spacing w:val="-1"/>
                          <w:sz w:val="17"/>
                          <w:szCs w:val="24"/>
                          <w:lang w:val="en-US"/>
                        </w:rPr>
                        <w:t>Portfolio glossary | Page 123</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201E9"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6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3yRp4uHKUZ08CWkGBKNdf4z1x0KRoklkI7A5PjsfCBCiiEk3KP0&#10;RkgZ5ZYK9SWezxdpTHBaChacIczZ/a6SFh1JGJj4xarAcx9m9UGxCNZywtZX2xMhLzZcLlXAg1KA&#10;ztW6TMSPRbpYz9fzfJRPZutRntb16NOmykezTfY4rR/qqqqzn4FalhetYIyrwG6Yziz/O/Wv7+Qy&#10;V7f5vLUheY8e+wVkh38kHbUM8l0GYafZeWsHjWEgY/D18YSJv9+Dff/EV78A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GRmfrcUAgAAKg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232" w:right="1099" w:bottom="205" w:left="1085"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88"/>
        <w:gridCol w:w="6192"/>
      </w:tblGrid>
      <w:tr w:rsidR="00252063">
        <w:tblPrEx>
          <w:tblCellMar>
            <w:top w:w="0" w:type="dxa"/>
            <w:left w:w="0" w:type="dxa"/>
            <w:bottom w:w="0" w:type="dxa"/>
            <w:right w:w="0" w:type="dxa"/>
          </w:tblCellMar>
        </w:tblPrEx>
        <w:trPr>
          <w:trHeight w:hRule="exact" w:val="232"/>
        </w:trPr>
        <w:tc>
          <w:tcPr>
            <w:tcW w:w="1588" w:type="dxa"/>
            <w:tcBorders>
              <w:top w:val="nil"/>
              <w:left w:val="nil"/>
              <w:bottom w:val="nil"/>
              <w:right w:val="nil"/>
            </w:tcBorders>
          </w:tcPr>
          <w:p w:rsidR="00252063" w:rsidRDefault="00252063">
            <w:pPr>
              <w:widowControl w:val="0"/>
              <w:kinsoku w:val="0"/>
              <w:overflowPunct w:val="0"/>
              <w:spacing w:after="3" w:line="229" w:lineRule="atLeast"/>
              <w:ind w:left="13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8" name="Picture 8"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Pic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2" w:type="dxa"/>
            <w:tcBorders>
              <w:top w:val="nil"/>
              <w:left w:val="nil"/>
              <w:bottom w:val="nil"/>
              <w:right w:val="nil"/>
            </w:tcBorders>
            <w:vAlign w:val="center"/>
          </w:tcPr>
          <w:p w:rsidR="00252063" w:rsidRDefault="00252063">
            <w:pPr>
              <w:widowControl w:val="0"/>
              <w:kinsoku w:val="0"/>
              <w:overflowPunct w:val="0"/>
              <w:spacing w:after="10" w:line="207" w:lineRule="exact"/>
              <w:ind w:right="2659"/>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252063" w:rsidRDefault="00252063">
      <w:pPr>
        <w:widowControl w:val="0"/>
        <w:kinsoku w:val="0"/>
        <w:overflowPunct w:val="0"/>
        <w:spacing w:after="736" w:line="20" w:lineRule="exact"/>
        <w:textAlignment w:val="baseline"/>
        <w:rPr>
          <w:rFonts w:ascii="Times New Roman" w:hAnsi="Times New Roman" w:cs="Times New Roman"/>
          <w:sz w:val="24"/>
          <w:szCs w:val="24"/>
          <w:lang w:val="en-US"/>
        </w:rPr>
      </w:pPr>
    </w:p>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tabs>
          <w:tab w:val="left" w:pos="2880"/>
        </w:tabs>
        <w:kinsoku w:val="0"/>
        <w:overflowPunct w:val="0"/>
        <w:spacing w:before="122" w:after="0" w:line="249" w:lineRule="exact"/>
        <w:ind w:left="2808" w:right="432"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Outcomes</w:t>
      </w:r>
      <w:r>
        <w:rPr>
          <w:rFonts w:ascii="Bookman Old Style" w:hAnsi="Bookman Old Style" w:cs="Times New Roman"/>
          <w:sz w:val="19"/>
          <w:szCs w:val="24"/>
          <w:lang w:val="en-US"/>
        </w:rPr>
        <w:tab/>
        <w:t>The Government's objectives in each Portfolio area. Outcomes are desired results, impacts or consequences for the Australian community as influenced by the actions of the Commonwealth. Actual outcomes are assessments of the results or impacts actually achieved.</w:t>
      </w:r>
    </w:p>
    <w:p w:rsidR="00252063" w:rsidRDefault="00252063">
      <w:pPr>
        <w:widowControl w:val="0"/>
        <w:tabs>
          <w:tab w:val="left" w:pos="2880"/>
        </w:tabs>
        <w:kinsoku w:val="0"/>
        <w:overflowPunct w:val="0"/>
        <w:spacing w:before="114" w:after="0" w:line="249" w:lineRule="exact"/>
        <w:ind w:left="2808" w:right="144" w:hanging="2664"/>
        <w:textAlignment w:val="baseline"/>
        <w:rPr>
          <w:rFonts w:ascii="Bookman Old Style" w:hAnsi="Bookman Old Style" w:cs="Times New Roman"/>
          <w:spacing w:val="-5"/>
          <w:sz w:val="19"/>
          <w:szCs w:val="24"/>
          <w:lang w:val="en-US"/>
        </w:rPr>
      </w:pPr>
      <w:r>
        <w:rPr>
          <w:rFonts w:ascii="Bookman Old Style" w:hAnsi="Bookman Old Style" w:cs="Times New Roman"/>
          <w:spacing w:val="-5"/>
          <w:sz w:val="19"/>
          <w:szCs w:val="24"/>
          <w:lang w:val="en-US"/>
        </w:rPr>
        <w:t>Parameters</w:t>
      </w:r>
      <w:r>
        <w:rPr>
          <w:rFonts w:ascii="Bookman Old Style" w:hAnsi="Bookman Old Style" w:cs="Times New Roman"/>
          <w:spacing w:val="-5"/>
          <w:sz w:val="19"/>
          <w:szCs w:val="24"/>
          <w:lang w:val="en-US"/>
        </w:rPr>
        <w:tab/>
        <w:t>Agency funding is routinely adjusted for changes in parameters to ensure agency funding keeps pace with forecast changes in the economy. The Department of the Treasury calculates parameter rates, which factor in various economic indicators including inflation, production levels and exchange rates.</w:t>
      </w:r>
    </w:p>
    <w:p w:rsidR="00252063" w:rsidRDefault="00252063">
      <w:pPr>
        <w:widowControl w:val="0"/>
        <w:tabs>
          <w:tab w:val="left" w:pos="2880"/>
        </w:tabs>
        <w:kinsoku w:val="0"/>
        <w:overflowPunct w:val="0"/>
        <w:spacing w:before="118" w:after="0" w:line="249"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Portfolio Budget</w:t>
      </w:r>
      <w:r>
        <w:rPr>
          <w:rFonts w:ascii="Bookman Old Style" w:hAnsi="Bookman Old Style" w:cs="Times New Roman"/>
          <w:spacing w:val="-2"/>
          <w:sz w:val="19"/>
          <w:szCs w:val="24"/>
          <w:lang w:val="en-US"/>
        </w:rPr>
        <w:tab/>
        <w:t>Budget related paper detailing Budget initiatives and</w:t>
      </w:r>
    </w:p>
    <w:p w:rsidR="00252063" w:rsidRDefault="00252063">
      <w:pPr>
        <w:widowControl w:val="0"/>
        <w:tabs>
          <w:tab w:val="left" w:pos="2880"/>
        </w:tabs>
        <w:kinsoku w:val="0"/>
        <w:overflowPunct w:val="0"/>
        <w:spacing w:before="5" w:after="0" w:line="249" w:lineRule="exact"/>
        <w:ind w:left="2808" w:right="288" w:hanging="266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Statements (PB Statements)</w:t>
      </w:r>
      <w:r>
        <w:rPr>
          <w:rFonts w:ascii="Bookman Old Style" w:hAnsi="Bookman Old Style" w:cs="Times New Roman"/>
          <w:spacing w:val="-4"/>
          <w:sz w:val="19"/>
          <w:szCs w:val="24"/>
          <w:lang w:val="en-US"/>
        </w:rPr>
        <w:tab/>
        <w:t>explanations of appropriations specified by outcome and program by each directly appropriated entity within a Portfolio.</w:t>
      </w:r>
    </w:p>
    <w:p w:rsidR="00252063" w:rsidRDefault="00252063">
      <w:pPr>
        <w:widowControl w:val="0"/>
        <w:tabs>
          <w:tab w:val="left" w:pos="2880"/>
        </w:tabs>
        <w:kinsoku w:val="0"/>
        <w:overflowPunct w:val="0"/>
        <w:spacing w:before="117" w:after="0" w:line="249" w:lineRule="exact"/>
        <w:ind w:left="2808" w:right="288" w:hanging="266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Program</w:t>
      </w:r>
      <w:r>
        <w:rPr>
          <w:rFonts w:ascii="Bookman Old Style" w:hAnsi="Bookman Old Style" w:cs="Times New Roman"/>
          <w:spacing w:val="-6"/>
          <w:sz w:val="19"/>
          <w:szCs w:val="24"/>
          <w:lang w:val="en-US"/>
        </w:rPr>
        <w:tab/>
        <w:t>Activity that delivers benefits, services or transfer payments to individuals, industry and/or the community as a whole, with the aim of achieving the intended result specified in an outcome statement.</w:t>
      </w:r>
    </w:p>
    <w:p w:rsidR="00252063" w:rsidRDefault="00252063">
      <w:pPr>
        <w:widowControl w:val="0"/>
        <w:tabs>
          <w:tab w:val="left" w:pos="2880"/>
        </w:tabs>
        <w:kinsoku w:val="0"/>
        <w:overflowPunct w:val="0"/>
        <w:spacing w:before="114" w:after="111" w:line="249" w:lineRule="exact"/>
        <w:ind w:left="2808" w:right="216"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Program support</w:t>
      </w:r>
      <w:r>
        <w:rPr>
          <w:rFonts w:ascii="Bookman Old Style" w:hAnsi="Bookman Old Style" w:cs="Times New Roman"/>
          <w:sz w:val="19"/>
          <w:szCs w:val="24"/>
          <w:lang w:val="en-US"/>
        </w:rPr>
        <w:tab/>
        <w:t>The entity’s running costs allocated to a program. This is funded through an entity‘s departmental appropriations. departmental appropriation splits and totals are indicative estimates and may change in the course of the Budget year as government priorities change.</w:t>
      </w:r>
    </w:p>
    <w:tbl>
      <w:tblPr>
        <w:tblW w:w="0" w:type="auto"/>
        <w:tblLayout w:type="fixed"/>
        <w:tblCellMar>
          <w:left w:w="0" w:type="dxa"/>
          <w:right w:w="0" w:type="dxa"/>
        </w:tblCellMar>
        <w:tblLook w:val="0000" w:firstRow="0" w:lastRow="0" w:firstColumn="0" w:lastColumn="0" w:noHBand="0" w:noVBand="0"/>
      </w:tblPr>
      <w:tblGrid>
        <w:gridCol w:w="2483"/>
        <w:gridCol w:w="5297"/>
      </w:tblGrid>
      <w:tr w:rsidR="00252063">
        <w:tblPrEx>
          <w:tblCellMar>
            <w:top w:w="0" w:type="dxa"/>
            <w:left w:w="0" w:type="dxa"/>
            <w:bottom w:w="0" w:type="dxa"/>
            <w:right w:w="0" w:type="dxa"/>
          </w:tblCellMar>
        </w:tblPrEx>
        <w:trPr>
          <w:trHeight w:hRule="exact" w:val="1751"/>
        </w:trPr>
        <w:tc>
          <w:tcPr>
            <w:tcW w:w="2483" w:type="dxa"/>
            <w:tcBorders>
              <w:top w:val="nil"/>
              <w:left w:val="nil"/>
              <w:bottom w:val="nil"/>
              <w:right w:val="nil"/>
            </w:tcBorders>
          </w:tcPr>
          <w:p w:rsidR="00252063" w:rsidRDefault="00252063">
            <w:pPr>
              <w:widowControl w:val="0"/>
              <w:kinsoku w:val="0"/>
              <w:overflowPunct w:val="0"/>
              <w:spacing w:after="773" w:line="242" w:lineRule="exact"/>
              <w:ind w:left="144"/>
              <w:textAlignment w:val="baseline"/>
              <w:rPr>
                <w:rFonts w:ascii="Bookman Old Style" w:hAnsi="Bookman Old Style" w:cs="Times New Roman"/>
                <w:sz w:val="19"/>
                <w:szCs w:val="24"/>
                <w:lang w:val="en-US"/>
              </w:rPr>
            </w:pPr>
            <w:r>
              <w:rPr>
                <w:rFonts w:ascii="Bookman Old Style" w:hAnsi="Bookman Old Style" w:cs="Times New Roman"/>
                <w:i/>
                <w:sz w:val="19"/>
                <w:szCs w:val="24"/>
                <w:lang w:val="en-US"/>
              </w:rPr>
              <w:t xml:space="preserve">Public Governance, Performance and Accountability Act 2013 </w:t>
            </w:r>
            <w:r>
              <w:rPr>
                <w:rFonts w:ascii="Bookman Old Style" w:hAnsi="Bookman Old Style" w:cs="Times New Roman"/>
                <w:sz w:val="19"/>
                <w:szCs w:val="24"/>
                <w:lang w:val="en-US"/>
              </w:rPr>
              <w:t>(PGPA Act)</w:t>
            </w:r>
          </w:p>
        </w:tc>
        <w:tc>
          <w:tcPr>
            <w:tcW w:w="5297" w:type="dxa"/>
            <w:tcBorders>
              <w:top w:val="nil"/>
              <w:left w:val="nil"/>
              <w:bottom w:val="nil"/>
              <w:right w:val="nil"/>
            </w:tcBorders>
          </w:tcPr>
          <w:p w:rsidR="00252063" w:rsidRDefault="00252063">
            <w:pPr>
              <w:widowControl w:val="0"/>
              <w:kinsoku w:val="0"/>
              <w:overflowPunct w:val="0"/>
              <w:spacing w:after="5" w:line="249" w:lineRule="exact"/>
              <w:ind w:left="360" w:right="396"/>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 PGPA Act is the primary piece of Commonwealth resource management legislation. The PGPA Act establishes a coherent system of governance and accountability for public resources, with an emphasis on planning, performance and reporting. It applies to all Commonwealth entities and Commonwealth companies.</w:t>
            </w:r>
          </w:p>
        </w:tc>
      </w:tr>
    </w:tbl>
    <w:p w:rsidR="00252063" w:rsidRDefault="00252063">
      <w:pPr>
        <w:widowControl w:val="0"/>
        <w:kinsoku w:val="0"/>
        <w:overflowPunct w:val="0"/>
        <w:spacing w:after="88" w:line="20" w:lineRule="exact"/>
        <w:textAlignment w:val="baseline"/>
        <w:rPr>
          <w:rFonts w:ascii="Times New Roman" w:hAnsi="Times New Roman" w:cs="Times New Roman"/>
          <w:sz w:val="24"/>
          <w:szCs w:val="24"/>
          <w:lang w:val="en-US"/>
        </w:rPr>
      </w:pPr>
    </w:p>
    <w:p w:rsidR="00252063" w:rsidRDefault="00252063">
      <w:pPr>
        <w:widowControl w:val="0"/>
        <w:tabs>
          <w:tab w:val="left" w:pos="2808"/>
        </w:tabs>
        <w:kinsoku w:val="0"/>
        <w:overflowPunct w:val="0"/>
        <w:spacing w:after="0" w:line="249" w:lineRule="exact"/>
        <w:ind w:left="2808" w:right="360" w:hanging="266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Revenue</w:t>
      </w:r>
      <w:r>
        <w:rPr>
          <w:rFonts w:ascii="Bookman Old Style" w:hAnsi="Bookman Old Style" w:cs="Times New Roman"/>
          <w:sz w:val="19"/>
          <w:szCs w:val="24"/>
          <w:lang w:val="en-US"/>
        </w:rPr>
        <w:tab/>
        <w:t>Total value of resources earned or received to cover the production of goods and services.</w:t>
      </w:r>
    </w:p>
    <w:p w:rsidR="00252063" w:rsidRDefault="00252063">
      <w:pPr>
        <w:widowControl w:val="0"/>
        <w:tabs>
          <w:tab w:val="left" w:pos="2808"/>
        </w:tabs>
        <w:kinsoku w:val="0"/>
        <w:overflowPunct w:val="0"/>
        <w:spacing w:before="121" w:after="1378" w:line="249" w:lineRule="exact"/>
        <w:ind w:left="2808" w:right="144" w:hanging="2664"/>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Right of use asset</w:t>
      </w:r>
      <w:r>
        <w:rPr>
          <w:rFonts w:ascii="Bookman Old Style" w:hAnsi="Bookman Old Style" w:cs="Times New Roman"/>
          <w:spacing w:val="-7"/>
          <w:sz w:val="19"/>
          <w:szCs w:val="24"/>
          <w:lang w:val="en-US"/>
        </w:rPr>
        <w:tab/>
        <w:t>An asset that represents a lessee’s right to use an asset that is the subject of a lease, for the lease term.</w:t>
      </w:r>
    </w:p>
    <w:p w:rsidR="00252063" w:rsidRDefault="00E7390B">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72576"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87B46"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u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" o:allowincell="f" strokeweight=".7pt">
                <w10:wrap type="square" anchorx="page" anchory="page"/>
              </v:line>
            </w:pict>
          </mc:Fallback>
        </mc:AlternateContent>
      </w:r>
      <w:r w:rsidR="00252063">
        <w:rPr>
          <w:rFonts w:ascii="Arial" w:hAnsi="Arial" w:cs="Times New Roman"/>
          <w:b/>
          <w:sz w:val="17"/>
          <w:szCs w:val="24"/>
          <w:lang w:val="en-US"/>
        </w:rPr>
        <w:t>Page 124 | Portfolio glossary</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1099" w:bottom="197" w:left="1100" w:header="720" w:footer="720" w:gutter="0"/>
          <w:cols w:space="720"/>
          <w:noEndnote/>
        </w:sectPr>
      </w:pPr>
    </w:p>
    <w:p w:rsidR="00252063" w:rsidRDefault="00E7390B">
      <w:pPr>
        <w:widowControl w:val="0"/>
        <w:kinsoku w:val="0"/>
        <w:overflowPunct w:val="0"/>
        <w:spacing w:before="11" w:after="759" w:line="207" w:lineRule="exact"/>
        <w:textAlignment w:val="baseline"/>
        <w:rPr>
          <w:rFonts w:ascii="Arial" w:hAnsi="Arial" w:cs="Times New Roman"/>
          <w:b/>
          <w:spacing w:val="-4"/>
          <w:sz w:val="17"/>
          <w:szCs w:val="24"/>
          <w:lang w:val="en-US"/>
        </w:rPr>
      </w:pPr>
      <w:r>
        <w:rPr>
          <w:noProof/>
        </w:rPr>
        <w:lastRenderedPageBreak/>
        <mc:AlternateContent>
          <mc:Choice Requires="wps">
            <w:drawing>
              <wp:anchor distT="0" distB="0" distL="0" distR="0" simplePos="0" relativeHeight="251673600" behindDoc="0" locked="0" layoutInCell="0" allowOverlap="1">
                <wp:simplePos x="0" y="0"/>
                <wp:positionH relativeFrom="page">
                  <wp:posOffset>4681855</wp:posOffset>
                </wp:positionH>
                <wp:positionV relativeFrom="page">
                  <wp:posOffset>341630</wp:posOffset>
                </wp:positionV>
                <wp:extent cx="923290" cy="133985"/>
                <wp:effectExtent l="0" t="0" r="0" b="0"/>
                <wp:wrapSquare wrapText="bothSides"/>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063" w:rsidRDefault="00252063">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0" name="Picture 10"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368.65pt;margin-top:26.9pt;width:72.7pt;height:10.5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" o:allowincell="f" stroked="f">
                <v:fill opacity="0"/>
                <v:textbox inset="0,0,0,0">
                  <w:txbxContent>
                    <w:p w:rsidR="00252063" w:rsidRDefault="00252063">
                      <w:pPr>
                        <w:widowControl w:val="0"/>
                        <w:kinsoku w:val="0"/>
                        <w:overflowPunct w:val="0"/>
                        <w:spacing w:after="0" w:line="211"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0" name="Picture 10"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252063">
        <w:rPr>
          <w:rFonts w:ascii="Arial" w:hAnsi="Arial" w:cs="Times New Roman"/>
          <w:b/>
          <w:spacing w:val="-4"/>
          <w:sz w:val="17"/>
          <w:szCs w:val="24"/>
          <w:lang w:val="en-US"/>
        </w:rPr>
        <w:t>Portfolio Additional Estimates Statements |</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2694" w:bottom="197" w:left="3845" w:header="720" w:footer="720" w:gutter="0"/>
          <w:cols w:space="720"/>
          <w:noEndnote/>
        </w:sectPr>
      </w:pPr>
    </w:p>
    <w:p w:rsidR="00252063" w:rsidRDefault="00252063">
      <w:pPr>
        <w:widowControl w:val="0"/>
        <w:tabs>
          <w:tab w:val="left" w:pos="2880"/>
        </w:tabs>
        <w:kinsoku w:val="0"/>
        <w:overflowPunct w:val="0"/>
        <w:spacing w:before="4" w:after="0" w:line="212" w:lineRule="exact"/>
        <w:ind w:left="144"/>
        <w:textAlignment w:val="baseline"/>
        <w:rPr>
          <w:rFonts w:ascii="Arial" w:hAnsi="Arial" w:cs="Times New Roman"/>
          <w:b/>
          <w:spacing w:val="-2"/>
          <w:sz w:val="19"/>
          <w:szCs w:val="24"/>
          <w:lang w:val="en-US"/>
        </w:rPr>
      </w:pPr>
      <w:r>
        <w:rPr>
          <w:rFonts w:ascii="Arial" w:hAnsi="Arial" w:cs="Times New Roman"/>
          <w:b/>
          <w:spacing w:val="-2"/>
          <w:sz w:val="19"/>
          <w:szCs w:val="24"/>
          <w:lang w:val="en-US"/>
        </w:rPr>
        <w:t>Term</w:t>
      </w:r>
      <w:r>
        <w:rPr>
          <w:rFonts w:ascii="Arial" w:hAnsi="Arial" w:cs="Times New Roman"/>
          <w:b/>
          <w:spacing w:val="-2"/>
          <w:sz w:val="19"/>
          <w:szCs w:val="24"/>
          <w:lang w:val="en-US"/>
        </w:rPr>
        <w:tab/>
        <w:t>Meaning</w:t>
      </w:r>
    </w:p>
    <w:p w:rsidR="00252063" w:rsidRDefault="00252063">
      <w:pPr>
        <w:widowControl w:val="0"/>
        <w:tabs>
          <w:tab w:val="left" w:pos="2880"/>
        </w:tabs>
        <w:kinsoku w:val="0"/>
        <w:overflowPunct w:val="0"/>
        <w:spacing w:before="120" w:after="0" w:line="249" w:lineRule="exact"/>
        <w:ind w:left="2808" w:right="144" w:hanging="266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Special Account</w:t>
      </w:r>
      <w:r>
        <w:rPr>
          <w:rFonts w:ascii="Times New Roman" w:hAnsi="Times New Roman" w:cs="Times New Roman"/>
          <w:spacing w:val="3"/>
          <w:sz w:val="21"/>
          <w:szCs w:val="24"/>
          <w:lang w:val="en-US"/>
        </w:rPr>
        <w:tab/>
        <w:t>Special accounts allow money in the CRF to be acknowledged as set-aside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p w:rsidR="00252063" w:rsidRDefault="00252063">
      <w:pPr>
        <w:widowControl w:val="0"/>
        <w:tabs>
          <w:tab w:val="left" w:pos="2880"/>
        </w:tabs>
        <w:kinsoku w:val="0"/>
        <w:overflowPunct w:val="0"/>
        <w:spacing w:before="118" w:after="0" w:line="249"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Special Appropriations</w:t>
      </w:r>
      <w:r>
        <w:rPr>
          <w:rFonts w:ascii="Times New Roman" w:hAnsi="Times New Roman" w:cs="Times New Roman"/>
          <w:spacing w:val="3"/>
          <w:sz w:val="21"/>
          <w:szCs w:val="24"/>
          <w:lang w:val="en-US"/>
        </w:rPr>
        <w:tab/>
        <w:t>Authority within an Act (other than the annual</w:t>
      </w:r>
    </w:p>
    <w:p w:rsidR="00252063" w:rsidRDefault="00252063">
      <w:pPr>
        <w:widowControl w:val="0"/>
        <w:tabs>
          <w:tab w:val="left" w:pos="2880"/>
        </w:tabs>
        <w:kinsoku w:val="0"/>
        <w:overflowPunct w:val="0"/>
        <w:spacing w:before="1" w:after="0" w:line="249" w:lineRule="exact"/>
        <w:ind w:left="144"/>
        <w:textAlignment w:val="baseline"/>
        <w:rPr>
          <w:rFonts w:ascii="Times New Roman" w:hAnsi="Times New Roman" w:cs="Times New Roman"/>
          <w:spacing w:val="2"/>
          <w:sz w:val="21"/>
          <w:szCs w:val="24"/>
          <w:lang w:val="en-US"/>
        </w:rPr>
      </w:pPr>
      <w:r>
        <w:rPr>
          <w:rFonts w:ascii="Times New Roman" w:hAnsi="Times New Roman" w:cs="Times New Roman"/>
          <w:spacing w:val="2"/>
          <w:sz w:val="21"/>
          <w:szCs w:val="24"/>
          <w:lang w:val="en-US"/>
        </w:rPr>
        <w:t>(including Standing</w:t>
      </w:r>
      <w:r>
        <w:rPr>
          <w:rFonts w:ascii="Times New Roman" w:hAnsi="Times New Roman" w:cs="Times New Roman"/>
          <w:spacing w:val="2"/>
          <w:sz w:val="21"/>
          <w:szCs w:val="24"/>
          <w:lang w:val="en-US"/>
        </w:rPr>
        <w:tab/>
        <w:t>Appropriation Acts) to spend money from the CRF</w:t>
      </w:r>
    </w:p>
    <w:p w:rsidR="00252063" w:rsidRDefault="00252063">
      <w:pPr>
        <w:widowControl w:val="0"/>
        <w:tabs>
          <w:tab w:val="left" w:pos="2880"/>
        </w:tabs>
        <w:kinsoku w:val="0"/>
        <w:overflowPunct w:val="0"/>
        <w:spacing w:after="0" w:line="248" w:lineRule="exact"/>
        <w:ind w:left="2808" w:right="360"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Appropriations)</w:t>
      </w:r>
      <w:r>
        <w:rPr>
          <w:rFonts w:ascii="Times New Roman" w:hAnsi="Times New Roman" w:cs="Times New Roman"/>
          <w:sz w:val="21"/>
          <w:szCs w:val="24"/>
          <w:lang w:val="en-US"/>
        </w:rPr>
        <w:tab/>
        <w:t>for particular purposes. For special appropriations, the authority to withdraw funds from the CRF does not generally cease at the end of the financial year.</w:t>
      </w:r>
    </w:p>
    <w:p w:rsidR="00252063" w:rsidRDefault="00252063">
      <w:pPr>
        <w:widowControl w:val="0"/>
        <w:kinsoku w:val="0"/>
        <w:overflowPunct w:val="0"/>
        <w:spacing w:before="118" w:after="0" w:line="249" w:lineRule="exact"/>
        <w:ind w:left="2808" w:righ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Standing appropriations are a sub-category consisting of ongoing special appropriations - the amount appropriated will depend on circumstances specified in the legislation.</w:t>
      </w:r>
    </w:p>
    <w:p w:rsidR="00252063" w:rsidRDefault="00252063">
      <w:pPr>
        <w:widowControl w:val="0"/>
        <w:tabs>
          <w:tab w:val="left" w:pos="2880"/>
        </w:tabs>
        <w:kinsoku w:val="0"/>
        <w:overflowPunct w:val="0"/>
        <w:spacing w:before="117" w:after="0" w:line="249" w:lineRule="exact"/>
        <w:ind w:left="2808" w:right="144" w:hanging="266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Statutory Authority</w:t>
      </w:r>
      <w:r>
        <w:rPr>
          <w:rFonts w:ascii="Times New Roman" w:hAnsi="Times New Roman" w:cs="Times New Roman"/>
          <w:sz w:val="21"/>
          <w:szCs w:val="24"/>
          <w:lang w:val="en-US"/>
        </w:rPr>
        <w:tab/>
        <w:t>An Australian Government body established through legislation for a public purpose. This can include a body headed by, or comprising, an office holder, a commission or a governing board.</w:t>
      </w:r>
    </w:p>
    <w:p w:rsidR="00252063" w:rsidRDefault="00252063">
      <w:pPr>
        <w:widowControl w:val="0"/>
        <w:tabs>
          <w:tab w:val="left" w:pos="2880"/>
        </w:tabs>
        <w:kinsoku w:val="0"/>
        <w:overflowPunct w:val="0"/>
        <w:spacing w:before="118" w:after="4473" w:line="249" w:lineRule="exact"/>
        <w:ind w:left="2808" w:right="144" w:hanging="266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Underlying cash balance</w:t>
      </w:r>
      <w:r>
        <w:rPr>
          <w:rFonts w:ascii="Times New Roman" w:hAnsi="Times New Roman" w:cs="Times New Roman"/>
          <w:spacing w:val="3"/>
          <w:sz w:val="21"/>
          <w:szCs w:val="24"/>
          <w:lang w:val="en-US"/>
        </w:rPr>
        <w:tab/>
        <w:t>A cash measure that shows whether the government has to borrow from financial markets to cover its activities. Underlying cash balance generally includes operating receipts, less operating payments, less investment in non-financial assets.</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type w:val="continuous"/>
          <w:pgSz w:w="9979" w:h="14174"/>
          <w:pgMar w:top="520" w:right="1109" w:bottom="197" w:left="1090" w:header="720" w:footer="720" w:gutter="0"/>
          <w:cols w:space="720"/>
          <w:noEndnote/>
        </w:sectPr>
      </w:pPr>
    </w:p>
    <w:p w:rsidR="00252063" w:rsidRDefault="00E7390B">
      <w:pPr>
        <w:widowControl w:val="0"/>
        <w:kinsoku w:val="0"/>
        <w:overflowPunct w:val="0"/>
        <w:spacing w:before="222" w:after="0" w:line="207" w:lineRule="exact"/>
        <w:jc w:val="right"/>
        <w:textAlignment w:val="baseline"/>
        <w:rPr>
          <w:rFonts w:ascii="Arial" w:hAnsi="Arial" w:cs="Times New Roman"/>
          <w:b/>
          <w:spacing w:val="-1"/>
          <w:sz w:val="17"/>
          <w:szCs w:val="24"/>
          <w:lang w:val="en-US"/>
        </w:rPr>
      </w:pPr>
      <w:r>
        <w:rPr>
          <w:noProof/>
        </w:rPr>
        <mc:AlternateContent>
          <mc:Choice Requires="wps">
            <w:drawing>
              <wp:anchor distT="0" distB="0" distL="0" distR="0" simplePos="0" relativeHeight="251674624"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84FA"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kSEwIAACo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" o:allowincell="f" strokeweight=".7pt">
                <w10:wrap type="square" anchorx="page" anchory="page"/>
              </v:line>
            </w:pict>
          </mc:Fallback>
        </mc:AlternateContent>
      </w:r>
      <w:r w:rsidR="00252063">
        <w:rPr>
          <w:rFonts w:ascii="Arial" w:hAnsi="Arial" w:cs="Times New Roman"/>
          <w:b/>
          <w:spacing w:val="-1"/>
          <w:sz w:val="17"/>
          <w:szCs w:val="24"/>
          <w:lang w:val="en-US"/>
        </w:rPr>
        <w:t>Portfolio glossary | Page 125</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type w:val="continuous"/>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82"/>
        <w:gridCol w:w="6298"/>
      </w:tblGrid>
      <w:tr w:rsidR="00252063">
        <w:tblPrEx>
          <w:tblCellMar>
            <w:top w:w="0" w:type="dxa"/>
            <w:left w:w="0" w:type="dxa"/>
            <w:bottom w:w="0" w:type="dxa"/>
            <w:right w:w="0" w:type="dxa"/>
          </w:tblCellMar>
        </w:tblPrEx>
        <w:trPr>
          <w:trHeight w:hRule="exact" w:val="264"/>
        </w:trPr>
        <w:tc>
          <w:tcPr>
            <w:tcW w:w="1482" w:type="dxa"/>
            <w:tcBorders>
              <w:top w:val="nil"/>
              <w:left w:val="nil"/>
              <w:bottom w:val="nil"/>
              <w:right w:val="nil"/>
            </w:tcBorders>
          </w:tcPr>
          <w:p w:rsidR="00252063" w:rsidRDefault="00252063">
            <w:pPr>
              <w:widowControl w:val="0"/>
              <w:kinsoku w:val="0"/>
              <w:overflowPunct w:val="0"/>
              <w:spacing w:after="34" w:line="230"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11" name="Picture 11" descr="_Pi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298" w:type="dxa"/>
            <w:tcBorders>
              <w:top w:val="nil"/>
              <w:left w:val="nil"/>
              <w:bottom w:val="nil"/>
              <w:right w:val="nil"/>
            </w:tcBorders>
            <w:vAlign w:val="center"/>
          </w:tcPr>
          <w:p w:rsidR="00252063" w:rsidRDefault="00252063">
            <w:pPr>
              <w:widowControl w:val="0"/>
              <w:kinsoku w:val="0"/>
              <w:overflowPunct w:val="0"/>
              <w:spacing w:after="34" w:line="207" w:lineRule="exact"/>
              <w:ind w:right="2760"/>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252063" w:rsidRDefault="00252063">
      <w:pPr>
        <w:widowControl w:val="0"/>
        <w:kinsoku w:val="0"/>
        <w:overflowPunct w:val="0"/>
        <w:spacing w:after="988" w:line="20" w:lineRule="exact"/>
        <w:textAlignment w:val="baseline"/>
        <w:rPr>
          <w:rFonts w:ascii="Times New Roman" w:hAnsi="Times New Roman" w:cs="Times New Roman"/>
          <w:sz w:val="24"/>
          <w:szCs w:val="24"/>
          <w:lang w:val="en-US"/>
        </w:rPr>
      </w:pPr>
    </w:p>
    <w:p w:rsidR="00252063" w:rsidRDefault="00252063">
      <w:pPr>
        <w:widowControl w:val="0"/>
        <w:kinsoku w:val="0"/>
        <w:overflowPunct w:val="0"/>
        <w:spacing w:before="3" w:after="0" w:line="412" w:lineRule="exact"/>
        <w:textAlignment w:val="baseline"/>
        <w:rPr>
          <w:rFonts w:ascii="Arial" w:hAnsi="Arial" w:cs="Times New Roman"/>
          <w:b/>
          <w:w w:val="95"/>
          <w:sz w:val="36"/>
          <w:szCs w:val="24"/>
          <w:lang w:val="en-US"/>
        </w:rPr>
      </w:pPr>
      <w:r>
        <w:rPr>
          <w:rFonts w:ascii="Arial" w:hAnsi="Arial" w:cs="Times New Roman"/>
          <w:b/>
          <w:w w:val="95"/>
          <w:sz w:val="36"/>
          <w:szCs w:val="24"/>
          <w:lang w:val="en-US"/>
        </w:rPr>
        <w:t>Acronyms</w:t>
      </w:r>
    </w:p>
    <w:p w:rsidR="00252063" w:rsidRDefault="00252063">
      <w:pPr>
        <w:widowControl w:val="0"/>
        <w:tabs>
          <w:tab w:val="left" w:pos="1800"/>
        </w:tabs>
        <w:kinsoku w:val="0"/>
        <w:overflowPunct w:val="0"/>
        <w:spacing w:before="170" w:after="0" w:line="235" w:lineRule="exact"/>
        <w:ind w:left="144"/>
        <w:textAlignment w:val="baseline"/>
        <w:rPr>
          <w:rFonts w:ascii="Bookman Old Style" w:hAnsi="Bookman Old Style" w:cs="Times New Roman"/>
          <w:b/>
          <w:sz w:val="19"/>
          <w:szCs w:val="24"/>
          <w:lang w:val="en-US"/>
        </w:rPr>
      </w:pPr>
      <w:r>
        <w:rPr>
          <w:rFonts w:ascii="Bookman Old Style" w:hAnsi="Bookman Old Style" w:cs="Times New Roman"/>
          <w:b/>
          <w:sz w:val="19"/>
          <w:szCs w:val="24"/>
          <w:lang w:val="en-US"/>
        </w:rPr>
        <w:t>Acronym</w:t>
      </w:r>
      <w:r>
        <w:rPr>
          <w:rFonts w:ascii="Bookman Old Style" w:hAnsi="Bookman Old Style" w:cs="Times New Roman"/>
          <w:b/>
          <w:sz w:val="19"/>
          <w:szCs w:val="24"/>
          <w:lang w:val="en-US"/>
        </w:rPr>
        <w:tab/>
        <w:t>Meaning</w:t>
      </w:r>
    </w:p>
    <w:p w:rsidR="00252063" w:rsidRDefault="00252063">
      <w:pPr>
        <w:widowControl w:val="0"/>
        <w:tabs>
          <w:tab w:val="left" w:pos="1800"/>
        </w:tabs>
        <w:kinsoku w:val="0"/>
        <w:overflowPunct w:val="0"/>
        <w:spacing w:before="221" w:after="0" w:line="237" w:lineRule="exact"/>
        <w:ind w:left="144"/>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AAO</w:t>
      </w:r>
      <w:r>
        <w:rPr>
          <w:rFonts w:ascii="Bookman Old Style" w:hAnsi="Bookman Old Style" w:cs="Times New Roman"/>
          <w:spacing w:val="-1"/>
          <w:sz w:val="19"/>
          <w:szCs w:val="24"/>
          <w:lang w:val="en-US"/>
        </w:rPr>
        <w:tab/>
        <w:t>Administrative Arrangements Order</w:t>
      </w:r>
    </w:p>
    <w:p w:rsidR="00252063" w:rsidRDefault="00252063">
      <w:pPr>
        <w:widowControl w:val="0"/>
        <w:tabs>
          <w:tab w:val="left" w:pos="1800"/>
        </w:tabs>
        <w:kinsoku w:val="0"/>
        <w:overflowPunct w:val="0"/>
        <w:spacing w:before="215" w:after="0" w:line="237" w:lineRule="exact"/>
        <w:ind w:lef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AASB</w:t>
      </w:r>
      <w:r>
        <w:rPr>
          <w:rFonts w:ascii="Bookman Old Style" w:hAnsi="Bookman Old Style" w:cs="Times New Roman"/>
          <w:spacing w:val="-3"/>
          <w:sz w:val="19"/>
          <w:szCs w:val="24"/>
          <w:lang w:val="en-US"/>
        </w:rPr>
        <w:tab/>
        <w:t>Australian Accounting Standards Board</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ABC</w:t>
      </w:r>
      <w:r>
        <w:rPr>
          <w:rFonts w:ascii="Bookman Old Style" w:hAnsi="Bookman Old Style" w:cs="Times New Roman"/>
          <w:spacing w:val="-3"/>
          <w:sz w:val="19"/>
          <w:szCs w:val="24"/>
          <w:lang w:val="en-US"/>
        </w:rPr>
        <w:tab/>
        <w:t>Australian Broadcasting Corporation</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ACB</w:t>
      </w:r>
      <w:r>
        <w:rPr>
          <w:rFonts w:ascii="Bookman Old Style" w:hAnsi="Bookman Old Style" w:cs="Times New Roman"/>
          <w:spacing w:val="-1"/>
          <w:sz w:val="19"/>
          <w:szCs w:val="24"/>
          <w:lang w:val="en-US"/>
        </w:rPr>
        <w:tab/>
        <w:t>Administered Capital Budget</w:t>
      </w:r>
    </w:p>
    <w:p w:rsidR="00252063" w:rsidRDefault="00252063">
      <w:pPr>
        <w:widowControl w:val="0"/>
        <w:tabs>
          <w:tab w:val="left" w:pos="1800"/>
        </w:tabs>
        <w:kinsoku w:val="0"/>
        <w:overflowPunct w:val="0"/>
        <w:spacing w:before="214"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ACCAN</w:t>
      </w:r>
      <w:r>
        <w:rPr>
          <w:rFonts w:ascii="Bookman Old Style" w:hAnsi="Bookman Old Style" w:cs="Times New Roman"/>
          <w:spacing w:val="-2"/>
          <w:sz w:val="19"/>
          <w:szCs w:val="24"/>
          <w:lang w:val="en-US"/>
        </w:rPr>
        <w:tab/>
        <w:t>Australian Communications Consumer Action Network</w:t>
      </w:r>
    </w:p>
    <w:p w:rsidR="00252063" w:rsidRDefault="00252063">
      <w:pPr>
        <w:widowControl w:val="0"/>
        <w:tabs>
          <w:tab w:val="left" w:pos="1800"/>
        </w:tabs>
        <w:kinsoku w:val="0"/>
        <w:overflowPunct w:val="0"/>
        <w:spacing w:before="209" w:after="0" w:line="242"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ACMA</w:t>
      </w:r>
      <w:r>
        <w:rPr>
          <w:rFonts w:ascii="Bookman Old Style" w:hAnsi="Bookman Old Style" w:cs="Times New Roman"/>
          <w:spacing w:val="-2"/>
          <w:sz w:val="19"/>
          <w:szCs w:val="24"/>
          <w:lang w:val="en-US"/>
        </w:rPr>
        <w:tab/>
        <w:t>Australian Communications and Media Authority</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ADS-B</w:t>
      </w:r>
      <w:r>
        <w:rPr>
          <w:rFonts w:ascii="Bookman Old Style" w:hAnsi="Bookman Old Style" w:cs="Times New Roman"/>
          <w:spacing w:val="-3"/>
          <w:sz w:val="19"/>
          <w:szCs w:val="24"/>
          <w:lang w:val="en-US"/>
        </w:rPr>
        <w:tab/>
        <w:t>Automatic Dependent Surveillance - Broadcast</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AFTRS</w:t>
      </w:r>
      <w:r>
        <w:rPr>
          <w:rFonts w:ascii="Bookman Old Style" w:hAnsi="Bookman Old Style" w:cs="Times New Roman"/>
          <w:spacing w:val="-2"/>
          <w:sz w:val="19"/>
          <w:szCs w:val="24"/>
          <w:lang w:val="en-US"/>
        </w:rPr>
        <w:tab/>
        <w:t>Australian Film, Television and Radio School</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AMSA</w:t>
      </w:r>
      <w:r>
        <w:rPr>
          <w:rFonts w:ascii="Bookman Old Style" w:hAnsi="Bookman Old Style" w:cs="Times New Roman"/>
          <w:spacing w:val="-2"/>
          <w:sz w:val="19"/>
          <w:szCs w:val="24"/>
          <w:lang w:val="en-US"/>
        </w:rPr>
        <w:tab/>
        <w:t>Australian Maritime Safety Authority</w:t>
      </w:r>
    </w:p>
    <w:p w:rsidR="00252063" w:rsidRDefault="00252063">
      <w:pPr>
        <w:widowControl w:val="0"/>
        <w:tabs>
          <w:tab w:val="left" w:pos="1800"/>
        </w:tabs>
        <w:kinsoku w:val="0"/>
        <w:overflowPunct w:val="0"/>
        <w:spacing w:before="214"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ANMM</w:t>
      </w:r>
      <w:r>
        <w:rPr>
          <w:rFonts w:ascii="Bookman Old Style" w:hAnsi="Bookman Old Style" w:cs="Times New Roman"/>
          <w:spacing w:val="-2"/>
          <w:sz w:val="19"/>
          <w:szCs w:val="24"/>
          <w:lang w:val="en-US"/>
        </w:rPr>
        <w:tab/>
        <w:t>Australian National Maritime Museum</w:t>
      </w:r>
    </w:p>
    <w:p w:rsidR="00252063" w:rsidRDefault="00252063">
      <w:pPr>
        <w:widowControl w:val="0"/>
        <w:tabs>
          <w:tab w:val="left" w:pos="1800"/>
        </w:tabs>
        <w:kinsoku w:val="0"/>
        <w:overflowPunct w:val="0"/>
        <w:spacing w:before="210"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ARTC</w:t>
      </w:r>
      <w:r>
        <w:rPr>
          <w:rFonts w:ascii="Bookman Old Style" w:hAnsi="Bookman Old Style" w:cs="Times New Roman"/>
          <w:spacing w:val="-2"/>
          <w:sz w:val="19"/>
          <w:szCs w:val="24"/>
          <w:lang w:val="en-US"/>
        </w:rPr>
        <w:tab/>
        <w:t>Australian Rail Track Corporation</w:t>
      </w:r>
    </w:p>
    <w:p w:rsidR="00252063" w:rsidRDefault="00252063">
      <w:pPr>
        <w:widowControl w:val="0"/>
        <w:tabs>
          <w:tab w:val="left" w:pos="1800"/>
        </w:tabs>
        <w:kinsoku w:val="0"/>
        <w:overflowPunct w:val="0"/>
        <w:spacing w:before="214" w:after="0" w:line="237" w:lineRule="exact"/>
        <w:ind w:lef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ASL</w:t>
      </w:r>
      <w:r>
        <w:rPr>
          <w:rFonts w:ascii="Bookman Old Style" w:hAnsi="Bookman Old Style" w:cs="Times New Roman"/>
          <w:sz w:val="19"/>
          <w:szCs w:val="24"/>
          <w:lang w:val="en-US"/>
        </w:rPr>
        <w:tab/>
        <w:t>Average Staffing Level</w:t>
      </w:r>
    </w:p>
    <w:p w:rsidR="00252063" w:rsidRDefault="00252063">
      <w:pPr>
        <w:widowControl w:val="0"/>
        <w:tabs>
          <w:tab w:val="left" w:pos="1800"/>
        </w:tabs>
        <w:kinsoku w:val="0"/>
        <w:overflowPunct w:val="0"/>
        <w:spacing w:before="228" w:after="0" w:line="237" w:lineRule="exact"/>
        <w:ind w:lef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ATSB</w:t>
      </w:r>
      <w:r>
        <w:rPr>
          <w:rFonts w:ascii="Bookman Old Style" w:hAnsi="Bookman Old Style" w:cs="Times New Roman"/>
          <w:spacing w:val="-4"/>
          <w:sz w:val="19"/>
          <w:szCs w:val="24"/>
          <w:lang w:val="en-US"/>
        </w:rPr>
        <w:tab/>
        <w:t>Australian Transport Safety Bureau</w:t>
      </w:r>
    </w:p>
    <w:p w:rsidR="00252063" w:rsidRDefault="00252063">
      <w:pPr>
        <w:widowControl w:val="0"/>
        <w:tabs>
          <w:tab w:val="left" w:pos="1800"/>
        </w:tabs>
        <w:kinsoku w:val="0"/>
        <w:overflowPunct w:val="0"/>
        <w:spacing w:before="210" w:after="0" w:line="237" w:lineRule="exact"/>
        <w:ind w:lef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BITRE</w:t>
      </w:r>
      <w:r>
        <w:rPr>
          <w:rFonts w:ascii="Bookman Old Style" w:hAnsi="Bookman Old Style" w:cs="Times New Roman"/>
          <w:spacing w:val="-4"/>
          <w:sz w:val="19"/>
          <w:szCs w:val="24"/>
          <w:lang w:val="en-US"/>
        </w:rPr>
        <w:tab/>
        <w:t>Bureau of Infrastructure, Transport and Regional Economics</w:t>
      </w:r>
    </w:p>
    <w:p w:rsidR="00252063" w:rsidRDefault="00252063">
      <w:pPr>
        <w:widowControl w:val="0"/>
        <w:tabs>
          <w:tab w:val="left" w:pos="1800"/>
        </w:tabs>
        <w:kinsoku w:val="0"/>
        <w:overflowPunct w:val="0"/>
        <w:spacing w:before="224" w:after="0" w:line="237" w:lineRule="exact"/>
        <w:ind w:lef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BP3</w:t>
      </w:r>
      <w:r>
        <w:rPr>
          <w:rFonts w:ascii="Bookman Old Style" w:hAnsi="Bookman Old Style" w:cs="Times New Roman"/>
          <w:spacing w:val="-4"/>
          <w:sz w:val="19"/>
          <w:szCs w:val="24"/>
          <w:lang w:val="en-US"/>
        </w:rPr>
        <w:tab/>
        <w:t>Budget Paper 3 – Federal Financial Relations</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CALD</w:t>
      </w:r>
      <w:r>
        <w:rPr>
          <w:rFonts w:ascii="Bookman Old Style" w:hAnsi="Bookman Old Style" w:cs="Times New Roman"/>
          <w:spacing w:val="-2"/>
          <w:sz w:val="19"/>
          <w:szCs w:val="24"/>
          <w:lang w:val="en-US"/>
        </w:rPr>
        <w:tab/>
        <w:t>Culturally and linguistically diverse</w:t>
      </w:r>
    </w:p>
    <w:p w:rsidR="00252063" w:rsidRDefault="00252063">
      <w:pPr>
        <w:widowControl w:val="0"/>
        <w:tabs>
          <w:tab w:val="left" w:pos="1800"/>
        </w:tabs>
        <w:kinsoku w:val="0"/>
        <w:overflowPunct w:val="0"/>
        <w:spacing w:before="214" w:after="0" w:line="237" w:lineRule="exact"/>
        <w:ind w:left="14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CASA</w:t>
      </w:r>
      <w:r>
        <w:rPr>
          <w:rFonts w:ascii="Bookman Old Style" w:hAnsi="Bookman Old Style" w:cs="Times New Roman"/>
          <w:sz w:val="19"/>
          <w:szCs w:val="24"/>
          <w:lang w:val="en-US"/>
        </w:rPr>
        <w:tab/>
        <w:t>Civil Aviation Safety Authority</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CCE</w:t>
      </w:r>
      <w:r>
        <w:rPr>
          <w:rFonts w:ascii="Bookman Old Style" w:hAnsi="Bookman Old Style" w:cs="Times New Roman"/>
          <w:spacing w:val="-2"/>
          <w:sz w:val="19"/>
          <w:szCs w:val="24"/>
          <w:lang w:val="en-US"/>
        </w:rPr>
        <w:tab/>
        <w:t>Corporate Commonwealth Entity</w:t>
      </w:r>
    </w:p>
    <w:p w:rsidR="00252063" w:rsidRDefault="00252063">
      <w:pPr>
        <w:widowControl w:val="0"/>
        <w:tabs>
          <w:tab w:val="left" w:pos="1800"/>
        </w:tabs>
        <w:kinsoku w:val="0"/>
        <w:overflowPunct w:val="0"/>
        <w:spacing w:before="214" w:after="0" w:line="237" w:lineRule="exact"/>
        <w:ind w:left="144"/>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CDAB</w:t>
      </w:r>
      <w:r>
        <w:rPr>
          <w:rFonts w:ascii="Bookman Old Style" w:hAnsi="Bookman Old Style" w:cs="Times New Roman"/>
          <w:spacing w:val="-1"/>
          <w:sz w:val="19"/>
          <w:szCs w:val="24"/>
          <w:lang w:val="en-US"/>
        </w:rPr>
        <w:tab/>
        <w:t>Collection Development Acquisition Budget</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COVID-19</w:t>
      </w:r>
      <w:r>
        <w:rPr>
          <w:rFonts w:ascii="Bookman Old Style" w:hAnsi="Bookman Old Style" w:cs="Times New Roman"/>
          <w:spacing w:val="-4"/>
          <w:sz w:val="19"/>
          <w:szCs w:val="24"/>
          <w:lang w:val="en-US"/>
        </w:rPr>
        <w:tab/>
        <w:t>Coronavirus disease 2019</w:t>
      </w:r>
    </w:p>
    <w:p w:rsidR="00252063" w:rsidRDefault="00252063">
      <w:pPr>
        <w:widowControl w:val="0"/>
        <w:tabs>
          <w:tab w:val="left" w:pos="1800"/>
        </w:tabs>
        <w:kinsoku w:val="0"/>
        <w:overflowPunct w:val="0"/>
        <w:spacing w:before="219" w:after="0" w:line="237" w:lineRule="exact"/>
        <w:ind w:left="144"/>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CRF</w:t>
      </w:r>
      <w:r>
        <w:rPr>
          <w:rFonts w:ascii="Bookman Old Style" w:hAnsi="Bookman Old Style" w:cs="Times New Roman"/>
          <w:spacing w:val="-2"/>
          <w:sz w:val="19"/>
          <w:szCs w:val="24"/>
          <w:lang w:val="en-US"/>
        </w:rPr>
        <w:tab/>
        <w:t>Consolidated Revenue Fund</w:t>
      </w:r>
    </w:p>
    <w:p w:rsidR="00252063" w:rsidRDefault="00252063">
      <w:pPr>
        <w:widowControl w:val="0"/>
        <w:tabs>
          <w:tab w:val="left" w:pos="1800"/>
        </w:tabs>
        <w:kinsoku w:val="0"/>
        <w:overflowPunct w:val="0"/>
        <w:spacing w:before="214" w:after="699" w:line="237" w:lineRule="exact"/>
        <w:ind w:left="144"/>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DCB</w:t>
      </w:r>
      <w:r>
        <w:rPr>
          <w:rFonts w:ascii="Bookman Old Style" w:hAnsi="Bookman Old Style" w:cs="Times New Roman"/>
          <w:spacing w:val="-3"/>
          <w:sz w:val="19"/>
          <w:szCs w:val="24"/>
          <w:lang w:val="en-US"/>
        </w:rPr>
        <w:tab/>
        <w:t>Departmental Capital Budget</w:t>
      </w:r>
    </w:p>
    <w:p w:rsidR="00252063" w:rsidRDefault="00E7390B">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75648"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C94E4" id="Line 1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4sEwIAACk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" o:allowincell="f" strokeweight=".7pt">
                <w10:wrap type="square" anchorx="page" anchory="page"/>
              </v:line>
            </w:pict>
          </mc:Fallback>
        </mc:AlternateContent>
      </w:r>
      <w:r w:rsidR="00252063">
        <w:rPr>
          <w:rFonts w:ascii="Arial" w:hAnsi="Arial" w:cs="Times New Roman"/>
          <w:b/>
          <w:sz w:val="17"/>
          <w:szCs w:val="24"/>
          <w:lang w:val="en-US"/>
        </w:rPr>
        <w:t>Page 126 | Acronyms</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48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6273"/>
        <w:gridCol w:w="1507"/>
      </w:tblGrid>
      <w:tr w:rsidR="00252063">
        <w:tblPrEx>
          <w:tblCellMar>
            <w:top w:w="0" w:type="dxa"/>
            <w:left w:w="0" w:type="dxa"/>
            <w:bottom w:w="0" w:type="dxa"/>
            <w:right w:w="0" w:type="dxa"/>
          </w:tblCellMar>
        </w:tblPrEx>
        <w:trPr>
          <w:trHeight w:hRule="exact" w:val="248"/>
        </w:trPr>
        <w:tc>
          <w:tcPr>
            <w:tcW w:w="6273" w:type="dxa"/>
            <w:tcBorders>
              <w:top w:val="nil"/>
              <w:left w:val="nil"/>
              <w:bottom w:val="nil"/>
              <w:right w:val="nil"/>
            </w:tcBorders>
            <w:vAlign w:val="center"/>
          </w:tcPr>
          <w:p w:rsidR="00252063" w:rsidRDefault="00252063">
            <w:pPr>
              <w:widowControl w:val="0"/>
              <w:kinsoku w:val="0"/>
              <w:overflowPunct w:val="0"/>
              <w:spacing w:after="25" w:line="208" w:lineRule="exact"/>
              <w:ind w:right="111"/>
              <w:jc w:val="right"/>
              <w:textAlignment w:val="baseline"/>
              <w:rPr>
                <w:rFonts w:ascii="Arial" w:hAnsi="Arial" w:cs="Times New Roman"/>
                <w:sz w:val="18"/>
                <w:szCs w:val="24"/>
                <w:lang w:val="en-US"/>
              </w:rPr>
            </w:pPr>
            <w:r>
              <w:rPr>
                <w:rFonts w:ascii="Arial" w:hAnsi="Arial" w:cs="Times New Roman"/>
                <w:sz w:val="18"/>
                <w:szCs w:val="24"/>
                <w:lang w:val="en-US"/>
              </w:rPr>
              <w:lastRenderedPageBreak/>
              <w:t>Portfolio Additional Estimates Statements |</w:t>
            </w:r>
          </w:p>
        </w:tc>
        <w:tc>
          <w:tcPr>
            <w:tcW w:w="1507" w:type="dxa"/>
            <w:tcBorders>
              <w:top w:val="nil"/>
              <w:left w:val="nil"/>
              <w:bottom w:val="nil"/>
              <w:right w:val="nil"/>
            </w:tcBorders>
          </w:tcPr>
          <w:p w:rsidR="00252063" w:rsidRDefault="00252063">
            <w:pPr>
              <w:widowControl w:val="0"/>
              <w:kinsoku w:val="0"/>
              <w:overflowPunct w:val="0"/>
              <w:spacing w:after="19" w:line="229" w:lineRule="atLeast"/>
              <w:ind w:right="53"/>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2" name="Picture 12" descr="_Pic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Pic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r>
    </w:tbl>
    <w:p w:rsidR="00252063" w:rsidRDefault="00252063">
      <w:pPr>
        <w:widowControl w:val="0"/>
        <w:kinsoku w:val="0"/>
        <w:overflowPunct w:val="0"/>
        <w:spacing w:after="880" w:line="20" w:lineRule="exact"/>
        <w:textAlignment w:val="baseline"/>
        <w:rPr>
          <w:rFonts w:ascii="Times New Roman" w:hAnsi="Times New Roman" w:cs="Times New Roman"/>
          <w:sz w:val="24"/>
          <w:szCs w:val="24"/>
          <w:lang w:val="en-US"/>
        </w:rPr>
      </w:pPr>
    </w:p>
    <w:p w:rsidR="00252063" w:rsidRDefault="00252063">
      <w:pPr>
        <w:widowControl w:val="0"/>
        <w:tabs>
          <w:tab w:val="left" w:pos="1800"/>
        </w:tabs>
        <w:kinsoku w:val="0"/>
        <w:overflowPunct w:val="0"/>
        <w:spacing w:before="4" w:after="0" w:line="238" w:lineRule="exact"/>
        <w:ind w:left="144"/>
        <w:textAlignment w:val="baseline"/>
        <w:rPr>
          <w:rFonts w:ascii="Garamond" w:hAnsi="Garamond" w:cs="Times New Roman"/>
          <w:b/>
          <w:szCs w:val="24"/>
          <w:lang w:val="en-US"/>
        </w:rPr>
      </w:pPr>
      <w:r>
        <w:rPr>
          <w:rFonts w:ascii="Garamond" w:hAnsi="Garamond" w:cs="Times New Roman"/>
          <w:b/>
          <w:szCs w:val="24"/>
          <w:lang w:val="en-US"/>
        </w:rPr>
        <w:t>Acronym</w:t>
      </w:r>
      <w:r>
        <w:rPr>
          <w:rFonts w:ascii="Garamond" w:hAnsi="Garamond" w:cs="Times New Roman"/>
          <w:b/>
          <w:szCs w:val="24"/>
          <w:lang w:val="en-US"/>
        </w:rPr>
        <w:tab/>
        <w:t>Meaning</w:t>
      </w:r>
    </w:p>
    <w:p w:rsidR="00252063" w:rsidRDefault="00252063">
      <w:pPr>
        <w:widowControl w:val="0"/>
        <w:tabs>
          <w:tab w:val="left" w:pos="1800"/>
        </w:tabs>
        <w:kinsoku w:val="0"/>
        <w:overflowPunct w:val="0"/>
        <w:spacing w:before="165" w:after="0" w:line="250" w:lineRule="exact"/>
        <w:ind w:left="1800" w:right="1152" w:hanging="1656"/>
        <w:textAlignment w:val="baseline"/>
        <w:rPr>
          <w:rFonts w:ascii="Garamond" w:hAnsi="Garamond" w:cs="Times New Roman"/>
          <w:szCs w:val="24"/>
          <w:lang w:val="en-US"/>
        </w:rPr>
      </w:pPr>
      <w:r>
        <w:rPr>
          <w:rFonts w:ascii="Garamond" w:hAnsi="Garamond" w:cs="Times New Roman"/>
          <w:szCs w:val="24"/>
          <w:lang w:val="en-US"/>
        </w:rPr>
        <w:t>Department</w:t>
      </w:r>
      <w:r>
        <w:rPr>
          <w:rFonts w:ascii="Garamond" w:hAnsi="Garamond" w:cs="Times New Roman"/>
          <w:szCs w:val="24"/>
          <w:lang w:val="en-US"/>
        </w:rPr>
        <w:tab/>
        <w:t>The Department of Infrastructure, Transport, Regional Development, Communications and the Arts</w:t>
      </w:r>
    </w:p>
    <w:p w:rsidR="00252063" w:rsidRDefault="00252063">
      <w:pPr>
        <w:widowControl w:val="0"/>
        <w:tabs>
          <w:tab w:val="left" w:pos="1800"/>
        </w:tabs>
        <w:kinsoku w:val="0"/>
        <w:overflowPunct w:val="0"/>
        <w:spacing w:before="167" w:after="0" w:line="244" w:lineRule="exact"/>
        <w:ind w:left="144"/>
        <w:textAlignment w:val="baseline"/>
        <w:rPr>
          <w:rFonts w:ascii="Garamond" w:hAnsi="Garamond" w:cs="Times New Roman"/>
          <w:szCs w:val="24"/>
          <w:lang w:val="en-US"/>
        </w:rPr>
      </w:pPr>
      <w:r>
        <w:rPr>
          <w:rFonts w:ascii="Garamond" w:hAnsi="Garamond" w:cs="Times New Roman"/>
          <w:szCs w:val="24"/>
          <w:lang w:val="en-US"/>
        </w:rPr>
        <w:t>GHz</w:t>
      </w:r>
      <w:r>
        <w:rPr>
          <w:rFonts w:ascii="Garamond" w:hAnsi="Garamond" w:cs="Times New Roman"/>
          <w:szCs w:val="24"/>
          <w:lang w:val="en-US"/>
        </w:rPr>
        <w:tab/>
        <w:t>Gigahertz</w:t>
      </w:r>
    </w:p>
    <w:p w:rsidR="00252063" w:rsidRDefault="00252063">
      <w:pPr>
        <w:widowControl w:val="0"/>
        <w:tabs>
          <w:tab w:val="left" w:pos="1800"/>
        </w:tabs>
        <w:kinsoku w:val="0"/>
        <w:overflowPunct w:val="0"/>
        <w:spacing w:before="212" w:after="0" w:line="241" w:lineRule="exact"/>
        <w:ind w:left="144"/>
        <w:textAlignment w:val="baseline"/>
        <w:rPr>
          <w:rFonts w:ascii="Garamond" w:hAnsi="Garamond" w:cs="Times New Roman"/>
          <w:szCs w:val="24"/>
          <w:lang w:val="en-US"/>
        </w:rPr>
      </w:pPr>
      <w:r>
        <w:rPr>
          <w:rFonts w:ascii="Garamond" w:hAnsi="Garamond" w:cs="Times New Roman"/>
          <w:szCs w:val="24"/>
          <w:lang w:val="en-US"/>
        </w:rPr>
        <w:t>GST</w:t>
      </w:r>
      <w:r>
        <w:rPr>
          <w:rFonts w:ascii="Garamond" w:hAnsi="Garamond" w:cs="Times New Roman"/>
          <w:szCs w:val="24"/>
          <w:lang w:val="en-US"/>
        </w:rPr>
        <w:tab/>
        <w:t>Goods and Services Tax</w:t>
      </w:r>
    </w:p>
    <w:p w:rsidR="00252063" w:rsidRDefault="00252063">
      <w:pPr>
        <w:widowControl w:val="0"/>
        <w:tabs>
          <w:tab w:val="left" w:pos="1800"/>
        </w:tabs>
        <w:kinsoku w:val="0"/>
        <w:overflowPunct w:val="0"/>
        <w:spacing w:before="210" w:after="0" w:line="241" w:lineRule="exact"/>
        <w:ind w:left="144"/>
        <w:textAlignment w:val="baseline"/>
        <w:rPr>
          <w:rFonts w:ascii="Garamond" w:hAnsi="Garamond" w:cs="Times New Roman"/>
          <w:szCs w:val="24"/>
          <w:lang w:val="en-US"/>
        </w:rPr>
      </w:pPr>
      <w:r>
        <w:rPr>
          <w:rFonts w:ascii="Garamond" w:hAnsi="Garamond" w:cs="Times New Roman"/>
          <w:szCs w:val="24"/>
          <w:lang w:val="en-US"/>
        </w:rPr>
        <w:t>Hon</w:t>
      </w:r>
      <w:r>
        <w:rPr>
          <w:rFonts w:ascii="Garamond" w:hAnsi="Garamond" w:cs="Times New Roman"/>
          <w:szCs w:val="24"/>
          <w:lang w:val="en-US"/>
        </w:rPr>
        <w:tab/>
        <w:t>Honourable</w:t>
      </w:r>
    </w:p>
    <w:p w:rsidR="00252063" w:rsidRDefault="00252063">
      <w:pPr>
        <w:widowControl w:val="0"/>
        <w:tabs>
          <w:tab w:val="left" w:pos="1800"/>
        </w:tabs>
        <w:kinsoku w:val="0"/>
        <w:overflowPunct w:val="0"/>
        <w:spacing w:before="215" w:after="0" w:line="244" w:lineRule="exact"/>
        <w:ind w:left="144"/>
        <w:textAlignment w:val="baseline"/>
        <w:rPr>
          <w:rFonts w:ascii="Garamond" w:hAnsi="Garamond" w:cs="Times New Roman"/>
          <w:szCs w:val="24"/>
          <w:lang w:val="en-US"/>
        </w:rPr>
      </w:pPr>
      <w:r>
        <w:rPr>
          <w:rFonts w:ascii="Garamond" w:hAnsi="Garamond" w:cs="Times New Roman"/>
          <w:szCs w:val="24"/>
          <w:lang w:val="en-US"/>
        </w:rPr>
        <w:t>HSRA</w:t>
      </w:r>
      <w:r>
        <w:rPr>
          <w:rFonts w:ascii="Garamond" w:hAnsi="Garamond" w:cs="Times New Roman"/>
          <w:szCs w:val="24"/>
          <w:lang w:val="en-US"/>
        </w:rPr>
        <w:tab/>
        <w:t>High Speed Rail Authority</w:t>
      </w:r>
    </w:p>
    <w:p w:rsidR="00252063" w:rsidRDefault="00252063">
      <w:pPr>
        <w:widowControl w:val="0"/>
        <w:tabs>
          <w:tab w:val="left" w:pos="1800"/>
        </w:tabs>
        <w:kinsoku w:val="0"/>
        <w:overflowPunct w:val="0"/>
        <w:spacing w:before="212" w:after="0" w:line="241" w:lineRule="exact"/>
        <w:ind w:left="144"/>
        <w:textAlignment w:val="baseline"/>
        <w:rPr>
          <w:rFonts w:ascii="Garamond" w:hAnsi="Garamond" w:cs="Times New Roman"/>
          <w:szCs w:val="24"/>
          <w:lang w:val="en-US"/>
        </w:rPr>
      </w:pPr>
      <w:r>
        <w:rPr>
          <w:rFonts w:ascii="Garamond" w:hAnsi="Garamond" w:cs="Times New Roman"/>
          <w:szCs w:val="24"/>
          <w:lang w:val="en-US"/>
        </w:rPr>
        <w:t>IA</w:t>
      </w:r>
      <w:r>
        <w:rPr>
          <w:rFonts w:ascii="Garamond" w:hAnsi="Garamond" w:cs="Times New Roman"/>
          <w:szCs w:val="24"/>
          <w:lang w:val="en-US"/>
        </w:rPr>
        <w:tab/>
        <w:t>Infrastructure Australia</w:t>
      </w:r>
    </w:p>
    <w:p w:rsidR="00252063" w:rsidRDefault="00252063">
      <w:pPr>
        <w:widowControl w:val="0"/>
        <w:tabs>
          <w:tab w:val="left" w:pos="1800"/>
        </w:tabs>
        <w:kinsoku w:val="0"/>
        <w:overflowPunct w:val="0"/>
        <w:spacing w:before="210" w:after="0" w:line="244" w:lineRule="exact"/>
        <w:ind w:left="144"/>
        <w:textAlignment w:val="baseline"/>
        <w:rPr>
          <w:rFonts w:ascii="Garamond" w:hAnsi="Garamond" w:cs="Times New Roman"/>
          <w:szCs w:val="24"/>
          <w:lang w:val="en-US"/>
        </w:rPr>
      </w:pPr>
      <w:r>
        <w:rPr>
          <w:rFonts w:ascii="Garamond" w:hAnsi="Garamond" w:cs="Times New Roman"/>
          <w:szCs w:val="24"/>
          <w:lang w:val="en-US"/>
        </w:rPr>
        <w:t>IGA</w:t>
      </w:r>
      <w:r>
        <w:rPr>
          <w:rFonts w:ascii="Garamond" w:hAnsi="Garamond" w:cs="Times New Roman"/>
          <w:szCs w:val="24"/>
          <w:lang w:val="en-US"/>
        </w:rPr>
        <w:tab/>
        <w:t>Inter-Governmental Agreement</w:t>
      </w:r>
    </w:p>
    <w:p w:rsidR="00252063" w:rsidRDefault="00252063">
      <w:pPr>
        <w:widowControl w:val="0"/>
        <w:tabs>
          <w:tab w:val="left" w:pos="1800"/>
        </w:tabs>
        <w:kinsoku w:val="0"/>
        <w:overflowPunct w:val="0"/>
        <w:spacing w:before="212" w:after="0" w:line="241" w:lineRule="exact"/>
        <w:ind w:left="144"/>
        <w:textAlignment w:val="baseline"/>
        <w:rPr>
          <w:rFonts w:ascii="Garamond" w:hAnsi="Garamond" w:cs="Times New Roman"/>
          <w:spacing w:val="3"/>
          <w:szCs w:val="24"/>
          <w:lang w:val="en-US"/>
        </w:rPr>
      </w:pPr>
      <w:r>
        <w:rPr>
          <w:rFonts w:ascii="Garamond" w:hAnsi="Garamond" w:cs="Times New Roman"/>
          <w:spacing w:val="3"/>
          <w:szCs w:val="24"/>
          <w:lang w:val="en-US"/>
        </w:rPr>
        <w:t>ISSN</w:t>
      </w:r>
      <w:r>
        <w:rPr>
          <w:rFonts w:ascii="Garamond" w:hAnsi="Garamond" w:cs="Times New Roman"/>
          <w:spacing w:val="3"/>
          <w:szCs w:val="24"/>
          <w:lang w:val="en-US"/>
        </w:rPr>
        <w:tab/>
        <w:t>International Standard Serial Number</w:t>
      </w:r>
    </w:p>
    <w:p w:rsidR="00252063" w:rsidRDefault="00252063">
      <w:pPr>
        <w:widowControl w:val="0"/>
        <w:tabs>
          <w:tab w:val="left" w:pos="1800"/>
        </w:tabs>
        <w:kinsoku w:val="0"/>
        <w:overflowPunct w:val="0"/>
        <w:spacing w:before="211" w:after="0" w:line="243" w:lineRule="exact"/>
        <w:ind w:left="144"/>
        <w:textAlignment w:val="baseline"/>
        <w:rPr>
          <w:rFonts w:ascii="Garamond" w:hAnsi="Garamond" w:cs="Times New Roman"/>
          <w:spacing w:val="3"/>
          <w:szCs w:val="24"/>
          <w:lang w:val="en-US"/>
        </w:rPr>
      </w:pPr>
      <w:r>
        <w:rPr>
          <w:rFonts w:ascii="Garamond" w:hAnsi="Garamond" w:cs="Times New Roman"/>
          <w:spacing w:val="3"/>
          <w:szCs w:val="24"/>
          <w:lang w:val="en-US"/>
        </w:rPr>
        <w:t>ITMM</w:t>
      </w:r>
      <w:r>
        <w:rPr>
          <w:rFonts w:ascii="Garamond" w:hAnsi="Garamond" w:cs="Times New Roman"/>
          <w:spacing w:val="3"/>
          <w:szCs w:val="24"/>
          <w:lang w:val="en-US"/>
        </w:rPr>
        <w:tab/>
        <w:t>Infrastructure and Transport Ministers’ Meeting</w:t>
      </w:r>
    </w:p>
    <w:p w:rsidR="00252063" w:rsidRDefault="00252063">
      <w:pPr>
        <w:widowControl w:val="0"/>
        <w:tabs>
          <w:tab w:val="left" w:pos="1800"/>
        </w:tabs>
        <w:kinsoku w:val="0"/>
        <w:overflowPunct w:val="0"/>
        <w:spacing w:before="213" w:after="0" w:line="241" w:lineRule="exact"/>
        <w:ind w:left="144"/>
        <w:textAlignment w:val="baseline"/>
        <w:rPr>
          <w:rFonts w:ascii="Garamond" w:hAnsi="Garamond" w:cs="Times New Roman"/>
          <w:spacing w:val="2"/>
          <w:szCs w:val="24"/>
          <w:lang w:val="en-US"/>
        </w:rPr>
      </w:pPr>
      <w:r>
        <w:rPr>
          <w:rFonts w:ascii="Garamond" w:hAnsi="Garamond" w:cs="Times New Roman"/>
          <w:spacing w:val="2"/>
          <w:szCs w:val="24"/>
          <w:lang w:val="en-US"/>
        </w:rPr>
        <w:t>ITSOC</w:t>
      </w:r>
      <w:r>
        <w:rPr>
          <w:rFonts w:ascii="Garamond" w:hAnsi="Garamond" w:cs="Times New Roman"/>
          <w:spacing w:val="2"/>
          <w:szCs w:val="24"/>
          <w:lang w:val="en-US"/>
        </w:rPr>
        <w:tab/>
        <w:t>Infrastructure and Transport Senior Officials’ Committee</w:t>
      </w:r>
    </w:p>
    <w:p w:rsidR="00252063" w:rsidRDefault="00252063">
      <w:pPr>
        <w:widowControl w:val="0"/>
        <w:tabs>
          <w:tab w:val="left" w:pos="1800"/>
        </w:tabs>
        <w:kinsoku w:val="0"/>
        <w:overflowPunct w:val="0"/>
        <w:spacing w:before="210" w:after="0" w:line="241" w:lineRule="exact"/>
        <w:ind w:left="144"/>
        <w:textAlignment w:val="baseline"/>
        <w:rPr>
          <w:rFonts w:ascii="Garamond" w:hAnsi="Garamond" w:cs="Times New Roman"/>
          <w:szCs w:val="24"/>
          <w:lang w:val="en-US"/>
        </w:rPr>
      </w:pPr>
      <w:r>
        <w:rPr>
          <w:rFonts w:ascii="Garamond" w:hAnsi="Garamond" w:cs="Times New Roman"/>
          <w:szCs w:val="24"/>
          <w:lang w:val="en-US"/>
        </w:rPr>
        <w:t>ITU</w:t>
      </w:r>
      <w:r>
        <w:rPr>
          <w:rFonts w:ascii="Garamond" w:hAnsi="Garamond" w:cs="Times New Roman"/>
          <w:szCs w:val="24"/>
          <w:lang w:val="en-US"/>
        </w:rPr>
        <w:tab/>
        <w:t>International Telecommunication Union</w:t>
      </w:r>
    </w:p>
    <w:p w:rsidR="00252063" w:rsidRDefault="00252063">
      <w:pPr>
        <w:widowControl w:val="0"/>
        <w:tabs>
          <w:tab w:val="left" w:pos="1800"/>
        </w:tabs>
        <w:kinsoku w:val="0"/>
        <w:overflowPunct w:val="0"/>
        <w:spacing w:before="215" w:after="0" w:line="243" w:lineRule="exact"/>
        <w:ind w:left="144"/>
        <w:textAlignment w:val="baseline"/>
        <w:rPr>
          <w:rFonts w:ascii="Garamond" w:hAnsi="Garamond" w:cs="Times New Roman"/>
          <w:szCs w:val="24"/>
          <w:lang w:val="en-US"/>
        </w:rPr>
      </w:pPr>
      <w:r>
        <w:rPr>
          <w:rFonts w:ascii="Garamond" w:hAnsi="Garamond" w:cs="Times New Roman"/>
          <w:szCs w:val="24"/>
          <w:lang w:val="en-US"/>
        </w:rPr>
        <w:t>MHz</w:t>
      </w:r>
      <w:r>
        <w:rPr>
          <w:rFonts w:ascii="Garamond" w:hAnsi="Garamond" w:cs="Times New Roman"/>
          <w:szCs w:val="24"/>
          <w:lang w:val="en-US"/>
        </w:rPr>
        <w:tab/>
        <w:t>Megahertz</w:t>
      </w:r>
    </w:p>
    <w:p w:rsidR="00252063" w:rsidRDefault="00252063">
      <w:pPr>
        <w:widowControl w:val="0"/>
        <w:tabs>
          <w:tab w:val="left" w:pos="1800"/>
        </w:tabs>
        <w:kinsoku w:val="0"/>
        <w:overflowPunct w:val="0"/>
        <w:spacing w:before="213" w:after="0" w:line="243" w:lineRule="exact"/>
        <w:ind w:left="144"/>
        <w:textAlignment w:val="baseline"/>
        <w:rPr>
          <w:rFonts w:ascii="Garamond" w:hAnsi="Garamond" w:cs="Times New Roman"/>
          <w:szCs w:val="24"/>
          <w:lang w:val="en-US"/>
        </w:rPr>
      </w:pPr>
      <w:r>
        <w:rPr>
          <w:rFonts w:ascii="Garamond" w:hAnsi="Garamond" w:cs="Times New Roman"/>
          <w:szCs w:val="24"/>
          <w:lang w:val="en-US"/>
        </w:rPr>
        <w:t>MoAD</w:t>
      </w:r>
      <w:r>
        <w:rPr>
          <w:rFonts w:ascii="Garamond" w:hAnsi="Garamond" w:cs="Times New Roman"/>
          <w:szCs w:val="24"/>
          <w:lang w:val="en-US"/>
        </w:rPr>
        <w:tab/>
        <w:t>Museum of Australian Democracy</w:t>
      </w:r>
    </w:p>
    <w:p w:rsidR="00252063" w:rsidRDefault="00252063">
      <w:pPr>
        <w:widowControl w:val="0"/>
        <w:tabs>
          <w:tab w:val="left" w:pos="1800"/>
        </w:tabs>
        <w:kinsoku w:val="0"/>
        <w:overflowPunct w:val="0"/>
        <w:spacing w:before="208" w:after="0" w:line="241" w:lineRule="exact"/>
        <w:ind w:left="144"/>
        <w:textAlignment w:val="baseline"/>
        <w:rPr>
          <w:rFonts w:ascii="Garamond" w:hAnsi="Garamond" w:cs="Times New Roman"/>
          <w:szCs w:val="24"/>
          <w:lang w:val="en-US"/>
        </w:rPr>
      </w:pPr>
      <w:r>
        <w:rPr>
          <w:rFonts w:ascii="Garamond" w:hAnsi="Garamond" w:cs="Times New Roman"/>
          <w:szCs w:val="24"/>
          <w:lang w:val="en-US"/>
        </w:rPr>
        <w:t>MYEFO</w:t>
      </w:r>
      <w:r>
        <w:rPr>
          <w:rFonts w:ascii="Garamond" w:hAnsi="Garamond" w:cs="Times New Roman"/>
          <w:szCs w:val="24"/>
          <w:lang w:val="en-US"/>
        </w:rPr>
        <w:tab/>
        <w:t>Mid-Year Economic and Fiscal Outlook</w:t>
      </w:r>
    </w:p>
    <w:p w:rsidR="00252063" w:rsidRDefault="00252063">
      <w:pPr>
        <w:widowControl w:val="0"/>
        <w:tabs>
          <w:tab w:val="left" w:pos="1800"/>
        </w:tabs>
        <w:kinsoku w:val="0"/>
        <w:overflowPunct w:val="0"/>
        <w:spacing w:before="215" w:after="0" w:line="241" w:lineRule="exact"/>
        <w:ind w:left="144"/>
        <w:textAlignment w:val="baseline"/>
        <w:rPr>
          <w:rFonts w:ascii="Garamond" w:hAnsi="Garamond" w:cs="Times New Roman"/>
          <w:szCs w:val="24"/>
          <w:lang w:val="en-US"/>
        </w:rPr>
      </w:pPr>
      <w:r>
        <w:rPr>
          <w:rFonts w:ascii="Garamond" w:hAnsi="Garamond" w:cs="Times New Roman"/>
          <w:szCs w:val="24"/>
          <w:lang w:val="en-US"/>
        </w:rPr>
        <w:t>NAA</w:t>
      </w:r>
      <w:r>
        <w:rPr>
          <w:rFonts w:ascii="Garamond" w:hAnsi="Garamond" w:cs="Times New Roman"/>
          <w:szCs w:val="24"/>
          <w:lang w:val="en-US"/>
        </w:rPr>
        <w:tab/>
        <w:t>National Archives of Australia</w:t>
      </w:r>
    </w:p>
    <w:p w:rsidR="00252063" w:rsidRDefault="00252063">
      <w:pPr>
        <w:widowControl w:val="0"/>
        <w:tabs>
          <w:tab w:val="left" w:pos="1800"/>
        </w:tabs>
        <w:kinsoku w:val="0"/>
        <w:overflowPunct w:val="0"/>
        <w:spacing w:before="201" w:after="0" w:line="243" w:lineRule="exact"/>
        <w:ind w:left="144"/>
        <w:textAlignment w:val="baseline"/>
        <w:rPr>
          <w:rFonts w:ascii="Garamond" w:hAnsi="Garamond" w:cs="Times New Roman"/>
          <w:spacing w:val="3"/>
          <w:szCs w:val="24"/>
          <w:lang w:val="en-US"/>
        </w:rPr>
      </w:pPr>
      <w:r>
        <w:rPr>
          <w:rFonts w:ascii="Garamond" w:hAnsi="Garamond" w:cs="Times New Roman"/>
          <w:spacing w:val="3"/>
          <w:szCs w:val="24"/>
          <w:lang w:val="en-US"/>
        </w:rPr>
        <w:t>NAIF</w:t>
      </w:r>
      <w:r>
        <w:rPr>
          <w:rFonts w:ascii="Garamond" w:hAnsi="Garamond" w:cs="Times New Roman"/>
          <w:spacing w:val="3"/>
          <w:szCs w:val="24"/>
          <w:lang w:val="en-US"/>
        </w:rPr>
        <w:tab/>
        <w:t>Northern Australia Infrastructure Facility</w:t>
      </w:r>
    </w:p>
    <w:p w:rsidR="00252063" w:rsidRDefault="00252063">
      <w:pPr>
        <w:widowControl w:val="0"/>
        <w:tabs>
          <w:tab w:val="left" w:pos="1800"/>
        </w:tabs>
        <w:kinsoku w:val="0"/>
        <w:overflowPunct w:val="0"/>
        <w:spacing w:before="213" w:after="0" w:line="243" w:lineRule="exact"/>
        <w:ind w:left="144"/>
        <w:textAlignment w:val="baseline"/>
        <w:rPr>
          <w:rFonts w:ascii="Garamond" w:hAnsi="Garamond" w:cs="Times New Roman"/>
          <w:szCs w:val="24"/>
          <w:lang w:val="en-US"/>
        </w:rPr>
      </w:pPr>
      <w:r>
        <w:rPr>
          <w:rFonts w:ascii="Garamond" w:hAnsi="Garamond" w:cs="Times New Roman"/>
          <w:szCs w:val="24"/>
          <w:lang w:val="en-US"/>
        </w:rPr>
        <w:t>NEVS</w:t>
      </w:r>
      <w:r>
        <w:rPr>
          <w:rFonts w:ascii="Garamond" w:hAnsi="Garamond" w:cs="Times New Roman"/>
          <w:szCs w:val="24"/>
          <w:lang w:val="en-US"/>
        </w:rPr>
        <w:tab/>
        <w:t>National Electric Vehicle Strategy</w:t>
      </w:r>
    </w:p>
    <w:p w:rsidR="00252063" w:rsidRDefault="00252063">
      <w:pPr>
        <w:widowControl w:val="0"/>
        <w:tabs>
          <w:tab w:val="left" w:pos="1800"/>
        </w:tabs>
        <w:kinsoku w:val="0"/>
        <w:overflowPunct w:val="0"/>
        <w:spacing w:before="222" w:after="0" w:line="241" w:lineRule="exact"/>
        <w:ind w:left="144"/>
        <w:textAlignment w:val="baseline"/>
        <w:rPr>
          <w:rFonts w:ascii="Garamond" w:hAnsi="Garamond" w:cs="Times New Roman"/>
          <w:szCs w:val="24"/>
          <w:lang w:val="en-US"/>
        </w:rPr>
      </w:pPr>
      <w:r>
        <w:rPr>
          <w:rFonts w:ascii="Garamond" w:hAnsi="Garamond" w:cs="Times New Roman"/>
          <w:szCs w:val="24"/>
          <w:lang w:val="en-US"/>
        </w:rPr>
        <w:t>NBN</w:t>
      </w:r>
      <w:r>
        <w:rPr>
          <w:rFonts w:ascii="Garamond" w:hAnsi="Garamond" w:cs="Times New Roman"/>
          <w:szCs w:val="24"/>
          <w:lang w:val="en-US"/>
        </w:rPr>
        <w:tab/>
        <w:t>National Broadband Network</w:t>
      </w:r>
    </w:p>
    <w:p w:rsidR="00252063" w:rsidRDefault="00252063">
      <w:pPr>
        <w:widowControl w:val="0"/>
        <w:tabs>
          <w:tab w:val="left" w:pos="1800"/>
        </w:tabs>
        <w:kinsoku w:val="0"/>
        <w:overflowPunct w:val="0"/>
        <w:spacing w:before="210" w:after="0" w:line="241" w:lineRule="exact"/>
        <w:ind w:left="144"/>
        <w:textAlignment w:val="baseline"/>
        <w:rPr>
          <w:rFonts w:ascii="Garamond" w:hAnsi="Garamond" w:cs="Times New Roman"/>
          <w:szCs w:val="24"/>
          <w:lang w:val="en-US"/>
        </w:rPr>
      </w:pPr>
      <w:r>
        <w:rPr>
          <w:rFonts w:ascii="Garamond" w:hAnsi="Garamond" w:cs="Times New Roman"/>
          <w:szCs w:val="24"/>
          <w:lang w:val="en-US"/>
        </w:rPr>
        <w:t>NBN Co</w:t>
      </w:r>
      <w:r>
        <w:rPr>
          <w:rFonts w:ascii="Garamond" w:hAnsi="Garamond" w:cs="Times New Roman"/>
          <w:szCs w:val="24"/>
          <w:lang w:val="en-US"/>
        </w:rPr>
        <w:tab/>
        <w:t>NBN Co Limited</w:t>
      </w:r>
    </w:p>
    <w:p w:rsidR="00252063" w:rsidRDefault="00252063">
      <w:pPr>
        <w:widowControl w:val="0"/>
        <w:tabs>
          <w:tab w:val="left" w:pos="1800"/>
        </w:tabs>
        <w:kinsoku w:val="0"/>
        <w:overflowPunct w:val="0"/>
        <w:spacing w:before="215" w:after="0" w:line="244" w:lineRule="exact"/>
        <w:ind w:left="144"/>
        <w:textAlignment w:val="baseline"/>
        <w:rPr>
          <w:rFonts w:ascii="Garamond" w:hAnsi="Garamond" w:cs="Times New Roman"/>
          <w:spacing w:val="4"/>
          <w:szCs w:val="24"/>
          <w:lang w:val="en-US"/>
        </w:rPr>
      </w:pPr>
      <w:r>
        <w:rPr>
          <w:rFonts w:ascii="Garamond" w:hAnsi="Garamond" w:cs="Times New Roman"/>
          <w:spacing w:val="4"/>
          <w:szCs w:val="24"/>
          <w:lang w:val="en-US"/>
        </w:rPr>
        <w:t>NCA</w:t>
      </w:r>
      <w:r>
        <w:rPr>
          <w:rFonts w:ascii="Garamond" w:hAnsi="Garamond" w:cs="Times New Roman"/>
          <w:spacing w:val="4"/>
          <w:szCs w:val="24"/>
          <w:lang w:val="en-US"/>
        </w:rPr>
        <w:tab/>
        <w:t>National Capital Authority</w:t>
      </w:r>
    </w:p>
    <w:p w:rsidR="00252063" w:rsidRDefault="00252063">
      <w:pPr>
        <w:widowControl w:val="0"/>
        <w:tabs>
          <w:tab w:val="left" w:pos="1800"/>
        </w:tabs>
        <w:kinsoku w:val="0"/>
        <w:overflowPunct w:val="0"/>
        <w:spacing w:before="208" w:after="0" w:line="241" w:lineRule="exact"/>
        <w:ind w:left="144"/>
        <w:textAlignment w:val="baseline"/>
        <w:rPr>
          <w:rFonts w:ascii="Garamond" w:hAnsi="Garamond" w:cs="Times New Roman"/>
          <w:szCs w:val="24"/>
          <w:lang w:val="en-US"/>
        </w:rPr>
      </w:pPr>
      <w:r>
        <w:rPr>
          <w:rFonts w:ascii="Garamond" w:hAnsi="Garamond" w:cs="Times New Roman"/>
          <w:szCs w:val="24"/>
          <w:lang w:val="en-US"/>
        </w:rPr>
        <w:t>nfp</w:t>
      </w:r>
      <w:r>
        <w:rPr>
          <w:rFonts w:ascii="Garamond" w:hAnsi="Garamond" w:cs="Times New Roman"/>
          <w:szCs w:val="24"/>
          <w:lang w:val="en-US"/>
        </w:rPr>
        <w:tab/>
        <w:t>not for publication</w:t>
      </w:r>
    </w:p>
    <w:p w:rsidR="00252063" w:rsidRDefault="00252063">
      <w:pPr>
        <w:widowControl w:val="0"/>
        <w:tabs>
          <w:tab w:val="left" w:pos="1800"/>
        </w:tabs>
        <w:kinsoku w:val="0"/>
        <w:overflowPunct w:val="0"/>
        <w:spacing w:before="215" w:after="0" w:line="243" w:lineRule="exact"/>
        <w:ind w:left="144"/>
        <w:textAlignment w:val="baseline"/>
        <w:rPr>
          <w:rFonts w:ascii="Garamond" w:hAnsi="Garamond" w:cs="Times New Roman"/>
          <w:szCs w:val="24"/>
          <w:lang w:val="en-US"/>
        </w:rPr>
      </w:pPr>
      <w:r>
        <w:rPr>
          <w:rFonts w:ascii="Garamond" w:hAnsi="Garamond" w:cs="Times New Roman"/>
          <w:szCs w:val="24"/>
          <w:lang w:val="en-US"/>
        </w:rPr>
        <w:t>NFRA</w:t>
      </w:r>
      <w:r>
        <w:rPr>
          <w:rFonts w:ascii="Garamond" w:hAnsi="Garamond" w:cs="Times New Roman"/>
          <w:szCs w:val="24"/>
          <w:lang w:val="en-US"/>
        </w:rPr>
        <w:tab/>
        <w:t>National Faster Rail Agency</w:t>
      </w:r>
    </w:p>
    <w:p w:rsidR="00252063" w:rsidRDefault="00252063">
      <w:pPr>
        <w:widowControl w:val="0"/>
        <w:tabs>
          <w:tab w:val="left" w:pos="1800"/>
        </w:tabs>
        <w:kinsoku w:val="0"/>
        <w:overflowPunct w:val="0"/>
        <w:spacing w:before="208" w:after="0" w:line="241" w:lineRule="exact"/>
        <w:ind w:left="144"/>
        <w:textAlignment w:val="baseline"/>
        <w:rPr>
          <w:rFonts w:ascii="Garamond" w:hAnsi="Garamond" w:cs="Times New Roman"/>
          <w:spacing w:val="3"/>
          <w:szCs w:val="24"/>
          <w:lang w:val="en-US"/>
        </w:rPr>
      </w:pPr>
      <w:r>
        <w:rPr>
          <w:rFonts w:ascii="Garamond" w:hAnsi="Garamond" w:cs="Times New Roman"/>
          <w:spacing w:val="3"/>
          <w:szCs w:val="24"/>
          <w:lang w:val="en-US"/>
        </w:rPr>
        <w:t>NFSA</w:t>
      </w:r>
      <w:r>
        <w:rPr>
          <w:rFonts w:ascii="Garamond" w:hAnsi="Garamond" w:cs="Times New Roman"/>
          <w:spacing w:val="3"/>
          <w:szCs w:val="24"/>
          <w:lang w:val="en-US"/>
        </w:rPr>
        <w:tab/>
        <w:t>National Film and Sound Archive of Australia</w:t>
      </w:r>
    </w:p>
    <w:p w:rsidR="00252063" w:rsidRDefault="00252063">
      <w:pPr>
        <w:widowControl w:val="0"/>
        <w:tabs>
          <w:tab w:val="left" w:pos="1800"/>
        </w:tabs>
        <w:kinsoku w:val="0"/>
        <w:overflowPunct w:val="0"/>
        <w:spacing w:before="215" w:after="288" w:line="243" w:lineRule="exact"/>
        <w:ind w:left="144"/>
        <w:textAlignment w:val="baseline"/>
        <w:rPr>
          <w:rFonts w:ascii="Garamond" w:hAnsi="Garamond" w:cs="Times New Roman"/>
          <w:szCs w:val="24"/>
          <w:lang w:val="en-US"/>
        </w:rPr>
      </w:pPr>
      <w:r>
        <w:rPr>
          <w:rFonts w:ascii="Garamond" w:hAnsi="Garamond" w:cs="Times New Roman"/>
          <w:szCs w:val="24"/>
          <w:lang w:val="en-US"/>
        </w:rPr>
        <w:t>NGA</w:t>
      </w:r>
      <w:r>
        <w:rPr>
          <w:rFonts w:ascii="Garamond" w:hAnsi="Garamond" w:cs="Times New Roman"/>
          <w:szCs w:val="24"/>
          <w:lang w:val="en-US"/>
        </w:rPr>
        <w:tab/>
        <w:t>National Gallery of Australia</w:t>
      </w:r>
    </w:p>
    <w:p w:rsidR="00252063" w:rsidRDefault="00E7390B">
      <w:pPr>
        <w:widowControl w:val="0"/>
        <w:kinsoku w:val="0"/>
        <w:overflowPunct w:val="0"/>
        <w:spacing w:before="221" w:after="0" w:line="208"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76672"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4D1C" id="Line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NAFAIAACkEAAAOAAAAZHJzL2Uyb0RvYy54bWysU82O2jAQvlfqO1i+QxI2Sy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KeeM0AUAgAAKQ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r w:rsidR="00252063">
        <w:rPr>
          <w:rFonts w:ascii="Arial" w:hAnsi="Arial" w:cs="Times New Roman"/>
          <w:sz w:val="18"/>
          <w:szCs w:val="24"/>
          <w:lang w:val="en-US"/>
        </w:rPr>
        <w:t xml:space="preserve">Acronyms | </w:t>
      </w:r>
      <w:r w:rsidR="00252063">
        <w:rPr>
          <w:rFonts w:ascii="Arial" w:hAnsi="Arial" w:cs="Times New Roman"/>
          <w:b/>
          <w:sz w:val="18"/>
          <w:szCs w:val="24"/>
          <w:lang w:val="en-US"/>
        </w:rPr>
        <w:t>Page 127</w:t>
      </w:r>
    </w:p>
    <w:p w:rsidR="00252063" w:rsidRDefault="00252063">
      <w:pPr>
        <w:autoSpaceDE w:val="0"/>
        <w:autoSpaceDN w:val="0"/>
        <w:adjustRightInd w:val="0"/>
        <w:spacing w:after="0" w:line="240" w:lineRule="auto"/>
        <w:rPr>
          <w:rFonts w:ascii="Times New Roman" w:hAnsi="Times New Roman" w:cs="Times New Roman"/>
          <w:sz w:val="24"/>
          <w:szCs w:val="24"/>
          <w:lang w:val="en-US"/>
        </w:rPr>
        <w:sectPr w:rsidR="00252063">
          <w:pgSz w:w="9979" w:h="14174"/>
          <w:pgMar w:top="520" w:right="1099" w:bottom="197" w:left="110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588"/>
        <w:gridCol w:w="6192"/>
      </w:tblGrid>
      <w:tr w:rsidR="00252063">
        <w:tblPrEx>
          <w:tblCellMar>
            <w:top w:w="0" w:type="dxa"/>
            <w:left w:w="0" w:type="dxa"/>
            <w:bottom w:w="0" w:type="dxa"/>
            <w:right w:w="0" w:type="dxa"/>
          </w:tblCellMar>
        </w:tblPrEx>
        <w:trPr>
          <w:trHeight w:hRule="exact" w:val="251"/>
        </w:trPr>
        <w:tc>
          <w:tcPr>
            <w:tcW w:w="1588" w:type="dxa"/>
            <w:tcBorders>
              <w:top w:val="nil"/>
              <w:left w:val="nil"/>
              <w:bottom w:val="nil"/>
              <w:right w:val="nil"/>
            </w:tcBorders>
          </w:tcPr>
          <w:p w:rsidR="00252063" w:rsidRDefault="00252063">
            <w:pPr>
              <w:widowControl w:val="0"/>
              <w:kinsoku w:val="0"/>
              <w:overflowPunct w:val="0"/>
              <w:spacing w:after="22" w:line="229" w:lineRule="atLeast"/>
              <w:ind w:left="138"/>
              <w:jc w:val="righ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13" name="Picture 13" descr="_Pi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192" w:type="dxa"/>
            <w:tcBorders>
              <w:top w:val="nil"/>
              <w:left w:val="nil"/>
              <w:bottom w:val="nil"/>
              <w:right w:val="nil"/>
            </w:tcBorders>
            <w:vAlign w:val="center"/>
          </w:tcPr>
          <w:p w:rsidR="00252063" w:rsidRDefault="00252063">
            <w:pPr>
              <w:widowControl w:val="0"/>
              <w:kinsoku w:val="0"/>
              <w:overflowPunct w:val="0"/>
              <w:spacing w:after="25" w:line="207" w:lineRule="exact"/>
              <w:ind w:right="2659"/>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252063" w:rsidRDefault="00252063">
      <w:pPr>
        <w:widowControl w:val="0"/>
        <w:kinsoku w:val="0"/>
        <w:overflowPunct w:val="0"/>
        <w:spacing w:after="880" w:line="20" w:lineRule="exact"/>
        <w:textAlignment w:val="baseline"/>
        <w:rPr>
          <w:rFonts w:ascii="Times New Roman" w:hAnsi="Times New Roman" w:cs="Times New Roman"/>
          <w:sz w:val="24"/>
          <w:szCs w:val="24"/>
          <w:lang w:val="en-US"/>
        </w:rPr>
      </w:pPr>
    </w:p>
    <w:p w:rsidR="00252063" w:rsidRDefault="00252063">
      <w:pPr>
        <w:widowControl w:val="0"/>
        <w:tabs>
          <w:tab w:val="left" w:pos="1800"/>
        </w:tabs>
        <w:kinsoku w:val="0"/>
        <w:overflowPunct w:val="0"/>
        <w:spacing w:before="6" w:after="0" w:line="242" w:lineRule="exact"/>
        <w:ind w:left="144"/>
        <w:textAlignment w:val="baseline"/>
        <w:rPr>
          <w:rFonts w:ascii="Times New Roman" w:hAnsi="Times New Roman" w:cs="Times New Roman"/>
          <w:b/>
          <w:sz w:val="21"/>
          <w:szCs w:val="24"/>
          <w:lang w:val="en-US"/>
        </w:rPr>
      </w:pPr>
      <w:r>
        <w:rPr>
          <w:rFonts w:ascii="Times New Roman" w:hAnsi="Times New Roman" w:cs="Times New Roman"/>
          <w:b/>
          <w:sz w:val="21"/>
          <w:szCs w:val="24"/>
          <w:lang w:val="en-US"/>
        </w:rPr>
        <w:t>Acronym</w:t>
      </w:r>
      <w:r>
        <w:rPr>
          <w:rFonts w:ascii="Times New Roman" w:hAnsi="Times New Roman" w:cs="Times New Roman"/>
          <w:b/>
          <w:sz w:val="21"/>
          <w:szCs w:val="24"/>
          <w:lang w:val="en-US"/>
        </w:rPr>
        <w:tab/>
        <w:t>Meaning</w:t>
      </w:r>
    </w:p>
    <w:p w:rsidR="00252063" w:rsidRDefault="00252063">
      <w:pPr>
        <w:widowControl w:val="0"/>
        <w:tabs>
          <w:tab w:val="left" w:pos="1800"/>
        </w:tabs>
        <w:kinsoku w:val="0"/>
        <w:overflowPunct w:val="0"/>
        <w:spacing w:before="214" w:after="0" w:line="247"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NLA</w:t>
      </w:r>
      <w:r>
        <w:rPr>
          <w:rFonts w:ascii="Times New Roman" w:hAnsi="Times New Roman" w:cs="Times New Roman"/>
          <w:spacing w:val="3"/>
          <w:sz w:val="21"/>
          <w:szCs w:val="24"/>
          <w:lang w:val="en-US"/>
        </w:rPr>
        <w:tab/>
        <w:t>National Library of Australia</w:t>
      </w:r>
    </w:p>
    <w:p w:rsidR="00252063" w:rsidRDefault="00252063">
      <w:pPr>
        <w:widowControl w:val="0"/>
        <w:tabs>
          <w:tab w:val="left" w:pos="1800"/>
        </w:tabs>
        <w:kinsoku w:val="0"/>
        <w:overflowPunct w:val="0"/>
        <w:spacing w:before="204" w:after="0" w:line="247" w:lineRule="exact"/>
        <w:ind w:left="144"/>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NMA</w:t>
      </w:r>
      <w:r>
        <w:rPr>
          <w:rFonts w:ascii="Times New Roman" w:hAnsi="Times New Roman" w:cs="Times New Roman"/>
          <w:spacing w:val="4"/>
          <w:sz w:val="21"/>
          <w:szCs w:val="24"/>
          <w:lang w:val="en-US"/>
        </w:rPr>
        <w:tab/>
        <w:t>National Museum of Australia</w:t>
      </w:r>
    </w:p>
    <w:p w:rsidR="00252063" w:rsidRDefault="00252063">
      <w:pPr>
        <w:widowControl w:val="0"/>
        <w:tabs>
          <w:tab w:val="left" w:pos="1800"/>
        </w:tabs>
        <w:kinsoku w:val="0"/>
        <w:overflowPunct w:val="0"/>
        <w:spacing w:before="164" w:after="0" w:line="249" w:lineRule="exact"/>
        <w:ind w:left="1800" w:right="1008" w:hanging="165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NOPSEMA</w:t>
      </w:r>
      <w:r>
        <w:rPr>
          <w:rFonts w:ascii="Times New Roman" w:hAnsi="Times New Roman" w:cs="Times New Roman"/>
          <w:sz w:val="21"/>
          <w:szCs w:val="24"/>
          <w:lang w:val="en-US"/>
        </w:rPr>
        <w:tab/>
        <w:t>National Offshore Petroleum Safety and Environmental Management Authority</w:t>
      </w:r>
    </w:p>
    <w:p w:rsidR="00252063" w:rsidRDefault="00252063">
      <w:pPr>
        <w:widowControl w:val="0"/>
        <w:tabs>
          <w:tab w:val="left" w:pos="1800"/>
        </w:tabs>
        <w:kinsoku w:val="0"/>
        <w:overflowPunct w:val="0"/>
        <w:spacing w:before="161" w:after="0" w:line="247"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NPGA</w:t>
      </w:r>
      <w:r>
        <w:rPr>
          <w:rFonts w:ascii="Times New Roman" w:hAnsi="Times New Roman" w:cs="Times New Roman"/>
          <w:spacing w:val="3"/>
          <w:sz w:val="21"/>
          <w:szCs w:val="24"/>
          <w:lang w:val="en-US"/>
        </w:rPr>
        <w:tab/>
        <w:t>National Portrait Gallery of Australia</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NTC</w:t>
      </w:r>
      <w:r>
        <w:rPr>
          <w:rFonts w:ascii="Times New Roman" w:hAnsi="Times New Roman" w:cs="Times New Roman"/>
          <w:spacing w:val="4"/>
          <w:sz w:val="21"/>
          <w:szCs w:val="24"/>
          <w:lang w:val="en-US"/>
        </w:rPr>
        <w:tab/>
        <w:t>National Transport Commission</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OPA</w:t>
      </w:r>
      <w:r>
        <w:rPr>
          <w:rFonts w:ascii="Times New Roman" w:hAnsi="Times New Roman" w:cs="Times New Roman"/>
          <w:sz w:val="21"/>
          <w:szCs w:val="24"/>
          <w:lang w:val="en-US"/>
        </w:rPr>
        <w:tab/>
        <w:t>Official Public Account</w:t>
      </w:r>
    </w:p>
    <w:p w:rsidR="00252063" w:rsidRDefault="00252063">
      <w:pPr>
        <w:widowControl w:val="0"/>
        <w:tabs>
          <w:tab w:val="left" w:pos="1800"/>
        </w:tabs>
        <w:kinsoku w:val="0"/>
        <w:overflowPunct w:val="0"/>
        <w:spacing w:before="204"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OPH</w:t>
      </w:r>
      <w:r>
        <w:rPr>
          <w:rFonts w:ascii="Times New Roman" w:hAnsi="Times New Roman" w:cs="Times New Roman"/>
          <w:sz w:val="21"/>
          <w:szCs w:val="24"/>
          <w:lang w:val="en-US"/>
        </w:rPr>
        <w:tab/>
        <w:t>Old Parliament House</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PB Statements</w:t>
      </w:r>
      <w:r>
        <w:rPr>
          <w:rFonts w:ascii="Times New Roman" w:hAnsi="Times New Roman" w:cs="Times New Roman"/>
          <w:sz w:val="21"/>
          <w:szCs w:val="24"/>
          <w:lang w:val="en-US"/>
        </w:rPr>
        <w:tab/>
        <w:t>Portfolio Budget Statements</w:t>
      </w:r>
    </w:p>
    <w:p w:rsidR="00252063" w:rsidRDefault="00252063">
      <w:pPr>
        <w:widowControl w:val="0"/>
        <w:tabs>
          <w:tab w:val="left" w:pos="1800"/>
        </w:tabs>
        <w:kinsoku w:val="0"/>
        <w:overflowPunct w:val="0"/>
        <w:spacing w:before="205" w:after="0" w:line="247"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PFAS</w:t>
      </w:r>
      <w:r>
        <w:rPr>
          <w:rFonts w:ascii="Times New Roman" w:hAnsi="Times New Roman" w:cs="Times New Roman"/>
          <w:spacing w:val="3"/>
          <w:sz w:val="21"/>
          <w:szCs w:val="24"/>
          <w:lang w:val="en-US"/>
        </w:rPr>
        <w:tab/>
        <w:t>Per-and Polyfluoroalkyl Substances</w:t>
      </w:r>
    </w:p>
    <w:p w:rsidR="00252063" w:rsidRDefault="00252063">
      <w:pPr>
        <w:widowControl w:val="0"/>
        <w:tabs>
          <w:tab w:val="left" w:pos="1800"/>
        </w:tabs>
        <w:kinsoku w:val="0"/>
        <w:overflowPunct w:val="0"/>
        <w:spacing w:before="198" w:after="0" w:line="247" w:lineRule="exact"/>
        <w:ind w:left="144"/>
        <w:textAlignment w:val="baseline"/>
        <w:rPr>
          <w:rFonts w:ascii="Times New Roman" w:hAnsi="Times New Roman" w:cs="Times New Roman"/>
          <w:i/>
          <w:spacing w:val="-3"/>
          <w:sz w:val="21"/>
          <w:szCs w:val="24"/>
          <w:lang w:val="en-US"/>
        </w:rPr>
      </w:pPr>
      <w:r>
        <w:rPr>
          <w:rFonts w:ascii="Times New Roman" w:hAnsi="Times New Roman" w:cs="Times New Roman"/>
          <w:spacing w:val="-3"/>
          <w:sz w:val="21"/>
          <w:szCs w:val="24"/>
          <w:lang w:val="en-US"/>
        </w:rPr>
        <w:t>PGPA Act</w:t>
      </w:r>
      <w:r>
        <w:rPr>
          <w:rFonts w:ascii="Times New Roman" w:hAnsi="Times New Roman" w:cs="Times New Roman"/>
          <w:spacing w:val="-3"/>
          <w:sz w:val="21"/>
          <w:szCs w:val="24"/>
          <w:lang w:val="en-US"/>
        </w:rPr>
        <w:tab/>
      </w:r>
      <w:r>
        <w:rPr>
          <w:rFonts w:ascii="Times New Roman" w:hAnsi="Times New Roman" w:cs="Times New Roman"/>
          <w:i/>
          <w:spacing w:val="-3"/>
          <w:sz w:val="21"/>
          <w:szCs w:val="24"/>
          <w:lang w:val="en-US"/>
        </w:rPr>
        <w:t>Public Governance, Performance and Accountability Act 2013</w:t>
      </w:r>
    </w:p>
    <w:p w:rsidR="00252063" w:rsidRDefault="00252063">
      <w:pPr>
        <w:widowControl w:val="0"/>
        <w:tabs>
          <w:tab w:val="left" w:pos="1800"/>
        </w:tabs>
        <w:kinsoku w:val="0"/>
        <w:overflowPunct w:val="0"/>
        <w:spacing w:before="215"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PSM</w:t>
      </w:r>
      <w:r>
        <w:rPr>
          <w:rFonts w:ascii="Times New Roman" w:hAnsi="Times New Roman" w:cs="Times New Roman"/>
          <w:sz w:val="21"/>
          <w:szCs w:val="24"/>
          <w:lang w:val="en-US"/>
        </w:rPr>
        <w:tab/>
        <w:t>Public Service Medal</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RAP</w:t>
      </w:r>
      <w:r>
        <w:rPr>
          <w:rFonts w:ascii="Times New Roman" w:hAnsi="Times New Roman" w:cs="Times New Roman"/>
          <w:sz w:val="21"/>
          <w:szCs w:val="24"/>
          <w:lang w:val="en-US"/>
        </w:rPr>
        <w:tab/>
        <w:t>Reconciliation Action Plan</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ROU</w:t>
      </w:r>
      <w:r>
        <w:rPr>
          <w:rFonts w:ascii="Times New Roman" w:hAnsi="Times New Roman" w:cs="Times New Roman"/>
          <w:sz w:val="21"/>
          <w:szCs w:val="24"/>
          <w:lang w:val="en-US"/>
        </w:rPr>
        <w:tab/>
        <w:t>Right of Use</w:t>
      </w:r>
    </w:p>
    <w:p w:rsidR="00252063" w:rsidRDefault="00252063">
      <w:pPr>
        <w:widowControl w:val="0"/>
        <w:tabs>
          <w:tab w:val="left" w:pos="1800"/>
        </w:tabs>
        <w:kinsoku w:val="0"/>
        <w:overflowPunct w:val="0"/>
        <w:spacing w:before="204" w:after="0" w:line="247"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SBS</w:t>
      </w:r>
      <w:r>
        <w:rPr>
          <w:rFonts w:ascii="Times New Roman" w:hAnsi="Times New Roman" w:cs="Times New Roman"/>
          <w:spacing w:val="3"/>
          <w:sz w:val="21"/>
          <w:szCs w:val="24"/>
          <w:lang w:val="en-US"/>
        </w:rPr>
        <w:tab/>
        <w:t>Special Broadcasting Service Corporation</w:t>
      </w:r>
    </w:p>
    <w:p w:rsidR="00252063" w:rsidRDefault="00252063">
      <w:pPr>
        <w:widowControl w:val="0"/>
        <w:tabs>
          <w:tab w:val="left" w:pos="1800"/>
        </w:tabs>
        <w:kinsoku w:val="0"/>
        <w:overflowPunct w:val="0"/>
        <w:spacing w:before="155" w:after="0" w:line="247"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SOETM</w:t>
      </w:r>
      <w:r>
        <w:rPr>
          <w:rFonts w:ascii="Times New Roman" w:hAnsi="Times New Roman" w:cs="Times New Roman"/>
          <w:spacing w:val="3"/>
          <w:sz w:val="21"/>
          <w:szCs w:val="24"/>
          <w:lang w:val="en-US"/>
        </w:rPr>
        <w:tab/>
        <w:t>Services for Other Entities and Trust Moneys</w:t>
      </w:r>
    </w:p>
    <w:p w:rsidR="00252063" w:rsidRDefault="00252063">
      <w:pPr>
        <w:widowControl w:val="0"/>
        <w:tabs>
          <w:tab w:val="left" w:pos="1800"/>
        </w:tabs>
        <w:kinsoku w:val="0"/>
        <w:overflowPunct w:val="0"/>
        <w:spacing w:before="258" w:after="0" w:line="247" w:lineRule="exact"/>
        <w:ind w:left="144"/>
        <w:textAlignment w:val="baseline"/>
        <w:rPr>
          <w:rFonts w:ascii="Times New Roman" w:hAnsi="Times New Roman" w:cs="Times New Roman"/>
          <w:spacing w:val="3"/>
          <w:sz w:val="21"/>
          <w:szCs w:val="24"/>
          <w:lang w:val="en-US"/>
        </w:rPr>
      </w:pPr>
      <w:r>
        <w:rPr>
          <w:rFonts w:ascii="Times New Roman" w:hAnsi="Times New Roman" w:cs="Times New Roman"/>
          <w:spacing w:val="3"/>
          <w:sz w:val="21"/>
          <w:szCs w:val="24"/>
          <w:lang w:val="en-US"/>
        </w:rPr>
        <w:t>Treasury</w:t>
      </w:r>
      <w:r>
        <w:rPr>
          <w:rFonts w:ascii="Times New Roman" w:hAnsi="Times New Roman" w:cs="Times New Roman"/>
          <w:spacing w:val="3"/>
          <w:sz w:val="21"/>
          <w:szCs w:val="24"/>
          <w:lang w:val="en-US"/>
        </w:rPr>
        <w:tab/>
        <w:t>The Department of the Treasury</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USO</w:t>
      </w:r>
      <w:r>
        <w:rPr>
          <w:rFonts w:ascii="Times New Roman" w:hAnsi="Times New Roman" w:cs="Times New Roman"/>
          <w:sz w:val="21"/>
          <w:szCs w:val="24"/>
          <w:lang w:val="en-US"/>
        </w:rPr>
        <w:tab/>
        <w:t>Universal Service Obligation</w:t>
      </w:r>
    </w:p>
    <w:p w:rsidR="00252063" w:rsidRDefault="00252063">
      <w:pPr>
        <w:widowControl w:val="0"/>
        <w:tabs>
          <w:tab w:val="left" w:pos="1800"/>
        </w:tabs>
        <w:kinsoku w:val="0"/>
        <w:overflowPunct w:val="0"/>
        <w:spacing w:before="209" w:after="0" w:line="247" w:lineRule="exact"/>
        <w:ind w:left="144"/>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USOAP</w:t>
      </w:r>
      <w:r>
        <w:rPr>
          <w:rFonts w:ascii="Times New Roman" w:hAnsi="Times New Roman" w:cs="Times New Roman"/>
          <w:spacing w:val="4"/>
          <w:sz w:val="21"/>
          <w:szCs w:val="24"/>
          <w:lang w:val="en-US"/>
        </w:rPr>
        <w:tab/>
        <w:t>Universal Safety Oversight Audit Program</w:t>
      </w:r>
    </w:p>
    <w:p w:rsidR="00252063" w:rsidRDefault="00252063">
      <w:pPr>
        <w:widowControl w:val="0"/>
        <w:tabs>
          <w:tab w:val="left" w:pos="1800"/>
        </w:tabs>
        <w:kinsoku w:val="0"/>
        <w:overflowPunct w:val="0"/>
        <w:spacing w:before="204" w:after="0"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VAST</w:t>
      </w:r>
      <w:r>
        <w:rPr>
          <w:rFonts w:ascii="Times New Roman" w:hAnsi="Times New Roman" w:cs="Times New Roman"/>
          <w:sz w:val="21"/>
          <w:szCs w:val="24"/>
          <w:lang w:val="en-US"/>
        </w:rPr>
        <w:tab/>
        <w:t>Viewer Access Satellite Television</w:t>
      </w:r>
    </w:p>
    <w:p w:rsidR="00252063" w:rsidRDefault="00252063">
      <w:pPr>
        <w:widowControl w:val="0"/>
        <w:tabs>
          <w:tab w:val="left" w:pos="1800"/>
        </w:tabs>
        <w:kinsoku w:val="0"/>
        <w:overflowPunct w:val="0"/>
        <w:spacing w:before="209" w:after="2094" w:line="247" w:lineRule="exact"/>
        <w:ind w:left="144"/>
        <w:textAlignment w:val="baseline"/>
        <w:rPr>
          <w:rFonts w:ascii="Times New Roman" w:hAnsi="Times New Roman" w:cs="Times New Roman"/>
          <w:sz w:val="21"/>
          <w:szCs w:val="24"/>
          <w:lang w:val="en-US"/>
        </w:rPr>
      </w:pPr>
      <w:r>
        <w:rPr>
          <w:rFonts w:ascii="Times New Roman" w:hAnsi="Times New Roman" w:cs="Times New Roman"/>
          <w:sz w:val="21"/>
          <w:szCs w:val="24"/>
          <w:lang w:val="en-US"/>
        </w:rPr>
        <w:t>WSA Co</w:t>
      </w:r>
      <w:r>
        <w:rPr>
          <w:rFonts w:ascii="Times New Roman" w:hAnsi="Times New Roman" w:cs="Times New Roman"/>
          <w:sz w:val="21"/>
          <w:szCs w:val="24"/>
          <w:lang w:val="en-US"/>
        </w:rPr>
        <w:tab/>
        <w:t>WSA Co Limited</w:t>
      </w:r>
    </w:p>
    <w:p w:rsidR="00252063" w:rsidRDefault="00E7390B">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77696"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F498" id="Line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fUFAIAACkEAAAOAAAAZHJzL2Uyb0RvYy54bWysU8uu2yAQ3VfqPyD2ie3EN3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JKh59QUAgAAKQ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r w:rsidR="00252063">
        <w:rPr>
          <w:rFonts w:ascii="Arial" w:hAnsi="Arial" w:cs="Times New Roman"/>
          <w:b/>
          <w:sz w:val="17"/>
          <w:szCs w:val="24"/>
          <w:lang w:val="en-US"/>
        </w:rPr>
        <w:t>Page 128 | Acronyms</w:t>
      </w:r>
    </w:p>
    <w:sectPr w:rsidR="00252063" w:rsidSect="00252063">
      <w:pgSz w:w="9979" w:h="14174"/>
      <w:pgMar w:top="520" w:right="1099" w:bottom="197"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063" w:rsidRDefault="00252063" w:rsidP="00252063">
      <w:pPr>
        <w:spacing w:after="0" w:line="240" w:lineRule="auto"/>
      </w:pPr>
      <w:r>
        <w:separator/>
      </w:r>
    </w:p>
  </w:endnote>
  <w:endnote w:type="continuationSeparator" w:id="0">
    <w:p w:rsidR="00252063" w:rsidRDefault="00252063" w:rsidP="0025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063" w:rsidRDefault="00252063">
      <w:pPr>
        <w:spacing w:after="0" w:line="240" w:lineRule="auto"/>
        <w:rPr>
          <w:rFonts w:ascii="Times New Roman" w:hAnsi="Times New Roman" w:cs="Times New Roman"/>
          <w:sz w:val="24"/>
          <w:szCs w:val="24"/>
          <w:lang w:val="en-US"/>
        </w:rPr>
      </w:pPr>
    </w:p>
  </w:footnote>
  <w:footnote w:type="continuationSeparator" w:id="0">
    <w:p w:rsidR="00252063" w:rsidRDefault="00252063" w:rsidP="00252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63"/>
    <w:rsid w:val="00252063"/>
    <w:rsid w:val="00E73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C019571F-303A-415F-9F76-93363797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Strategy</dc:creator>
  <cp:keywords/>
  <dc:description/>
  <cp:lastModifiedBy>Budget Strategy</cp:lastModifiedBy>
  <cp:revision>2</cp:revision>
  <dcterms:created xsi:type="dcterms:W3CDTF">2025-01-30T11:17:00Z</dcterms:created>
  <dcterms:modified xsi:type="dcterms:W3CDTF">2025-01-30T11:17:00Z</dcterms:modified>
</cp:coreProperties>
</file>