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228E" w14:textId="77777777" w:rsidR="00F60BE8" w:rsidRDefault="00F60BE8" w:rsidP="00F60BE8">
      <w:pPr>
        <w:framePr w:w="23814" w:h="3062" w:vSpace="181" w:wrap="around" w:vAnchor="page" w:hAnchor="page" w:xAlign="right" w:y="1" w:anchorLock="1"/>
        <w:shd w:val="clear" w:color="auto" w:fill="081E3E" w:themeFill="text2"/>
        <w:spacing w:before="0" w:after="0"/>
        <w:jc w:val="right"/>
      </w:pPr>
      <w:bookmarkStart w:id="0" w:name="_Hlk150152067"/>
      <w:r>
        <w:rPr>
          <w:noProof/>
        </w:rPr>
        <w:drawing>
          <wp:inline distT="0" distB="0" distL="0" distR="0" wp14:anchorId="490677D4" wp14:editId="5242CEAD">
            <wp:extent cx="2811600" cy="1947600"/>
            <wp:effectExtent l="0" t="0" r="8255" b="0"/>
            <wp:docPr id="1356721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1600" cy="1947600"/>
                    </a:xfrm>
                    <a:prstGeom prst="rect">
                      <a:avLst/>
                    </a:prstGeom>
                    <a:noFill/>
                    <a:ln>
                      <a:noFill/>
                    </a:ln>
                  </pic:spPr>
                </pic:pic>
              </a:graphicData>
            </a:graphic>
          </wp:inline>
        </w:drawing>
      </w:r>
    </w:p>
    <w:p w14:paraId="322487EC" w14:textId="045F190A" w:rsidR="00F60BE8" w:rsidRDefault="00F60BE8" w:rsidP="00F60BE8">
      <w:pPr>
        <w:framePr w:w="6464" w:h="1588" w:hSpace="181" w:wrap="around" w:vAnchor="page" w:hAnchor="page" w:x="1022" w:y="852" w:anchorLock="1"/>
      </w:pPr>
      <w:bookmarkStart w:id="1" w:name="_Toc49855348"/>
      <w:r>
        <w:rPr>
          <w:noProof/>
        </w:rPr>
        <w:drawing>
          <wp:inline distT="0" distB="0" distL="0" distR="0" wp14:anchorId="4F504DA7" wp14:editId="75B757DE">
            <wp:extent cx="4104005" cy="680720"/>
            <wp:effectExtent l="0" t="0" r="0" b="5080"/>
            <wp:docPr id="1668388242" name="Picture 4" descr="Australian Government&#10;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88242" name="Picture 4" descr="Australian Government&#10;Department of Infrastructure, Transport, Regional Development, Communications, Sport and the Ar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4005" cy="680720"/>
                    </a:xfrm>
                    <a:prstGeom prst="rect">
                      <a:avLst/>
                    </a:prstGeom>
                    <a:noFill/>
                    <a:ln>
                      <a:noFill/>
                    </a:ln>
                  </pic:spPr>
                </pic:pic>
              </a:graphicData>
            </a:graphic>
          </wp:inline>
        </w:drawing>
      </w:r>
    </w:p>
    <w:bookmarkEnd w:id="0"/>
    <w:bookmarkEnd w:id="1"/>
    <w:p w14:paraId="0F45D9F5" w14:textId="13DAF8A4" w:rsidR="00561534" w:rsidRPr="00322873" w:rsidRDefault="00561534" w:rsidP="00322873">
      <w:pPr>
        <w:pStyle w:val="Heading1"/>
      </w:pPr>
      <w:r w:rsidRPr="00322873">
        <w:t>2024-2026 Census Action Plan</w:t>
      </w:r>
    </w:p>
    <w:p w14:paraId="0822EDDD" w14:textId="77777777" w:rsidR="00EF1F66" w:rsidRDefault="00EF1F66" w:rsidP="00561534">
      <w:pPr>
        <w:rPr>
          <w:b/>
          <w:bCs/>
          <w:color w:val="081E3E" w:themeColor="text2"/>
          <w:sz w:val="36"/>
          <w:szCs w:val="36"/>
        </w:rPr>
      </w:pPr>
      <w:r w:rsidRPr="00EF1F66">
        <w:rPr>
          <w:b/>
          <w:bCs/>
          <w:color w:val="081E3E" w:themeColor="text2"/>
          <w:sz w:val="36"/>
          <w:szCs w:val="36"/>
        </w:rPr>
        <w:t xml:space="preserve">The department’s 2025 Census results show strong job satisfaction and performance against the broader APS. </w:t>
      </w:r>
    </w:p>
    <w:p w14:paraId="343FC662" w14:textId="77777777" w:rsidR="00EF1F66" w:rsidRPr="00EF1F66" w:rsidRDefault="00EF1F66" w:rsidP="00EF1F66">
      <w:pPr>
        <w:rPr>
          <w:color w:val="081E3E" w:themeColor="text2"/>
          <w:sz w:val="32"/>
          <w:szCs w:val="32"/>
        </w:rPr>
      </w:pPr>
      <w:r w:rsidRPr="00EF1F66">
        <w:rPr>
          <w:color w:val="081E3E" w:themeColor="text2"/>
          <w:sz w:val="32"/>
          <w:szCs w:val="32"/>
        </w:rPr>
        <w:t>They demonstrate stability, resilience and consistency, with most results remaining steady or improving slightly compared to 2024 – a continuation of steady growth from 2023. We have seen improvements in enabling innovation, wellbeing and support and immediate supervisor leadership. We have also seen a reduction in staff saying they experience workplace stress or burnout.</w:t>
      </w:r>
    </w:p>
    <w:p w14:paraId="0DAA5E45" w14:textId="77777777" w:rsidR="00EF1F66" w:rsidRPr="00EF1F66" w:rsidRDefault="00EF1F66" w:rsidP="00EF1F66">
      <w:pPr>
        <w:rPr>
          <w:color w:val="081E3E" w:themeColor="text2"/>
          <w:sz w:val="32"/>
          <w:szCs w:val="32"/>
        </w:rPr>
      </w:pPr>
      <w:r w:rsidRPr="00EF1F66">
        <w:rPr>
          <w:color w:val="081E3E" w:themeColor="text2"/>
          <w:sz w:val="32"/>
          <w:szCs w:val="32"/>
        </w:rPr>
        <w:t xml:space="preserve">In acknowledging the department’s continuing positive progress in the 2025 Census, we are mindful of not losing focus on the areas that got us to this point. </w:t>
      </w:r>
      <w:proofErr w:type="gramStart"/>
      <w:r w:rsidRPr="00EF1F66">
        <w:rPr>
          <w:color w:val="081E3E" w:themeColor="text2"/>
          <w:sz w:val="32"/>
          <w:szCs w:val="32"/>
        </w:rPr>
        <w:t>With this in mind, our</w:t>
      </w:r>
      <w:proofErr w:type="gramEnd"/>
      <w:r w:rsidRPr="00EF1F66">
        <w:rPr>
          <w:color w:val="081E3E" w:themeColor="text2"/>
          <w:sz w:val="32"/>
          <w:szCs w:val="32"/>
        </w:rPr>
        <w:t xml:space="preserve"> departmental Census Action Plan will move from focusing on the one-year census results, to a continuum of focus areas, addressing issues for sustained success in a considered manner. </w:t>
      </w:r>
    </w:p>
    <w:p w14:paraId="595ADC42" w14:textId="5BEF272D" w:rsidR="00677C96" w:rsidRDefault="00EF1F66" w:rsidP="00EF1F66">
      <w:r w:rsidRPr="00EF1F66">
        <w:rPr>
          <w:color w:val="081E3E" w:themeColor="text2"/>
          <w:sz w:val="32"/>
          <w:szCs w:val="32"/>
        </w:rPr>
        <w:t>The success of the action plan is not just in the goals and actions below, but in the energy and willingness with which our staff engage with them. We ask all our staff to take a proactive approach to lead and participate in the actions or utilising developed tools and materials to achieve our goals. It is through our collective accountability, leadership and commitment to progress that we will continue our upward trajectory in future results.</w:t>
      </w:r>
      <w:r w:rsidR="00322873">
        <w:br w:type="column"/>
      </w:r>
      <w:r w:rsidR="00B42EC2">
        <w:rPr>
          <w:noProof/>
        </w:rPr>
        <w:drawing>
          <wp:inline distT="0" distB="0" distL="0" distR="0" wp14:anchorId="3F6525AA" wp14:editId="2B1F9582">
            <wp:extent cx="7865998" cy="7508865"/>
            <wp:effectExtent l="0" t="0" r="0" b="0"/>
            <wp:docPr id="87344792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47923" name="Picture 4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865998" cy="7508865"/>
                    </a:xfrm>
                    <a:prstGeom prst="rect">
                      <a:avLst/>
                    </a:prstGeom>
                    <a:noFill/>
                    <a:ln>
                      <a:noFill/>
                    </a:ln>
                  </pic:spPr>
                </pic:pic>
              </a:graphicData>
            </a:graphic>
          </wp:inline>
        </w:drawing>
      </w:r>
    </w:p>
    <w:p w14:paraId="39AC2923" w14:textId="77777777" w:rsidR="00677C96" w:rsidRDefault="00677C96" w:rsidP="00677C96">
      <w:pPr>
        <w:sectPr w:rsidR="00677C96" w:rsidSect="00D60F5E">
          <w:headerReference w:type="even" r:id="rId14"/>
          <w:footerReference w:type="even" r:id="rId15"/>
          <w:footerReference w:type="default" r:id="rId16"/>
          <w:headerReference w:type="first" r:id="rId17"/>
          <w:footerReference w:type="first" r:id="rId18"/>
          <w:type w:val="continuous"/>
          <w:pgSz w:w="23811" w:h="16838" w:orient="landscape" w:code="8"/>
          <w:pgMar w:top="720" w:right="720" w:bottom="720" w:left="720" w:header="340" w:footer="397" w:gutter="0"/>
          <w:cols w:num="2" w:sep="1" w:space="1701" w:equalWidth="0">
            <w:col w:w="7938" w:space="1701"/>
            <w:col w:w="12732"/>
          </w:cols>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shd w:val="clear" w:color="auto" w:fill="FFFFFF" w:themeFill="background1"/>
        <w:tblCellMar>
          <w:top w:w="113" w:type="dxa"/>
          <w:left w:w="113" w:type="dxa"/>
          <w:bottom w:w="113" w:type="dxa"/>
          <w:right w:w="113" w:type="dxa"/>
        </w:tblCellMar>
        <w:tblLook w:val="04A0" w:firstRow="1" w:lastRow="0" w:firstColumn="1" w:lastColumn="0" w:noHBand="0" w:noVBand="1"/>
      </w:tblPr>
      <w:tblGrid>
        <w:gridCol w:w="4253"/>
        <w:gridCol w:w="18002"/>
      </w:tblGrid>
      <w:tr w:rsidR="00E52B7B" w14:paraId="341599F8" w14:textId="77777777" w:rsidTr="00E52B7B">
        <w:trPr>
          <w:trHeight w:val="1134"/>
        </w:trPr>
        <w:tc>
          <w:tcPr>
            <w:tcW w:w="4253" w:type="dxa"/>
            <w:tcBorders>
              <w:bottom w:val="nil"/>
            </w:tcBorders>
            <w:vAlign w:val="center"/>
          </w:tcPr>
          <w:p w14:paraId="19266373" w14:textId="29164C63" w:rsidR="00E52B7B" w:rsidRPr="00083F86" w:rsidRDefault="00E52B7B" w:rsidP="00295044">
            <w:pPr>
              <w:pStyle w:val="Bullet1"/>
              <w:numPr>
                <w:ilvl w:val="0"/>
                <w:numId w:val="0"/>
              </w:numPr>
              <w:spacing w:before="0"/>
              <w:jc w:val="center"/>
              <w:rPr>
                <w:b/>
                <w:bCs/>
                <w:color w:val="49515C" w:themeColor="accent4" w:themeShade="80"/>
                <w:sz w:val="40"/>
                <w:szCs w:val="40"/>
              </w:rPr>
            </w:pPr>
            <w:r>
              <w:rPr>
                <w:b/>
                <w:bCs/>
                <w:noProof/>
                <w:color w:val="49515C" w:themeColor="accent4" w:themeShade="80"/>
                <w:sz w:val="40"/>
                <w:szCs w:val="40"/>
              </w:rPr>
              <w:lastRenderedPageBreak/>
              <w:drawing>
                <wp:inline distT="0" distB="0" distL="0" distR="0" wp14:anchorId="223C9067" wp14:editId="0E108734">
                  <wp:extent cx="684000" cy="684000"/>
                  <wp:effectExtent l="0" t="0" r="1905" b="1905"/>
                  <wp:docPr id="85267285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672853" name="Picture 2">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18002" w:type="dxa"/>
            <w:tcBorders>
              <w:bottom w:val="nil"/>
            </w:tcBorders>
            <w:vAlign w:val="center"/>
          </w:tcPr>
          <w:p w14:paraId="59913E73" w14:textId="401838A6" w:rsidR="00E52B7B" w:rsidRPr="00083F86" w:rsidRDefault="00E52B7B" w:rsidP="00295044">
            <w:pPr>
              <w:pStyle w:val="Bullet1"/>
              <w:numPr>
                <w:ilvl w:val="0"/>
                <w:numId w:val="0"/>
              </w:numPr>
              <w:spacing w:before="0"/>
              <w:jc w:val="center"/>
              <w:rPr>
                <w:b/>
                <w:bCs/>
                <w:color w:val="49515C" w:themeColor="accent4" w:themeShade="80"/>
                <w:sz w:val="40"/>
                <w:szCs w:val="40"/>
              </w:rPr>
            </w:pPr>
            <w:r>
              <w:rPr>
                <w:b/>
                <w:bCs/>
                <w:noProof/>
                <w:color w:val="49515C" w:themeColor="accent4" w:themeShade="80"/>
                <w:sz w:val="40"/>
                <w:szCs w:val="40"/>
              </w:rPr>
              <w:drawing>
                <wp:inline distT="0" distB="0" distL="0" distR="0" wp14:anchorId="7C4207E0" wp14:editId="2A6F6208">
                  <wp:extent cx="684000" cy="684000"/>
                  <wp:effectExtent l="0" t="0" r="1905" b="1905"/>
                  <wp:docPr id="13416805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80566" name="Picture 4">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r>
      <w:tr w:rsidR="00E52B7B" w14:paraId="1CA0FE66" w14:textId="77777777" w:rsidTr="00E52B7B">
        <w:trPr>
          <w:trHeight w:val="340"/>
        </w:trPr>
        <w:tc>
          <w:tcPr>
            <w:tcW w:w="4253" w:type="dxa"/>
            <w:tcBorders>
              <w:bottom w:val="single" w:sz="8" w:space="0" w:color="9AA3AF" w:themeColor="accent4"/>
            </w:tcBorders>
          </w:tcPr>
          <w:p w14:paraId="0AD5DA29" w14:textId="26D599F9" w:rsidR="00E52B7B" w:rsidRPr="00090B0A" w:rsidRDefault="00E52B7B" w:rsidP="00F5730E">
            <w:pPr>
              <w:pStyle w:val="Bullet1"/>
              <w:numPr>
                <w:ilvl w:val="0"/>
                <w:numId w:val="0"/>
              </w:numPr>
              <w:spacing w:before="0"/>
              <w:ind w:left="227" w:right="227"/>
              <w:jc w:val="center"/>
              <w:rPr>
                <w:b/>
                <w:bCs/>
                <w:color w:val="49515C" w:themeColor="accent4" w:themeShade="80"/>
                <w:sz w:val="24"/>
                <w:szCs w:val="24"/>
              </w:rPr>
            </w:pPr>
            <w:r w:rsidRPr="00090B0A">
              <w:rPr>
                <w:b/>
                <w:bCs/>
                <w:color w:val="49515C" w:themeColor="accent4" w:themeShade="80"/>
                <w:sz w:val="24"/>
                <w:szCs w:val="24"/>
              </w:rPr>
              <w:t xml:space="preserve">What you </w:t>
            </w:r>
            <w:r>
              <w:rPr>
                <w:b/>
                <w:bCs/>
                <w:color w:val="49515C" w:themeColor="accent4" w:themeShade="80"/>
                <w:sz w:val="24"/>
                <w:szCs w:val="24"/>
              </w:rPr>
              <w:t>told us</w:t>
            </w:r>
          </w:p>
        </w:tc>
        <w:tc>
          <w:tcPr>
            <w:tcW w:w="18002" w:type="dxa"/>
            <w:tcBorders>
              <w:bottom w:val="single" w:sz="8" w:space="0" w:color="9AA3AF" w:themeColor="accent4"/>
            </w:tcBorders>
          </w:tcPr>
          <w:p w14:paraId="45064565" w14:textId="20783D77" w:rsidR="00E52B7B" w:rsidRPr="00090B0A" w:rsidRDefault="00E52B7B" w:rsidP="00F5730E">
            <w:pPr>
              <w:pStyle w:val="Bullet1"/>
              <w:numPr>
                <w:ilvl w:val="0"/>
                <w:numId w:val="0"/>
              </w:numPr>
              <w:spacing w:before="0"/>
              <w:ind w:left="227" w:right="227"/>
              <w:jc w:val="center"/>
              <w:rPr>
                <w:b/>
                <w:bCs/>
                <w:color w:val="49515C" w:themeColor="accent4" w:themeShade="80"/>
                <w:sz w:val="24"/>
                <w:szCs w:val="24"/>
              </w:rPr>
            </w:pPr>
            <w:r w:rsidRPr="00090B0A">
              <w:rPr>
                <w:b/>
                <w:bCs/>
                <w:color w:val="49515C" w:themeColor="accent4" w:themeShade="80"/>
                <w:sz w:val="24"/>
                <w:szCs w:val="24"/>
              </w:rPr>
              <w:t>What we are doing</w:t>
            </w:r>
          </w:p>
        </w:tc>
      </w:tr>
      <w:tr w:rsidR="00E52B7B" w14:paraId="46582257" w14:textId="77777777" w:rsidTr="00E52B7B">
        <w:trPr>
          <w:trHeight w:val="1475"/>
        </w:trPr>
        <w:tc>
          <w:tcPr>
            <w:tcW w:w="4253" w:type="dxa"/>
            <w:tcBorders>
              <w:top w:val="single" w:sz="8" w:space="0" w:color="9AA3AF" w:themeColor="accent4"/>
              <w:bottom w:val="single" w:sz="8" w:space="0" w:color="9AA3AF" w:themeColor="accent4"/>
            </w:tcBorders>
            <w:shd w:val="clear" w:color="auto" w:fill="EAECEF" w:themeFill="accent4" w:themeFillTint="33"/>
          </w:tcPr>
          <w:p w14:paraId="674C4633" w14:textId="71234E77" w:rsidR="00E52B7B" w:rsidRPr="00E52B7B" w:rsidRDefault="00E52B7B" w:rsidP="00E52B7B">
            <w:pPr>
              <w:spacing w:beforeLines="20" w:before="48"/>
              <w:rPr>
                <w:b/>
                <w:bCs/>
              </w:rPr>
            </w:pPr>
            <w:r w:rsidRPr="00E52B7B">
              <w:rPr>
                <w:b/>
                <w:bCs/>
              </w:rPr>
              <w:t>You are experiencing lower levels of bullying, harassment and discrimination; however, you are less likely to report the behaviours when they are experienced for fear of repercussion or inaction.</w:t>
            </w:r>
          </w:p>
        </w:tc>
        <w:tc>
          <w:tcPr>
            <w:tcW w:w="18002" w:type="dxa"/>
            <w:tcBorders>
              <w:top w:val="single" w:sz="8" w:space="0" w:color="9AA3AF" w:themeColor="accent4"/>
              <w:bottom w:val="single" w:sz="8" w:space="0" w:color="9AA3AF" w:themeColor="accent4"/>
            </w:tcBorders>
            <w:shd w:val="clear" w:color="auto" w:fill="EAECEF" w:themeFill="accent4" w:themeFillTint="33"/>
          </w:tcPr>
          <w:p w14:paraId="0AE2F6A4" w14:textId="77777777" w:rsidR="00E52B7B" w:rsidRDefault="00E52B7B" w:rsidP="00E52B7B">
            <w:r>
              <w:t>We want to ensure that our department is a place where staff feel supported, safe, and confident to report instances of unacceptable behaviour. We will:</w:t>
            </w:r>
          </w:p>
          <w:p w14:paraId="401CBA55" w14:textId="77777777" w:rsidR="00E52B7B" w:rsidRDefault="00E52B7B" w:rsidP="00E52B7B">
            <w:pPr>
              <w:pStyle w:val="Bullet1"/>
            </w:pPr>
            <w:r>
              <w:t>continue to promote the zero tolerance of bullying, harassment and discrimination in the department.</w:t>
            </w:r>
          </w:p>
          <w:p w14:paraId="29253708" w14:textId="77777777" w:rsidR="00E52B7B" w:rsidRDefault="00E52B7B" w:rsidP="00E52B7B">
            <w:pPr>
              <w:pStyle w:val="Bullet1"/>
            </w:pPr>
            <w:r>
              <w:t xml:space="preserve">continue to deliver Workplace Respect and Courtesy and </w:t>
            </w:r>
            <w:proofErr w:type="spellStart"/>
            <w:r>
              <w:t>Respect@Work</w:t>
            </w:r>
            <w:proofErr w:type="spellEnd"/>
            <w:r>
              <w:t xml:space="preserve"> training.</w:t>
            </w:r>
          </w:p>
          <w:p w14:paraId="13BCF3D1" w14:textId="77777777" w:rsidR="00E52B7B" w:rsidRDefault="00E52B7B" w:rsidP="00E52B7B">
            <w:pPr>
              <w:pStyle w:val="Bullet1"/>
            </w:pPr>
            <w:r>
              <w:t>promote incident reporting avenues, including transparency and awareness around what happens after an incident report is submitted and how confidentiality is protected.</w:t>
            </w:r>
          </w:p>
          <w:p w14:paraId="24C5764D" w14:textId="52E25E75" w:rsidR="00E52B7B" w:rsidRDefault="00E52B7B" w:rsidP="00E52B7B">
            <w:pPr>
              <w:pStyle w:val="Bullet1"/>
            </w:pPr>
            <w:r>
              <w:t>complete work on the Cultural Safety Framework and Anti-Racism Strategy.</w:t>
            </w:r>
          </w:p>
        </w:tc>
      </w:tr>
      <w:tr w:rsidR="00E52B7B" w14:paraId="52FB6288" w14:textId="77777777" w:rsidTr="00E52B7B">
        <w:trPr>
          <w:trHeight w:val="456"/>
        </w:trPr>
        <w:tc>
          <w:tcPr>
            <w:tcW w:w="4253" w:type="dxa"/>
            <w:tcBorders>
              <w:top w:val="single" w:sz="8" w:space="0" w:color="9AA3AF" w:themeColor="accent4"/>
              <w:bottom w:val="single" w:sz="8" w:space="0" w:color="9AA3AF" w:themeColor="accent4"/>
            </w:tcBorders>
            <w:shd w:val="clear" w:color="auto" w:fill="EAECEF" w:themeFill="accent4" w:themeFillTint="33"/>
          </w:tcPr>
          <w:p w14:paraId="3E2A508D" w14:textId="728615DA" w:rsidR="00E52B7B" w:rsidRPr="00E52B7B" w:rsidRDefault="00E52B7B" w:rsidP="00E52B7B">
            <w:pPr>
              <w:spacing w:beforeLines="20" w:before="48"/>
              <w:rPr>
                <w:b/>
                <w:bCs/>
              </w:rPr>
            </w:pPr>
            <w:r w:rsidRPr="00E52B7B">
              <w:rPr>
                <w:b/>
                <w:bCs/>
              </w:rPr>
              <w:t xml:space="preserve">You said that you felt greater personal attachment to your group than the department, resulting in the perception of silos across the organisation. </w:t>
            </w:r>
          </w:p>
        </w:tc>
        <w:tc>
          <w:tcPr>
            <w:tcW w:w="18002" w:type="dxa"/>
            <w:tcBorders>
              <w:top w:val="single" w:sz="8" w:space="0" w:color="9AA3AF" w:themeColor="accent4"/>
              <w:bottom w:val="single" w:sz="8" w:space="0" w:color="9AA3AF" w:themeColor="accent4"/>
            </w:tcBorders>
            <w:shd w:val="clear" w:color="auto" w:fill="EAECEF" w:themeFill="accent4" w:themeFillTint="33"/>
          </w:tcPr>
          <w:p w14:paraId="32E8E331" w14:textId="77777777" w:rsidR="00E52B7B" w:rsidRDefault="00E52B7B" w:rsidP="00E52B7B">
            <w:r>
              <w:t>We want to use existing communication channels and events to inform and educate staff across the department about the work of individual groups and business areas by:</w:t>
            </w:r>
          </w:p>
          <w:p w14:paraId="2B609636" w14:textId="77777777" w:rsidR="00E52B7B" w:rsidRDefault="00E52B7B" w:rsidP="00E52B7B">
            <w:pPr>
              <w:pStyle w:val="Bullet1"/>
            </w:pPr>
            <w:r>
              <w:t>promoting the good work occurring across the department to ensure work is celebrated appropriately.</w:t>
            </w:r>
          </w:p>
          <w:p w14:paraId="3E8D6F80" w14:textId="336F4D11" w:rsidR="00E52B7B" w:rsidRDefault="00E52B7B" w:rsidP="00E52B7B">
            <w:pPr>
              <w:pStyle w:val="Bullet1"/>
            </w:pPr>
            <w:r>
              <w:t>enhancing the Secretary's Awards process to provide greater recognition based on demonstrated impacts and contributions to the direction and priorities of the department as led by each group.</w:t>
            </w:r>
          </w:p>
        </w:tc>
      </w:tr>
      <w:tr w:rsidR="00E52B7B" w14:paraId="3BFAA526" w14:textId="77777777" w:rsidTr="00E52B7B">
        <w:trPr>
          <w:trHeight w:val="100"/>
        </w:trPr>
        <w:tc>
          <w:tcPr>
            <w:tcW w:w="4253" w:type="dxa"/>
            <w:tcBorders>
              <w:top w:val="single" w:sz="8" w:space="0" w:color="9AA3AF" w:themeColor="accent4"/>
              <w:bottom w:val="single" w:sz="8" w:space="0" w:color="9AA3AF" w:themeColor="accent4"/>
            </w:tcBorders>
            <w:shd w:val="clear" w:color="auto" w:fill="EAECEF" w:themeFill="accent4" w:themeFillTint="33"/>
          </w:tcPr>
          <w:p w14:paraId="10FFDDDD" w14:textId="1D013852" w:rsidR="00E52B7B" w:rsidRPr="00E52B7B" w:rsidRDefault="00E52B7B" w:rsidP="00E52B7B">
            <w:pPr>
              <w:spacing w:beforeLines="20" w:before="48"/>
              <w:rPr>
                <w:b/>
                <w:bCs/>
              </w:rPr>
            </w:pPr>
            <w:r w:rsidRPr="00E52B7B">
              <w:rPr>
                <w:b/>
                <w:bCs/>
              </w:rPr>
              <w:t>While a large portion of staff are happy with the mobility opportunities within the department, you have indicated that you would like to see improved options.</w:t>
            </w:r>
          </w:p>
        </w:tc>
        <w:tc>
          <w:tcPr>
            <w:tcW w:w="18002" w:type="dxa"/>
            <w:tcBorders>
              <w:top w:val="single" w:sz="8" w:space="0" w:color="9AA3AF" w:themeColor="accent4"/>
              <w:bottom w:val="single" w:sz="8" w:space="0" w:color="9AA3AF" w:themeColor="accent4"/>
            </w:tcBorders>
            <w:shd w:val="clear" w:color="auto" w:fill="EAECEF" w:themeFill="accent4" w:themeFillTint="33"/>
          </w:tcPr>
          <w:p w14:paraId="77D9BEEF" w14:textId="77777777" w:rsidR="00E52B7B" w:rsidRDefault="00E52B7B" w:rsidP="00E52B7B">
            <w:r>
              <w:t>We want to enhance the transparency and option of internal career development opportunities for our people by:</w:t>
            </w:r>
          </w:p>
          <w:p w14:paraId="777EDAC5" w14:textId="6960D6BF" w:rsidR="00E52B7B" w:rsidRDefault="00E52B7B" w:rsidP="00E52B7B">
            <w:pPr>
              <w:pStyle w:val="Bullet1"/>
            </w:pPr>
            <w:r>
              <w:t>developing and promoting a departmental Mobility Framework that allows business areas to address capability gaps and enables staff to utilise and enhance their skills and experience</w:t>
            </w:r>
            <w:r w:rsidR="00D94512">
              <w:t>.</w:t>
            </w:r>
          </w:p>
          <w:p w14:paraId="6DC50FC3" w14:textId="709AE97F" w:rsidR="00E52B7B" w:rsidRDefault="00E52B7B" w:rsidP="00E52B7B">
            <w:pPr>
              <w:pStyle w:val="Bullet1"/>
            </w:pPr>
            <w:r>
              <w:t xml:space="preserve">promoting the 70:20:10 learning model as detailed in the </w:t>
            </w:r>
            <w:hyperlink r:id="rId21" w:history="1">
              <w:r w:rsidRPr="00E52B7B">
                <w:rPr>
                  <w:rStyle w:val="Hyperlink"/>
                </w:rPr>
                <w:t>Learning Strategy 2025-2028</w:t>
              </w:r>
            </w:hyperlink>
            <w:r>
              <w:t>, focusing specifically on the 70 and 20 components by offering staff opportunities to learn on the job or learn from their peers either in their current role or by accessing a mobility opportunity.</w:t>
            </w:r>
          </w:p>
        </w:tc>
      </w:tr>
      <w:tr w:rsidR="00E52B7B" w14:paraId="23921B03" w14:textId="77777777" w:rsidTr="00E52B7B">
        <w:trPr>
          <w:trHeight w:val="233"/>
        </w:trPr>
        <w:tc>
          <w:tcPr>
            <w:tcW w:w="4253" w:type="dxa"/>
            <w:tcBorders>
              <w:top w:val="single" w:sz="8" w:space="0" w:color="9AA3AF" w:themeColor="accent4"/>
              <w:bottom w:val="single" w:sz="8" w:space="0" w:color="9AA3AF" w:themeColor="accent4"/>
            </w:tcBorders>
            <w:shd w:val="clear" w:color="auto" w:fill="EAECEF" w:themeFill="accent4" w:themeFillTint="33"/>
          </w:tcPr>
          <w:p w14:paraId="199E7FA5" w14:textId="52DA5976" w:rsidR="00E52B7B" w:rsidRPr="00E52B7B" w:rsidRDefault="00E52B7B" w:rsidP="00E52B7B">
            <w:pPr>
              <w:spacing w:beforeLines="20" w:before="48"/>
              <w:rPr>
                <w:b/>
                <w:bCs/>
              </w:rPr>
            </w:pPr>
            <w:r w:rsidRPr="00E52B7B">
              <w:rPr>
                <w:b/>
                <w:bCs/>
              </w:rPr>
              <w:t>You feel that departmental leadership could more overtly work as a team and could be better equipped with resources and information to communicate direction and priorities more effectively.</w:t>
            </w:r>
          </w:p>
        </w:tc>
        <w:tc>
          <w:tcPr>
            <w:tcW w:w="18002" w:type="dxa"/>
            <w:tcBorders>
              <w:top w:val="single" w:sz="8" w:space="0" w:color="9AA3AF" w:themeColor="accent4"/>
              <w:bottom w:val="single" w:sz="8" w:space="0" w:color="9AA3AF" w:themeColor="accent4"/>
            </w:tcBorders>
            <w:shd w:val="clear" w:color="auto" w:fill="EAECEF" w:themeFill="accent4" w:themeFillTint="33"/>
          </w:tcPr>
          <w:p w14:paraId="6873A7EF" w14:textId="77777777" w:rsidR="00E52B7B" w:rsidRDefault="00E52B7B" w:rsidP="00E52B7B">
            <w:r>
              <w:t>We agree that strong collaboration and information sharing leads to better outcomes, so we will address this by:</w:t>
            </w:r>
          </w:p>
          <w:p w14:paraId="37FE7A3B" w14:textId="09DAB055" w:rsidR="00E52B7B" w:rsidRDefault="00E52B7B" w:rsidP="00E52B7B">
            <w:pPr>
              <w:pStyle w:val="Bullet1"/>
            </w:pPr>
            <w:r>
              <w:t>expanding the SES Masterclasses series beyond respect at work to include other areas to uplift SES corporate capability</w:t>
            </w:r>
            <w:r w:rsidR="00D94512">
              <w:t>.</w:t>
            </w:r>
          </w:p>
          <w:p w14:paraId="38A3ED52" w14:textId="77777777" w:rsidR="00E52B7B" w:rsidRDefault="00E52B7B" w:rsidP="00E52B7B">
            <w:pPr>
              <w:pStyle w:val="Bullet1"/>
            </w:pPr>
            <w:r>
              <w:t>utilising SES All Staff Communications and SES Playbook to enhance communication across Divisions and Branches.</w:t>
            </w:r>
          </w:p>
          <w:p w14:paraId="6865C70D" w14:textId="03D42BFF" w:rsidR="00E52B7B" w:rsidRPr="0056655E" w:rsidRDefault="00E52B7B" w:rsidP="00E52B7B">
            <w:pPr>
              <w:pStyle w:val="Bullet1"/>
            </w:pPr>
            <w:r>
              <w:t>fully implementing the SES Performance Leadership Framework which places increased emphasis on leaders accountability for behaviours as well as performance; ensuring our leadership model our culture, working as a team and holding each other accountable.</w:t>
            </w:r>
          </w:p>
        </w:tc>
      </w:tr>
      <w:tr w:rsidR="00E52B7B" w14:paraId="2ED62527" w14:textId="77777777" w:rsidTr="00E52B7B">
        <w:trPr>
          <w:trHeight w:val="1782"/>
        </w:trPr>
        <w:tc>
          <w:tcPr>
            <w:tcW w:w="4253" w:type="dxa"/>
            <w:tcBorders>
              <w:top w:val="single" w:sz="8" w:space="0" w:color="9AA3AF" w:themeColor="accent4"/>
              <w:bottom w:val="single" w:sz="8" w:space="0" w:color="9AA3AF" w:themeColor="accent4"/>
            </w:tcBorders>
            <w:shd w:val="clear" w:color="auto" w:fill="EAECEF" w:themeFill="accent4" w:themeFillTint="33"/>
          </w:tcPr>
          <w:p w14:paraId="7BB587F7" w14:textId="1DA6DC23" w:rsidR="00E52B7B" w:rsidRPr="00E52B7B" w:rsidRDefault="00E52B7B" w:rsidP="00E52B7B">
            <w:pPr>
              <w:spacing w:beforeLines="20" w:before="48"/>
              <w:rPr>
                <w:b/>
                <w:bCs/>
              </w:rPr>
            </w:pPr>
            <w:r w:rsidRPr="00E52B7B">
              <w:rPr>
                <w:b/>
                <w:bCs/>
              </w:rPr>
              <w:t>While you believe that it is your responsibility to continually look for new ways to improve the way we work, you feel there is room for improvement for the agency to inspire you to be innovative and to recognise that failure is part of innovation.</w:t>
            </w:r>
          </w:p>
        </w:tc>
        <w:tc>
          <w:tcPr>
            <w:tcW w:w="18002" w:type="dxa"/>
            <w:tcBorders>
              <w:top w:val="single" w:sz="8" w:space="0" w:color="9AA3AF" w:themeColor="accent4"/>
              <w:bottom w:val="single" w:sz="8" w:space="0" w:color="9AA3AF" w:themeColor="accent4"/>
            </w:tcBorders>
            <w:shd w:val="clear" w:color="auto" w:fill="EAECEF" w:themeFill="accent4" w:themeFillTint="33"/>
          </w:tcPr>
          <w:p w14:paraId="5AB9F49B" w14:textId="77777777" w:rsidR="00E52B7B" w:rsidRDefault="00E52B7B" w:rsidP="00E52B7B">
            <w:r>
              <w:t xml:space="preserve">Innovation can take many forms, from creative policy reforms to new ways to deliver programs, to small process improvements that delivery increased productivity and efficiency. We understand that innovation and engaging with risk is a culture that needs to be promoted from leadership and fostered across all levels of the department. To improve our innovation culture, we will: </w:t>
            </w:r>
          </w:p>
          <w:p w14:paraId="2AE9D7B2" w14:textId="2BEF15BA" w:rsidR="00E52B7B" w:rsidRDefault="00E52B7B" w:rsidP="00E52B7B">
            <w:pPr>
              <w:pStyle w:val="Bullet1"/>
            </w:pPr>
            <w:r>
              <w:t>from the SES Performance Leadership Framework and Secretaries' Charter of Leadership Behaviours, expect our leaders to have an inquiring mind and be willing to innovate and change</w:t>
            </w:r>
            <w:r w:rsidR="00D94512">
              <w:t>.</w:t>
            </w:r>
            <w:r>
              <w:t xml:space="preserve"> </w:t>
            </w:r>
          </w:p>
          <w:p w14:paraId="68048507" w14:textId="034095E7" w:rsidR="00E52B7B" w:rsidRDefault="00E52B7B" w:rsidP="00E52B7B">
            <w:pPr>
              <w:pStyle w:val="Bullet1"/>
            </w:pPr>
            <w:r>
              <w:t>foster an environment where our staff are encouraged to collaborate, express concern, ask questions and share diverse views in an effort to develop better ways of working</w:t>
            </w:r>
            <w:r w:rsidR="00D94512">
              <w:t>.</w:t>
            </w:r>
          </w:p>
          <w:p w14:paraId="45FA4FDA" w14:textId="28D2B2BE" w:rsidR="00E52B7B" w:rsidRPr="0056655E" w:rsidRDefault="00E52B7B" w:rsidP="00E52B7B">
            <w:pPr>
              <w:pStyle w:val="Bullet1"/>
            </w:pPr>
            <w:r>
              <w:t>highlight areas of innovation and creative response to delivering government priorities to build our collective knowledge of how to find space for new ways to enhance outcomes through our actions to improve communication about what our diverse groups are delivering and focusing on</w:t>
            </w:r>
            <w:r w:rsidR="00D94512">
              <w:t>.</w:t>
            </w:r>
          </w:p>
        </w:tc>
      </w:tr>
      <w:tr w:rsidR="00E52B7B" w14:paraId="72E3F6CE" w14:textId="77777777" w:rsidTr="00E52B7B">
        <w:trPr>
          <w:trHeight w:val="1782"/>
        </w:trPr>
        <w:tc>
          <w:tcPr>
            <w:tcW w:w="4253" w:type="dxa"/>
            <w:tcBorders>
              <w:top w:val="single" w:sz="8" w:space="0" w:color="9AA3AF" w:themeColor="accent4"/>
            </w:tcBorders>
            <w:shd w:val="clear" w:color="auto" w:fill="EAECEF" w:themeFill="accent4" w:themeFillTint="33"/>
          </w:tcPr>
          <w:p w14:paraId="1BFE6584" w14:textId="2557DD25" w:rsidR="00E52B7B" w:rsidRPr="00E52B7B" w:rsidRDefault="00E52B7B" w:rsidP="00E52B7B">
            <w:pPr>
              <w:spacing w:beforeLines="20" w:before="48"/>
              <w:rPr>
                <w:b/>
                <w:bCs/>
              </w:rPr>
            </w:pPr>
            <w:r w:rsidRPr="00E52B7B">
              <w:rPr>
                <w:b/>
                <w:bCs/>
              </w:rPr>
              <w:t>Our staff identifying as neurodivergent would benefit from additional support to have a more equitable working experience in the department.</w:t>
            </w:r>
          </w:p>
        </w:tc>
        <w:tc>
          <w:tcPr>
            <w:tcW w:w="18002" w:type="dxa"/>
            <w:tcBorders>
              <w:top w:val="single" w:sz="8" w:space="0" w:color="9AA3AF" w:themeColor="accent4"/>
            </w:tcBorders>
            <w:shd w:val="clear" w:color="auto" w:fill="EAECEF" w:themeFill="accent4" w:themeFillTint="33"/>
          </w:tcPr>
          <w:p w14:paraId="6F2C0F5B" w14:textId="77777777" w:rsidR="00E52B7B" w:rsidRDefault="00E52B7B" w:rsidP="00E52B7B">
            <w:r>
              <w:t>We value diversity and want to enhance this and ensure our staff feel supported by:</w:t>
            </w:r>
          </w:p>
          <w:p w14:paraId="08560388" w14:textId="77777777" w:rsidR="00E52B7B" w:rsidRDefault="00E52B7B" w:rsidP="00E52B7B">
            <w:pPr>
              <w:pStyle w:val="Bullet1"/>
            </w:pPr>
            <w:r>
              <w:t>reviewing the department's Reasonable Workplace Adjustments policy and procedures, and anonymous reporting mechanisms to ensure that they are fit for purpose and psychologically safe.</w:t>
            </w:r>
          </w:p>
          <w:p w14:paraId="66D23A6B" w14:textId="34C9E9C9" w:rsidR="00E52B7B" w:rsidRDefault="00E52B7B" w:rsidP="00E52B7B">
            <w:pPr>
              <w:pStyle w:val="Bullet1"/>
            </w:pPr>
            <w:r>
              <w:t>scoping a project to strengthen inclusive and adaptive leadership capability through a manager focused program that supports inclusive practices</w:t>
            </w:r>
            <w:r w:rsidR="00D94512">
              <w:t>.</w:t>
            </w:r>
          </w:p>
          <w:p w14:paraId="2A17F5B0" w14:textId="417E50FE" w:rsidR="00E52B7B" w:rsidRDefault="00E52B7B" w:rsidP="00E52B7B">
            <w:pPr>
              <w:pStyle w:val="Bullet1"/>
            </w:pPr>
            <w:r>
              <w:t>piloting a Neurodiversity Coaching Support Program that will support staff identifying as neurodivergent to feel psychologically safe and thrive in the workplace in highly complex cases</w:t>
            </w:r>
            <w:r w:rsidR="00D94512">
              <w:t>.</w:t>
            </w:r>
          </w:p>
          <w:p w14:paraId="098949E1" w14:textId="74391A1B" w:rsidR="00E52B7B" w:rsidRPr="0056655E" w:rsidRDefault="00E52B7B" w:rsidP="00E52B7B">
            <w:pPr>
              <w:pStyle w:val="Bullet1"/>
            </w:pPr>
            <w:r>
              <w:t>reviewing and evaluating the pilot program after 6-months in operation to determine success and make recommendations about continuation and ongoing funding.</w:t>
            </w:r>
          </w:p>
        </w:tc>
      </w:tr>
    </w:tbl>
    <w:p w14:paraId="4AA4D9CD" w14:textId="309B869A" w:rsidR="008275D8" w:rsidRDefault="008275D8">
      <w:pPr>
        <w:suppressAutoHyphens w:val="0"/>
        <w:rPr>
          <w:lang w:val="x-none"/>
        </w:rPr>
      </w:pPr>
      <w:r>
        <w:br w:type="page"/>
      </w:r>
    </w:p>
    <w:tbl>
      <w:tblPr>
        <w:tblStyle w:val="TableGrid"/>
        <w:tblW w:w="0" w:type="auto"/>
        <w:tblBorders>
          <w:top w:val="none" w:sz="0" w:space="0" w:color="auto"/>
          <w:left w:val="none" w:sz="0" w:space="0" w:color="auto"/>
          <w:bottom w:val="none" w:sz="0" w:space="0" w:color="auto"/>
          <w:right w:val="none" w:sz="0" w:space="0" w:color="auto"/>
          <w:insideH w:val="single" w:sz="8" w:space="0" w:color="9AA3AF" w:themeColor="accent4"/>
          <w:insideV w:val="single" w:sz="48" w:space="0" w:color="FFFFFF" w:themeColor="background1"/>
        </w:tblBorders>
        <w:shd w:val="clear" w:color="auto" w:fill="F1F3F5"/>
        <w:tblLayout w:type="fixed"/>
        <w:tblCellMar>
          <w:top w:w="57" w:type="dxa"/>
          <w:left w:w="113" w:type="dxa"/>
          <w:bottom w:w="57" w:type="dxa"/>
          <w:right w:w="113" w:type="dxa"/>
        </w:tblCellMar>
        <w:tblLook w:val="04A0" w:firstRow="1" w:lastRow="0" w:firstColumn="1" w:lastColumn="0" w:noHBand="0" w:noVBand="1"/>
      </w:tblPr>
      <w:tblGrid>
        <w:gridCol w:w="2127"/>
        <w:gridCol w:w="2551"/>
        <w:gridCol w:w="6237"/>
        <w:gridCol w:w="6379"/>
        <w:gridCol w:w="5077"/>
      </w:tblGrid>
      <w:tr w:rsidR="008275D8" w14:paraId="1A5AB852" w14:textId="77777777" w:rsidTr="00206669">
        <w:trPr>
          <w:trHeight w:val="1077"/>
          <w:tblHeader/>
        </w:trPr>
        <w:tc>
          <w:tcPr>
            <w:tcW w:w="2127" w:type="dxa"/>
            <w:tcBorders>
              <w:top w:val="nil"/>
              <w:bottom w:val="nil"/>
            </w:tcBorders>
            <w:vAlign w:val="center"/>
          </w:tcPr>
          <w:p w14:paraId="74959F09" w14:textId="7AD1B31A" w:rsidR="008275D8" w:rsidRPr="007E107F" w:rsidRDefault="0072789F" w:rsidP="008D108B">
            <w:pPr>
              <w:jc w:val="center"/>
              <w:rPr>
                <w:color w:val="49515C" w:themeColor="accent4" w:themeShade="80"/>
                <w:sz w:val="40"/>
                <w:szCs w:val="40"/>
              </w:rPr>
            </w:pPr>
            <w:r>
              <w:rPr>
                <w:noProof/>
                <w:color w:val="49515C" w:themeColor="accent4" w:themeShade="80"/>
                <w:sz w:val="40"/>
                <w:szCs w:val="40"/>
              </w:rPr>
              <w:lastRenderedPageBreak/>
              <w:drawing>
                <wp:inline distT="0" distB="0" distL="0" distR="0" wp14:anchorId="1CDAA41E" wp14:editId="5A9E6D93">
                  <wp:extent cx="684000" cy="684000"/>
                  <wp:effectExtent l="0" t="0" r="1905" b="1905"/>
                  <wp:docPr id="116604763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047632" name="Picture 5">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2551" w:type="dxa"/>
            <w:tcBorders>
              <w:top w:val="nil"/>
              <w:bottom w:val="nil"/>
            </w:tcBorders>
            <w:vAlign w:val="center"/>
          </w:tcPr>
          <w:p w14:paraId="2B030818" w14:textId="0571C644" w:rsidR="008275D8" w:rsidRPr="007E107F" w:rsidRDefault="0072789F" w:rsidP="008D108B">
            <w:pPr>
              <w:jc w:val="center"/>
              <w:rPr>
                <w:color w:val="49515C" w:themeColor="accent4" w:themeShade="80"/>
                <w:sz w:val="40"/>
                <w:szCs w:val="40"/>
              </w:rPr>
            </w:pPr>
            <w:r>
              <w:rPr>
                <w:noProof/>
                <w:color w:val="49515C" w:themeColor="accent4" w:themeShade="80"/>
                <w:sz w:val="40"/>
                <w:szCs w:val="40"/>
              </w:rPr>
              <w:drawing>
                <wp:inline distT="0" distB="0" distL="0" distR="0" wp14:anchorId="78CFBEFE" wp14:editId="10CE6FA9">
                  <wp:extent cx="684000" cy="684000"/>
                  <wp:effectExtent l="0" t="0" r="1905" b="1905"/>
                  <wp:docPr id="149705389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53892" name="Picture 6">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6237" w:type="dxa"/>
            <w:tcBorders>
              <w:top w:val="nil"/>
              <w:bottom w:val="nil"/>
            </w:tcBorders>
            <w:vAlign w:val="center"/>
          </w:tcPr>
          <w:p w14:paraId="2E5A42E2" w14:textId="5F3E531F" w:rsidR="008275D8" w:rsidRPr="007E107F" w:rsidRDefault="0072789F" w:rsidP="008D108B">
            <w:pPr>
              <w:jc w:val="center"/>
              <w:rPr>
                <w:color w:val="49515C" w:themeColor="accent4" w:themeShade="80"/>
                <w:sz w:val="40"/>
                <w:szCs w:val="40"/>
              </w:rPr>
            </w:pPr>
            <w:r>
              <w:rPr>
                <w:noProof/>
                <w:color w:val="49515C" w:themeColor="accent4" w:themeShade="80"/>
                <w:sz w:val="40"/>
                <w:szCs w:val="40"/>
              </w:rPr>
              <w:drawing>
                <wp:inline distT="0" distB="0" distL="0" distR="0" wp14:anchorId="69309A10" wp14:editId="593CE949">
                  <wp:extent cx="684000" cy="684000"/>
                  <wp:effectExtent l="0" t="0" r="1905" b="1905"/>
                  <wp:docPr id="70229930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99306" name="Picture 7">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6379" w:type="dxa"/>
            <w:tcBorders>
              <w:top w:val="nil"/>
              <w:bottom w:val="nil"/>
            </w:tcBorders>
            <w:vAlign w:val="center"/>
          </w:tcPr>
          <w:p w14:paraId="57C49A7D" w14:textId="13076020" w:rsidR="008275D8" w:rsidRPr="007E107F" w:rsidRDefault="0072789F" w:rsidP="008D108B">
            <w:pPr>
              <w:jc w:val="center"/>
              <w:rPr>
                <w:color w:val="49515C" w:themeColor="accent4" w:themeShade="80"/>
                <w:sz w:val="40"/>
                <w:szCs w:val="40"/>
              </w:rPr>
            </w:pPr>
            <w:r>
              <w:rPr>
                <w:noProof/>
                <w:color w:val="49515C" w:themeColor="accent4" w:themeShade="80"/>
                <w:sz w:val="40"/>
                <w:szCs w:val="40"/>
              </w:rPr>
              <w:drawing>
                <wp:inline distT="0" distB="0" distL="0" distR="0" wp14:anchorId="28AC40C8" wp14:editId="6CDF9AA7">
                  <wp:extent cx="684000" cy="684000"/>
                  <wp:effectExtent l="0" t="0" r="1905" b="1905"/>
                  <wp:docPr id="132593302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33028" name="Picture 8">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c>
          <w:tcPr>
            <w:tcW w:w="5077" w:type="dxa"/>
            <w:tcBorders>
              <w:top w:val="nil"/>
              <w:bottom w:val="nil"/>
            </w:tcBorders>
            <w:vAlign w:val="center"/>
          </w:tcPr>
          <w:p w14:paraId="2C6784B4" w14:textId="7B921EC8" w:rsidR="008275D8" w:rsidRPr="007E107F" w:rsidRDefault="0072789F" w:rsidP="008D108B">
            <w:pPr>
              <w:jc w:val="center"/>
              <w:rPr>
                <w:color w:val="49515C" w:themeColor="accent4" w:themeShade="80"/>
                <w:sz w:val="40"/>
                <w:szCs w:val="40"/>
              </w:rPr>
            </w:pPr>
            <w:r>
              <w:rPr>
                <w:noProof/>
                <w:color w:val="49515C" w:themeColor="accent4" w:themeShade="80"/>
                <w:sz w:val="40"/>
                <w:szCs w:val="40"/>
              </w:rPr>
              <w:drawing>
                <wp:inline distT="0" distB="0" distL="0" distR="0" wp14:anchorId="2FB3EB00" wp14:editId="609FC89A">
                  <wp:extent cx="684000" cy="684000"/>
                  <wp:effectExtent l="0" t="0" r="1905" b="1905"/>
                  <wp:docPr id="142472380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23802" name="Picture 9">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inline>
              </w:drawing>
            </w:r>
          </w:p>
        </w:tc>
      </w:tr>
      <w:tr w:rsidR="008275D8" w14:paraId="59160E45" w14:textId="77777777" w:rsidTr="00206669">
        <w:trPr>
          <w:trHeight w:val="20"/>
          <w:tblHeader/>
        </w:trPr>
        <w:tc>
          <w:tcPr>
            <w:tcW w:w="2127" w:type="dxa"/>
            <w:tcBorders>
              <w:top w:val="nil"/>
            </w:tcBorders>
            <w:vAlign w:val="center"/>
          </w:tcPr>
          <w:p w14:paraId="255DEDD8" w14:textId="16FD7743" w:rsidR="008275D8" w:rsidRPr="00090B0A" w:rsidRDefault="008275D8" w:rsidP="008D108B">
            <w:pPr>
              <w:pStyle w:val="Bullet1"/>
              <w:numPr>
                <w:ilvl w:val="0"/>
                <w:numId w:val="0"/>
              </w:numPr>
              <w:jc w:val="center"/>
              <w:rPr>
                <w:b/>
                <w:bCs/>
                <w:color w:val="49515C" w:themeColor="accent4" w:themeShade="80"/>
                <w:sz w:val="24"/>
                <w:szCs w:val="24"/>
              </w:rPr>
            </w:pPr>
            <w:r w:rsidRPr="00090B0A">
              <w:rPr>
                <w:b/>
                <w:bCs/>
                <w:color w:val="49515C" w:themeColor="accent4" w:themeShade="80"/>
                <w:sz w:val="24"/>
                <w:szCs w:val="24"/>
              </w:rPr>
              <w:t>2024 target areas</w:t>
            </w:r>
          </w:p>
        </w:tc>
        <w:tc>
          <w:tcPr>
            <w:tcW w:w="2551" w:type="dxa"/>
            <w:tcBorders>
              <w:top w:val="nil"/>
            </w:tcBorders>
            <w:vAlign w:val="center"/>
          </w:tcPr>
          <w:p w14:paraId="1F7A38F5" w14:textId="7AAA2FF5" w:rsidR="008275D8" w:rsidRPr="00090B0A" w:rsidRDefault="008275D8" w:rsidP="008D108B">
            <w:pPr>
              <w:jc w:val="center"/>
              <w:rPr>
                <w:b/>
                <w:bCs/>
                <w:color w:val="49515C" w:themeColor="accent4" w:themeShade="80"/>
                <w:sz w:val="24"/>
                <w:szCs w:val="24"/>
              </w:rPr>
            </w:pPr>
            <w:r w:rsidRPr="00090B0A">
              <w:rPr>
                <w:b/>
                <w:bCs/>
                <w:color w:val="49515C" w:themeColor="accent4" w:themeShade="80"/>
                <w:sz w:val="24"/>
                <w:szCs w:val="24"/>
              </w:rPr>
              <w:t>What we want</w:t>
            </w:r>
          </w:p>
        </w:tc>
        <w:tc>
          <w:tcPr>
            <w:tcW w:w="6237" w:type="dxa"/>
            <w:tcBorders>
              <w:top w:val="nil"/>
            </w:tcBorders>
            <w:vAlign w:val="center"/>
          </w:tcPr>
          <w:p w14:paraId="2EE7DF67" w14:textId="1456AD6C" w:rsidR="008275D8" w:rsidRPr="00090B0A" w:rsidRDefault="008275D8" w:rsidP="008D108B">
            <w:pPr>
              <w:jc w:val="center"/>
              <w:rPr>
                <w:b/>
                <w:bCs/>
                <w:color w:val="49515C" w:themeColor="accent4" w:themeShade="80"/>
                <w:sz w:val="24"/>
                <w:szCs w:val="24"/>
              </w:rPr>
            </w:pPr>
            <w:r w:rsidRPr="00090B0A">
              <w:rPr>
                <w:b/>
                <w:bCs/>
                <w:color w:val="49515C" w:themeColor="accent4" w:themeShade="80"/>
                <w:sz w:val="24"/>
                <w:szCs w:val="24"/>
              </w:rPr>
              <w:t>What we committed to doing</w:t>
            </w:r>
          </w:p>
        </w:tc>
        <w:tc>
          <w:tcPr>
            <w:tcW w:w="6379" w:type="dxa"/>
            <w:tcBorders>
              <w:top w:val="nil"/>
            </w:tcBorders>
            <w:vAlign w:val="center"/>
          </w:tcPr>
          <w:p w14:paraId="10724870" w14:textId="7BA424BF" w:rsidR="008275D8" w:rsidRPr="00090B0A" w:rsidRDefault="008275D8" w:rsidP="008D108B">
            <w:pPr>
              <w:jc w:val="center"/>
              <w:rPr>
                <w:b/>
                <w:bCs/>
                <w:color w:val="49515C" w:themeColor="accent4" w:themeShade="80"/>
                <w:sz w:val="24"/>
                <w:szCs w:val="24"/>
              </w:rPr>
            </w:pPr>
            <w:r w:rsidRPr="00090B0A">
              <w:rPr>
                <w:b/>
                <w:bCs/>
                <w:color w:val="49515C" w:themeColor="accent4" w:themeShade="80"/>
                <w:sz w:val="24"/>
                <w:szCs w:val="24"/>
              </w:rPr>
              <w:t>What we</w:t>
            </w:r>
            <w:r w:rsidR="00175EA4">
              <w:rPr>
                <w:b/>
                <w:bCs/>
                <w:color w:val="49515C" w:themeColor="accent4" w:themeShade="80"/>
                <w:sz w:val="24"/>
                <w:szCs w:val="24"/>
              </w:rPr>
              <w:t xml:space="preserve"> have</w:t>
            </w:r>
            <w:r w:rsidRPr="00090B0A">
              <w:rPr>
                <w:b/>
                <w:bCs/>
                <w:color w:val="49515C" w:themeColor="accent4" w:themeShade="80"/>
                <w:sz w:val="24"/>
                <w:szCs w:val="24"/>
              </w:rPr>
              <w:t xml:space="preserve"> done</w:t>
            </w:r>
          </w:p>
        </w:tc>
        <w:tc>
          <w:tcPr>
            <w:tcW w:w="5077" w:type="dxa"/>
            <w:tcBorders>
              <w:top w:val="nil"/>
            </w:tcBorders>
            <w:vAlign w:val="center"/>
          </w:tcPr>
          <w:p w14:paraId="0B51B83F" w14:textId="6F99D89F" w:rsidR="008275D8" w:rsidRPr="00090B0A" w:rsidRDefault="008275D8" w:rsidP="008D108B">
            <w:pPr>
              <w:jc w:val="center"/>
              <w:rPr>
                <w:b/>
                <w:bCs/>
                <w:color w:val="49515C" w:themeColor="accent4" w:themeShade="80"/>
                <w:sz w:val="24"/>
                <w:szCs w:val="24"/>
              </w:rPr>
            </w:pPr>
            <w:r w:rsidRPr="00090B0A">
              <w:rPr>
                <w:b/>
                <w:bCs/>
                <w:color w:val="49515C" w:themeColor="accent4" w:themeShade="80"/>
                <w:sz w:val="24"/>
                <w:szCs w:val="24"/>
              </w:rPr>
              <w:t>What we will do or continue to do</w:t>
            </w:r>
          </w:p>
        </w:tc>
      </w:tr>
      <w:tr w:rsidR="009A0C69" w14:paraId="08A4ABB6" w14:textId="77777777" w:rsidTr="00206669">
        <w:trPr>
          <w:trHeight w:val="1425"/>
        </w:trPr>
        <w:tc>
          <w:tcPr>
            <w:tcW w:w="2127" w:type="dxa"/>
            <w:shd w:val="clear" w:color="auto" w:fill="EAECEF" w:themeFill="accent4" w:themeFillTint="33"/>
          </w:tcPr>
          <w:p w14:paraId="3E2E4E8C" w14:textId="66DB8E7C" w:rsidR="009A0C69" w:rsidRPr="009A0C69" w:rsidRDefault="009A0C69" w:rsidP="00206669">
            <w:pPr>
              <w:spacing w:before="60"/>
              <w:rPr>
                <w:b/>
                <w:bCs/>
                <w:szCs w:val="20"/>
              </w:rPr>
            </w:pPr>
            <w:r w:rsidRPr="009A0C69">
              <w:rPr>
                <w:b/>
                <w:bCs/>
              </w:rPr>
              <w:t>Wellbeing</w:t>
            </w:r>
          </w:p>
        </w:tc>
        <w:tc>
          <w:tcPr>
            <w:tcW w:w="2551" w:type="dxa"/>
            <w:shd w:val="clear" w:color="auto" w:fill="EAECEF" w:themeFill="accent4" w:themeFillTint="33"/>
          </w:tcPr>
          <w:p w14:paraId="118836C4" w14:textId="24DCF7D0" w:rsidR="009A0C69" w:rsidRPr="009A0C69" w:rsidRDefault="009A0C69" w:rsidP="009A0C69">
            <w:pPr>
              <w:pStyle w:val="Bullet1"/>
            </w:pPr>
            <w:r w:rsidRPr="009A0C69">
              <w:t>To have a work environment where staff are aware of the health and wellbeing support materials available to enhance their safety.</w:t>
            </w:r>
          </w:p>
        </w:tc>
        <w:tc>
          <w:tcPr>
            <w:tcW w:w="6237" w:type="dxa"/>
            <w:shd w:val="clear" w:color="auto" w:fill="EAECEF" w:themeFill="accent4" w:themeFillTint="33"/>
          </w:tcPr>
          <w:p w14:paraId="676A6639" w14:textId="77777777" w:rsidR="009A0C69" w:rsidRDefault="009A0C69" w:rsidP="009A0C69">
            <w:pPr>
              <w:pStyle w:val="Bullet1"/>
            </w:pPr>
            <w:r>
              <w:t>Run targeted awareness campaigns for topical or high priority issues and staff wellbeing offerings.</w:t>
            </w:r>
          </w:p>
          <w:p w14:paraId="5619D2D0" w14:textId="77E07F6E" w:rsidR="009A0C69" w:rsidRPr="009A0C69" w:rsidRDefault="009A0C69" w:rsidP="009A0C69">
            <w:pPr>
              <w:pStyle w:val="Bullet1"/>
            </w:pPr>
            <w:r>
              <w:t xml:space="preserve">Conduct the </w:t>
            </w:r>
            <w:proofErr w:type="spellStart"/>
            <w:r>
              <w:t>People@Work</w:t>
            </w:r>
            <w:proofErr w:type="spellEnd"/>
            <w:r>
              <w:t xml:space="preserve"> survey, release results and co-design an action plan with staff to enhance psychosocial safety in the workplace.</w:t>
            </w:r>
          </w:p>
        </w:tc>
        <w:tc>
          <w:tcPr>
            <w:tcW w:w="6379" w:type="dxa"/>
            <w:shd w:val="clear" w:color="auto" w:fill="EAECEF" w:themeFill="accent4" w:themeFillTint="33"/>
          </w:tcPr>
          <w:p w14:paraId="629E7933" w14:textId="77777777" w:rsidR="009A0C69" w:rsidRDefault="009A0C69" w:rsidP="009A0C69">
            <w:pPr>
              <w:pStyle w:val="Bullet1"/>
            </w:pPr>
            <w:r>
              <w:t>Delivered monthly awareness campaigns that highlight important safety and wellbeing initiatives.</w:t>
            </w:r>
          </w:p>
          <w:p w14:paraId="5CB4A23E" w14:textId="27DAD4BD" w:rsidR="009A0C69" w:rsidRPr="009A0C69" w:rsidRDefault="009A0C69" w:rsidP="009A0C69">
            <w:pPr>
              <w:pStyle w:val="Bullet1"/>
            </w:pPr>
            <w:r>
              <w:t xml:space="preserve">Conducted the People at Work survey and </w:t>
            </w:r>
            <w:hyperlink r:id="rId27" w:history="1">
              <w:r w:rsidRPr="009A0C69">
                <w:rPr>
                  <w:rStyle w:val="Hyperlink"/>
                </w:rPr>
                <w:t>released the results</w:t>
              </w:r>
            </w:hyperlink>
            <w:r>
              <w:t xml:space="preserve"> to staff. Staff consultation workshops were then conducted to support the development of the Mental Health Strategy and Psychosocial Risk Management Action Plan.</w:t>
            </w:r>
          </w:p>
        </w:tc>
        <w:tc>
          <w:tcPr>
            <w:tcW w:w="5077" w:type="dxa"/>
            <w:shd w:val="clear" w:color="auto" w:fill="EAECEF" w:themeFill="accent4" w:themeFillTint="33"/>
          </w:tcPr>
          <w:p w14:paraId="4A695471" w14:textId="77777777" w:rsidR="009A0C69" w:rsidRDefault="009A0C69" w:rsidP="009A0C69">
            <w:pPr>
              <w:pStyle w:val="Bullet1"/>
            </w:pPr>
            <w:r>
              <w:t>Continue to draw attention to important staff safety and wellbeing initiatives monthly.</w:t>
            </w:r>
          </w:p>
          <w:p w14:paraId="3FDC7C98" w14:textId="45D942ED" w:rsidR="009A0C69" w:rsidRPr="009A0C69" w:rsidRDefault="009A0C69" w:rsidP="009A0C69">
            <w:pPr>
              <w:pStyle w:val="Bullet1"/>
            </w:pPr>
            <w:r>
              <w:t>Launch the Mental Health Strategy and Psychosocial Risk Management Action Plan.</w:t>
            </w:r>
          </w:p>
        </w:tc>
      </w:tr>
      <w:tr w:rsidR="009A0C69" w14:paraId="785BA2DF" w14:textId="77777777" w:rsidTr="00206669">
        <w:trPr>
          <w:trHeight w:val="2835"/>
        </w:trPr>
        <w:tc>
          <w:tcPr>
            <w:tcW w:w="2127" w:type="dxa"/>
            <w:shd w:val="clear" w:color="auto" w:fill="EAECEF" w:themeFill="accent4" w:themeFillTint="33"/>
          </w:tcPr>
          <w:p w14:paraId="5B220E9E" w14:textId="0FF61DFD" w:rsidR="009A0C69" w:rsidRPr="009A0C69" w:rsidRDefault="009A0C69" w:rsidP="00206669">
            <w:pPr>
              <w:spacing w:before="60"/>
              <w:rPr>
                <w:b/>
                <w:bCs/>
                <w:szCs w:val="20"/>
              </w:rPr>
            </w:pPr>
            <w:r w:rsidRPr="009A0C69">
              <w:rPr>
                <w:b/>
                <w:bCs/>
              </w:rPr>
              <w:t>Performance (Individual and organisational)</w:t>
            </w:r>
          </w:p>
        </w:tc>
        <w:tc>
          <w:tcPr>
            <w:tcW w:w="2551" w:type="dxa"/>
            <w:shd w:val="clear" w:color="auto" w:fill="EAECEF" w:themeFill="accent4" w:themeFillTint="33"/>
          </w:tcPr>
          <w:p w14:paraId="2FD193EC" w14:textId="34628BF0" w:rsidR="009A0C69" w:rsidRDefault="009A0C69" w:rsidP="009A0C69">
            <w:pPr>
              <w:pStyle w:val="Bullet1"/>
            </w:pPr>
            <w:r>
              <w:t>To enhance our individual and collective performance by ensuring common purpose and clarity of expectations for staff.</w:t>
            </w:r>
          </w:p>
          <w:p w14:paraId="0A777C4E" w14:textId="098EDE07" w:rsidR="009A0C69" w:rsidRPr="006E79F2" w:rsidRDefault="009A0C69" w:rsidP="009A0C69">
            <w:pPr>
              <w:pStyle w:val="Bullet1"/>
            </w:pPr>
            <w:r>
              <w:t>Provide guidance and support on how to implement a best-practice change management approach across the department.</w:t>
            </w:r>
          </w:p>
        </w:tc>
        <w:tc>
          <w:tcPr>
            <w:tcW w:w="6237" w:type="dxa"/>
            <w:shd w:val="clear" w:color="auto" w:fill="EAECEF" w:themeFill="accent4" w:themeFillTint="33"/>
          </w:tcPr>
          <w:p w14:paraId="0C6F9F5A" w14:textId="77777777" w:rsidR="009A0C69" w:rsidRPr="009A0C69" w:rsidRDefault="009A0C69" w:rsidP="009A0C69">
            <w:pPr>
              <w:pStyle w:val="Bullet1"/>
              <w:rPr>
                <w:szCs w:val="20"/>
              </w:rPr>
            </w:pPr>
            <w:r w:rsidRPr="009A0C69">
              <w:rPr>
                <w:szCs w:val="20"/>
              </w:rPr>
              <w:t>Provide additional guidance on how to create good Thrive agreements, including incorporation of expectations and deliverables.</w:t>
            </w:r>
          </w:p>
          <w:p w14:paraId="3140FF89" w14:textId="77777777" w:rsidR="009A0C69" w:rsidRPr="009A0C69" w:rsidRDefault="009A0C69" w:rsidP="009A0C69">
            <w:pPr>
              <w:pStyle w:val="Bullet1"/>
              <w:rPr>
                <w:szCs w:val="20"/>
              </w:rPr>
            </w:pPr>
            <w:r w:rsidRPr="009A0C69">
              <w:rPr>
                <w:szCs w:val="20"/>
              </w:rPr>
              <w:t>Offer additional Thrive Supervisor Essentials and How to Thrive: Performance Exchange training sessions.</w:t>
            </w:r>
          </w:p>
          <w:p w14:paraId="2597FB52" w14:textId="77777777" w:rsidR="009A0C69" w:rsidRPr="009A0C69" w:rsidRDefault="009A0C69" w:rsidP="009A0C69">
            <w:pPr>
              <w:pStyle w:val="Bullet1"/>
              <w:rPr>
                <w:szCs w:val="20"/>
              </w:rPr>
            </w:pPr>
            <w:r w:rsidRPr="009A0C69">
              <w:rPr>
                <w:szCs w:val="20"/>
              </w:rPr>
              <w:t>Develop a position description template that articulates role requirements and alignment to objectives for staff and managers.</w:t>
            </w:r>
          </w:p>
          <w:p w14:paraId="27E00CEB" w14:textId="77777777" w:rsidR="009A0C69" w:rsidRPr="009A0C69" w:rsidRDefault="009A0C69" w:rsidP="009A0C69">
            <w:pPr>
              <w:pStyle w:val="Bullet1"/>
              <w:rPr>
                <w:szCs w:val="20"/>
              </w:rPr>
            </w:pPr>
            <w:r w:rsidRPr="009A0C69">
              <w:rPr>
                <w:szCs w:val="20"/>
              </w:rPr>
              <w:t>Ensure Division level business plans are developed and made available to staff via CONNECT to understand the priorities, key activities and associated risks within their division and how they contribute to the purpose and outcomes of the department.</w:t>
            </w:r>
          </w:p>
          <w:p w14:paraId="595C5981" w14:textId="77777777" w:rsidR="009A0C69" w:rsidRPr="009A0C69" w:rsidRDefault="009A0C69" w:rsidP="009A0C69">
            <w:pPr>
              <w:pStyle w:val="Bullet1"/>
              <w:rPr>
                <w:szCs w:val="20"/>
              </w:rPr>
            </w:pPr>
            <w:r w:rsidRPr="009A0C69">
              <w:rPr>
                <w:szCs w:val="20"/>
              </w:rPr>
              <w:t>Implement a Change Management Framework to provide detailed guidelines and best practices for managing change within the department.</w:t>
            </w:r>
          </w:p>
          <w:p w14:paraId="70BF40E0" w14:textId="46E2844D" w:rsidR="009A0C69" w:rsidRPr="0056655E" w:rsidRDefault="009A0C69" w:rsidP="009A0C69">
            <w:pPr>
              <w:pStyle w:val="Bullet1"/>
              <w:rPr>
                <w:szCs w:val="20"/>
              </w:rPr>
            </w:pPr>
            <w:r w:rsidRPr="009A0C69">
              <w:rPr>
                <w:szCs w:val="20"/>
              </w:rPr>
              <w:t>Foster collaboration and knowledge sharing through the Change Management Community of Practice.</w:t>
            </w:r>
          </w:p>
        </w:tc>
        <w:tc>
          <w:tcPr>
            <w:tcW w:w="6379" w:type="dxa"/>
            <w:shd w:val="clear" w:color="auto" w:fill="EAECEF" w:themeFill="accent4" w:themeFillTint="33"/>
          </w:tcPr>
          <w:p w14:paraId="5060C84C" w14:textId="77777777" w:rsidR="009A0C69" w:rsidRPr="009A0C69" w:rsidRDefault="009A0C69" w:rsidP="009A0C69">
            <w:pPr>
              <w:pStyle w:val="Bullet1"/>
              <w:rPr>
                <w:szCs w:val="20"/>
              </w:rPr>
            </w:pPr>
            <w:r w:rsidRPr="009A0C69">
              <w:rPr>
                <w:szCs w:val="20"/>
              </w:rPr>
              <w:t xml:space="preserve">Refreshed current and developed additional </w:t>
            </w:r>
            <w:proofErr w:type="spellStart"/>
            <w:r w:rsidRPr="009A0C69">
              <w:rPr>
                <w:szCs w:val="20"/>
              </w:rPr>
              <w:t>myTHRIVE</w:t>
            </w:r>
            <w:proofErr w:type="spellEnd"/>
            <w:r w:rsidRPr="009A0C69">
              <w:rPr>
                <w:szCs w:val="20"/>
              </w:rPr>
              <w:t xml:space="preserve"> training to include guidance on setting clear expectations and deliverables in THRIVE agreements.</w:t>
            </w:r>
          </w:p>
          <w:p w14:paraId="2BF0E201" w14:textId="77777777" w:rsidR="009A0C69" w:rsidRPr="009A0C69" w:rsidRDefault="009A0C69" w:rsidP="009A0C69">
            <w:pPr>
              <w:pStyle w:val="Bullet1"/>
              <w:rPr>
                <w:szCs w:val="20"/>
              </w:rPr>
            </w:pPr>
            <w:r w:rsidRPr="009A0C69">
              <w:rPr>
                <w:szCs w:val="20"/>
              </w:rPr>
              <w:t>In the lead-up to THRIVE performance exchanges, additional training sessions were scheduled for supervisors and staff.</w:t>
            </w:r>
          </w:p>
          <w:p w14:paraId="531B0466" w14:textId="168C24A6" w:rsidR="009A0C69" w:rsidRPr="009A0C69" w:rsidRDefault="009A0C69" w:rsidP="009A0C69">
            <w:pPr>
              <w:pStyle w:val="Bullet1"/>
              <w:rPr>
                <w:szCs w:val="20"/>
              </w:rPr>
            </w:pPr>
            <w:hyperlink r:id="rId28" w:history="1">
              <w:r w:rsidRPr="004A774F">
                <w:rPr>
                  <w:rStyle w:val="Hyperlink"/>
                  <w:szCs w:val="20"/>
                </w:rPr>
                <w:t>Position Description Template</w:t>
              </w:r>
            </w:hyperlink>
            <w:r w:rsidRPr="009A0C69">
              <w:rPr>
                <w:szCs w:val="20"/>
              </w:rPr>
              <w:t xml:space="preserve"> developed and available for use by staff and managers on CONNECT.</w:t>
            </w:r>
          </w:p>
          <w:p w14:paraId="4E849432" w14:textId="33D23086" w:rsidR="009A0C69" w:rsidRPr="009A0C69" w:rsidRDefault="009A0C69" w:rsidP="009A0C69">
            <w:pPr>
              <w:pStyle w:val="Bullet1"/>
              <w:rPr>
                <w:szCs w:val="20"/>
              </w:rPr>
            </w:pPr>
            <w:r w:rsidRPr="009A0C69">
              <w:rPr>
                <w:szCs w:val="20"/>
              </w:rPr>
              <w:t xml:space="preserve">Divisions across the department have undertaken division-level business planning and have made these available to staff.  A new </w:t>
            </w:r>
            <w:hyperlink r:id="rId29" w:history="1">
              <w:r w:rsidRPr="004A774F">
                <w:rPr>
                  <w:rStyle w:val="Hyperlink"/>
                  <w:szCs w:val="20"/>
                </w:rPr>
                <w:t>Business Planning Template</w:t>
              </w:r>
            </w:hyperlink>
            <w:r w:rsidRPr="009A0C69">
              <w:rPr>
                <w:szCs w:val="20"/>
              </w:rPr>
              <w:t xml:space="preserve"> was developed to articulate how divisions deliver on the departments purpose and outcomes.</w:t>
            </w:r>
          </w:p>
          <w:p w14:paraId="4F362585" w14:textId="55892705" w:rsidR="009A0C69" w:rsidRPr="009A0C69" w:rsidRDefault="009A0C69" w:rsidP="009A0C69">
            <w:pPr>
              <w:pStyle w:val="Bullet1"/>
              <w:rPr>
                <w:szCs w:val="20"/>
              </w:rPr>
            </w:pPr>
            <w:r w:rsidRPr="009A0C69">
              <w:rPr>
                <w:szCs w:val="20"/>
              </w:rPr>
              <w:t xml:space="preserve">The department determined the use of the APS Change Framework when planning and implementing change was appropriate. Guidelines and templates have been developed to assist with change management, which are available on the </w:t>
            </w:r>
            <w:hyperlink r:id="rId30" w:history="1">
              <w:r w:rsidRPr="004A774F">
                <w:rPr>
                  <w:rStyle w:val="Hyperlink"/>
                  <w:szCs w:val="20"/>
                </w:rPr>
                <w:t>Change Management</w:t>
              </w:r>
            </w:hyperlink>
            <w:r w:rsidRPr="009A0C69">
              <w:rPr>
                <w:szCs w:val="20"/>
              </w:rPr>
              <w:t xml:space="preserve"> CONNECT page.</w:t>
            </w:r>
          </w:p>
          <w:p w14:paraId="31728A2B" w14:textId="0116A562" w:rsidR="009A0C69" w:rsidRPr="0056655E" w:rsidRDefault="009A0C69" w:rsidP="009A0C69">
            <w:pPr>
              <w:pStyle w:val="Bullet1"/>
              <w:rPr>
                <w:szCs w:val="20"/>
              </w:rPr>
            </w:pPr>
            <w:r w:rsidRPr="009A0C69">
              <w:rPr>
                <w:szCs w:val="20"/>
              </w:rPr>
              <w:t xml:space="preserve">Established a </w:t>
            </w:r>
            <w:hyperlink r:id="rId31" w:history="1">
              <w:r w:rsidRPr="004A774F">
                <w:rPr>
                  <w:rStyle w:val="Hyperlink"/>
                  <w:szCs w:val="20"/>
                </w:rPr>
                <w:t>Change Management Community of Practice</w:t>
              </w:r>
            </w:hyperlink>
            <w:r w:rsidRPr="009A0C69">
              <w:rPr>
                <w:szCs w:val="20"/>
              </w:rPr>
              <w:t xml:space="preserve"> (CoP). The CoP is open to all staff who are interested in enhancing their change management skills and exploring new change management approaches.</w:t>
            </w:r>
          </w:p>
        </w:tc>
        <w:tc>
          <w:tcPr>
            <w:tcW w:w="5077" w:type="dxa"/>
            <w:shd w:val="clear" w:color="auto" w:fill="EAECEF" w:themeFill="accent4" w:themeFillTint="33"/>
          </w:tcPr>
          <w:p w14:paraId="76EC9583" w14:textId="77777777" w:rsidR="009A0C69" w:rsidRPr="009A0C69" w:rsidRDefault="009A0C69" w:rsidP="009A0C69">
            <w:pPr>
              <w:pStyle w:val="Bullet1"/>
              <w:rPr>
                <w:szCs w:val="20"/>
              </w:rPr>
            </w:pPr>
            <w:r w:rsidRPr="009A0C69">
              <w:rPr>
                <w:szCs w:val="20"/>
              </w:rPr>
              <w:t>Continue to ensure additional training sessions are available in the lead up to the THRIVE performance exchanges.</w:t>
            </w:r>
          </w:p>
          <w:p w14:paraId="6D30C051" w14:textId="77777777" w:rsidR="009A0C69" w:rsidRPr="009A0C69" w:rsidRDefault="009A0C69" w:rsidP="009A0C69">
            <w:pPr>
              <w:pStyle w:val="Bullet1"/>
              <w:rPr>
                <w:szCs w:val="20"/>
              </w:rPr>
            </w:pPr>
            <w:r w:rsidRPr="009A0C69">
              <w:rPr>
                <w:szCs w:val="20"/>
              </w:rPr>
              <w:t>Implement APS non-SES Performance Framework, including developing a new Thrive agreement template to support changes.</w:t>
            </w:r>
          </w:p>
          <w:p w14:paraId="024EDBD7" w14:textId="77777777" w:rsidR="009A0C69" w:rsidRPr="009A0C69" w:rsidRDefault="009A0C69" w:rsidP="009A0C69">
            <w:pPr>
              <w:pStyle w:val="Bullet1"/>
              <w:rPr>
                <w:szCs w:val="20"/>
              </w:rPr>
            </w:pPr>
            <w:r w:rsidRPr="009A0C69">
              <w:rPr>
                <w:szCs w:val="20"/>
              </w:rPr>
              <w:t>Encourage development of position descriptions to be attached to THRIVE agreements in line with the Mental Health Strategy and Psychosocial Risk Management Plan to increase staff clarity of role.</w:t>
            </w:r>
          </w:p>
          <w:p w14:paraId="7484269D" w14:textId="77777777" w:rsidR="00D94512" w:rsidRPr="00D94512" w:rsidRDefault="00D94512" w:rsidP="00D94512">
            <w:pPr>
              <w:pStyle w:val="Bullet1"/>
              <w:rPr>
                <w:szCs w:val="20"/>
              </w:rPr>
            </w:pPr>
            <w:r w:rsidRPr="00D94512">
              <w:rPr>
                <w:szCs w:val="20"/>
              </w:rPr>
              <w:t xml:space="preserve">Establish a Change Agent Network to partner with projects to increase the success rate of change by improving communication, fostering employee engagement, and providing business level support and focus on uplifting change management across SES and leadership cohorts .  </w:t>
            </w:r>
          </w:p>
          <w:p w14:paraId="11D375D2" w14:textId="1159FE88" w:rsidR="009A0C69" w:rsidRPr="0056655E" w:rsidRDefault="009A0C69" w:rsidP="009A0C69">
            <w:pPr>
              <w:pStyle w:val="Bullet1"/>
              <w:rPr>
                <w:szCs w:val="20"/>
              </w:rPr>
            </w:pPr>
            <w:r w:rsidRPr="009A0C69">
              <w:rPr>
                <w:szCs w:val="20"/>
              </w:rPr>
              <w:t>Integrate change management into project management where there is a high people impact.</w:t>
            </w:r>
          </w:p>
        </w:tc>
      </w:tr>
      <w:tr w:rsidR="009A0C69" w14:paraId="55C9E473" w14:textId="77777777" w:rsidTr="00206669">
        <w:trPr>
          <w:trHeight w:val="3426"/>
        </w:trPr>
        <w:tc>
          <w:tcPr>
            <w:tcW w:w="2127" w:type="dxa"/>
            <w:shd w:val="clear" w:color="auto" w:fill="EAECEF" w:themeFill="accent4" w:themeFillTint="33"/>
          </w:tcPr>
          <w:p w14:paraId="6E843DF2" w14:textId="6FE93ECF" w:rsidR="009A0C69" w:rsidRPr="009A0C69" w:rsidRDefault="009A0C69" w:rsidP="00206669">
            <w:pPr>
              <w:spacing w:before="60"/>
              <w:rPr>
                <w:b/>
                <w:bCs/>
                <w:szCs w:val="20"/>
              </w:rPr>
            </w:pPr>
            <w:r w:rsidRPr="009A0C69">
              <w:rPr>
                <w:b/>
                <w:bCs/>
              </w:rPr>
              <w:t>Resourcing and Manager Capability</w:t>
            </w:r>
          </w:p>
        </w:tc>
        <w:tc>
          <w:tcPr>
            <w:tcW w:w="2551" w:type="dxa"/>
            <w:shd w:val="clear" w:color="auto" w:fill="EAECEF" w:themeFill="accent4" w:themeFillTint="33"/>
          </w:tcPr>
          <w:p w14:paraId="6F6B6791" w14:textId="50EFAD57" w:rsidR="009A0C69" w:rsidRDefault="009A0C69" w:rsidP="009A0C69">
            <w:pPr>
              <w:pStyle w:val="Bullet1"/>
            </w:pPr>
            <w:r>
              <w:t>Ensure that our managers have the tools and capabilities to effectively perform their role.</w:t>
            </w:r>
          </w:p>
          <w:p w14:paraId="3129207B" w14:textId="26AA5798" w:rsidR="009A0C69" w:rsidRPr="006E79F2" w:rsidRDefault="009A0C69" w:rsidP="009A0C69">
            <w:pPr>
              <w:pStyle w:val="Bullet1"/>
            </w:pPr>
            <w:r>
              <w:t>Equip our managers to have discussions, plan and make informed decisions around resourcing and priorities within their areas of responsibility.</w:t>
            </w:r>
          </w:p>
        </w:tc>
        <w:tc>
          <w:tcPr>
            <w:tcW w:w="6237" w:type="dxa"/>
            <w:shd w:val="clear" w:color="auto" w:fill="EAECEF" w:themeFill="accent4" w:themeFillTint="33"/>
          </w:tcPr>
          <w:p w14:paraId="5EC9A646" w14:textId="77777777" w:rsidR="009A0C69" w:rsidRPr="009A0C69" w:rsidRDefault="009A0C69" w:rsidP="009A0C69">
            <w:pPr>
              <w:pStyle w:val="Bullet1"/>
              <w:rPr>
                <w:szCs w:val="20"/>
              </w:rPr>
            </w:pPr>
            <w:r w:rsidRPr="009A0C69">
              <w:rPr>
                <w:szCs w:val="20"/>
              </w:rPr>
              <w:t>Develop templates to provide business areas with tools and support to undertake workforce planning, knowledge transfer and succession planning at local levels.</w:t>
            </w:r>
          </w:p>
          <w:p w14:paraId="78FCB17B" w14:textId="77777777" w:rsidR="009A0C69" w:rsidRPr="009A0C69" w:rsidRDefault="009A0C69" w:rsidP="009A0C69">
            <w:pPr>
              <w:pStyle w:val="Bullet1"/>
              <w:rPr>
                <w:szCs w:val="20"/>
              </w:rPr>
            </w:pPr>
            <w:r w:rsidRPr="009A0C69">
              <w:rPr>
                <w:szCs w:val="20"/>
              </w:rPr>
              <w:t>Give managers the tools to review and evaluate position responsibilities and classifications across the department, to ensure that they are consistent with APS Work Level Standards and enable adjustments to be made where necessary.</w:t>
            </w:r>
          </w:p>
          <w:p w14:paraId="1131A4A9" w14:textId="77777777" w:rsidR="009A0C69" w:rsidRPr="009A0C69" w:rsidRDefault="009A0C69" w:rsidP="009A0C69">
            <w:pPr>
              <w:pStyle w:val="Bullet1"/>
              <w:rPr>
                <w:szCs w:val="20"/>
              </w:rPr>
            </w:pPr>
            <w:r w:rsidRPr="009A0C69">
              <w:rPr>
                <w:szCs w:val="20"/>
              </w:rPr>
              <w:t>Develop a leadership and management capability uplift learning curriculum utilising available resources - people management, priority setting and resilience - with a focus on experience and exposure rather than formal training courses.</w:t>
            </w:r>
          </w:p>
          <w:p w14:paraId="2D1E08D1" w14:textId="3886AD4E" w:rsidR="009A0C69" w:rsidRPr="0056655E" w:rsidRDefault="009A0C69" w:rsidP="009A0C69">
            <w:pPr>
              <w:pStyle w:val="Bullet1"/>
              <w:rPr>
                <w:szCs w:val="20"/>
              </w:rPr>
            </w:pPr>
            <w:r w:rsidRPr="009A0C69">
              <w:rPr>
                <w:szCs w:val="20"/>
              </w:rPr>
              <w:t>Encourage business areas to regularly review manager capability and work with relevant staff to address any shortcomings through either experiential, exposure or formalised learning opportunities.</w:t>
            </w:r>
          </w:p>
        </w:tc>
        <w:tc>
          <w:tcPr>
            <w:tcW w:w="6379" w:type="dxa"/>
            <w:shd w:val="clear" w:color="auto" w:fill="EAECEF" w:themeFill="accent4" w:themeFillTint="33"/>
          </w:tcPr>
          <w:p w14:paraId="6255ECBE" w14:textId="2378A326" w:rsidR="009A0C69" w:rsidRPr="009A0C69" w:rsidRDefault="009A0C69" w:rsidP="009A0C69">
            <w:pPr>
              <w:pStyle w:val="Bullet1"/>
              <w:rPr>
                <w:szCs w:val="20"/>
              </w:rPr>
            </w:pPr>
            <w:r w:rsidRPr="009A0C69">
              <w:rPr>
                <w:szCs w:val="20"/>
              </w:rPr>
              <w:t xml:space="preserve">The </w:t>
            </w:r>
            <w:hyperlink r:id="rId32" w:history="1">
              <w:r w:rsidRPr="004A774F">
                <w:rPr>
                  <w:rStyle w:val="Hyperlink"/>
                  <w:szCs w:val="20"/>
                </w:rPr>
                <w:t>Workforce Plan</w:t>
              </w:r>
            </w:hyperlink>
            <w:r w:rsidRPr="009A0C69">
              <w:rPr>
                <w:szCs w:val="20"/>
              </w:rPr>
              <w:t xml:space="preserve">, </w:t>
            </w:r>
            <w:hyperlink r:id="rId33" w:history="1">
              <w:r w:rsidRPr="004A774F">
                <w:rPr>
                  <w:rStyle w:val="Hyperlink"/>
                  <w:szCs w:val="20"/>
                </w:rPr>
                <w:t>Succession Plan</w:t>
              </w:r>
            </w:hyperlink>
            <w:r w:rsidRPr="009A0C69">
              <w:rPr>
                <w:szCs w:val="20"/>
              </w:rPr>
              <w:t xml:space="preserve"> and </w:t>
            </w:r>
            <w:hyperlink r:id="rId34" w:history="1">
              <w:r w:rsidRPr="004A774F">
                <w:rPr>
                  <w:rStyle w:val="Hyperlink"/>
                  <w:szCs w:val="20"/>
                </w:rPr>
                <w:t>Position Description</w:t>
              </w:r>
            </w:hyperlink>
            <w:r w:rsidRPr="009A0C69">
              <w:rPr>
                <w:szCs w:val="20"/>
              </w:rPr>
              <w:t xml:space="preserve"> templates have been delivered to support business areas with conducting workforce and succession planning.</w:t>
            </w:r>
          </w:p>
          <w:p w14:paraId="15681502" w14:textId="116F0EA0" w:rsidR="009A0C69" w:rsidRPr="009A0C69" w:rsidRDefault="009A0C69" w:rsidP="009A0C69">
            <w:pPr>
              <w:pStyle w:val="Bullet1"/>
              <w:rPr>
                <w:szCs w:val="20"/>
              </w:rPr>
            </w:pPr>
            <w:r w:rsidRPr="009A0C69">
              <w:rPr>
                <w:szCs w:val="20"/>
              </w:rPr>
              <w:t xml:space="preserve">A </w:t>
            </w:r>
            <w:hyperlink r:id="rId35" w:history="1">
              <w:r w:rsidRPr="004A774F">
                <w:rPr>
                  <w:rStyle w:val="Hyperlink"/>
                  <w:szCs w:val="20"/>
                </w:rPr>
                <w:t>Role Evaluation Tool</w:t>
              </w:r>
            </w:hyperlink>
            <w:r w:rsidRPr="009A0C69">
              <w:rPr>
                <w:szCs w:val="20"/>
              </w:rPr>
              <w:t xml:space="preserve"> has been created to assist managers review and evaluate the responsibilities of positions in their business area to assess classifications of new and existing positions. </w:t>
            </w:r>
          </w:p>
          <w:p w14:paraId="233130FA" w14:textId="71F7FCA7" w:rsidR="009A0C69" w:rsidRPr="0056655E" w:rsidRDefault="009A0C69" w:rsidP="009A0C69">
            <w:pPr>
              <w:pStyle w:val="Bullet1"/>
              <w:rPr>
                <w:szCs w:val="20"/>
              </w:rPr>
            </w:pPr>
            <w:r w:rsidRPr="009A0C69">
              <w:rPr>
                <w:szCs w:val="20"/>
              </w:rPr>
              <w:t xml:space="preserve">The department is developing a leadership and management learning curriculum. The department's new </w:t>
            </w:r>
            <w:hyperlink r:id="rId36" w:history="1">
              <w:r w:rsidRPr="009A0C69">
                <w:rPr>
                  <w:rStyle w:val="Hyperlink"/>
                  <w:szCs w:val="20"/>
                </w:rPr>
                <w:t>Learning Strategy 2025 - 2028</w:t>
              </w:r>
            </w:hyperlink>
            <w:r w:rsidRPr="009A0C69">
              <w:rPr>
                <w:szCs w:val="20"/>
              </w:rPr>
              <w:t xml:space="preserve"> and </w:t>
            </w:r>
            <w:hyperlink r:id="rId37" w:history="1">
              <w:r w:rsidRPr="004A774F">
                <w:rPr>
                  <w:rStyle w:val="Hyperlink"/>
                  <w:szCs w:val="20"/>
                </w:rPr>
                <w:t>Job Family capability resources</w:t>
              </w:r>
            </w:hyperlink>
            <w:r w:rsidRPr="009A0C69">
              <w:rPr>
                <w:szCs w:val="20"/>
              </w:rPr>
              <w:t xml:space="preserve"> will assist managers and staff to identify capability gaps and learning opportunities.</w:t>
            </w:r>
          </w:p>
        </w:tc>
        <w:tc>
          <w:tcPr>
            <w:tcW w:w="5077" w:type="dxa"/>
            <w:shd w:val="clear" w:color="auto" w:fill="EAECEF" w:themeFill="accent4" w:themeFillTint="33"/>
          </w:tcPr>
          <w:p w14:paraId="2EB8F8FE" w14:textId="77777777" w:rsidR="009A0C69" w:rsidRPr="009A0C69" w:rsidRDefault="009A0C69" w:rsidP="009A0C69">
            <w:pPr>
              <w:pStyle w:val="Bullet1"/>
              <w:rPr>
                <w:szCs w:val="20"/>
              </w:rPr>
            </w:pPr>
            <w:r w:rsidRPr="009A0C69">
              <w:rPr>
                <w:szCs w:val="20"/>
              </w:rPr>
              <w:t>Run awareness campaigns on the workforce planning, succession planning and role evaluation resources.</w:t>
            </w:r>
          </w:p>
          <w:p w14:paraId="0934E3C5" w14:textId="77777777" w:rsidR="009A0C69" w:rsidRPr="009A0C69" w:rsidRDefault="009A0C69" w:rsidP="009A0C69">
            <w:pPr>
              <w:pStyle w:val="Bullet1"/>
              <w:rPr>
                <w:szCs w:val="20"/>
              </w:rPr>
            </w:pPr>
            <w:r w:rsidRPr="009A0C69">
              <w:rPr>
                <w:szCs w:val="20"/>
              </w:rPr>
              <w:t>Develop a leadership and management learning curriculum.</w:t>
            </w:r>
          </w:p>
          <w:p w14:paraId="4D12B895" w14:textId="77777777" w:rsidR="009A0C69" w:rsidRPr="009A0C69" w:rsidRDefault="009A0C69" w:rsidP="009A0C69">
            <w:pPr>
              <w:pStyle w:val="Bullet1"/>
              <w:rPr>
                <w:szCs w:val="20"/>
              </w:rPr>
            </w:pPr>
            <w:r w:rsidRPr="009A0C69">
              <w:rPr>
                <w:szCs w:val="20"/>
              </w:rPr>
              <w:t>Develop and implement a manager guide on probation and performance management processes.</w:t>
            </w:r>
          </w:p>
          <w:p w14:paraId="3271E0CD" w14:textId="624018EC" w:rsidR="009A0C69" w:rsidRPr="0056655E" w:rsidRDefault="009A0C69" w:rsidP="009A0C69">
            <w:pPr>
              <w:pStyle w:val="Bullet1"/>
              <w:rPr>
                <w:szCs w:val="20"/>
              </w:rPr>
            </w:pPr>
            <w:r w:rsidRPr="009A0C69">
              <w:rPr>
                <w:szCs w:val="20"/>
              </w:rPr>
              <w:t>Communicate the accountabilities that are to be demonstrated, such as APS Values, Employment Principles, Our Stories on Country aspirations and principles, DRIVE (the Secretary's Charter of Leadership Behaviours) and the Charter of Partnerships and Engagement.</w:t>
            </w:r>
          </w:p>
        </w:tc>
      </w:tr>
    </w:tbl>
    <w:p w14:paraId="5987818F" w14:textId="4FD2E28E" w:rsidR="008275D8" w:rsidRDefault="008275D8" w:rsidP="00206669">
      <w:pPr>
        <w:pStyle w:val="Bullet1"/>
        <w:numPr>
          <w:ilvl w:val="0"/>
          <w:numId w:val="0"/>
        </w:numPr>
        <w:tabs>
          <w:tab w:val="left" w:pos="2799"/>
        </w:tabs>
      </w:pPr>
    </w:p>
    <w:sectPr w:rsidR="008275D8" w:rsidSect="00322873">
      <w:pgSz w:w="23811" w:h="16838" w:orient="landscape" w:code="8"/>
      <w:pgMar w:top="720" w:right="720" w:bottom="720" w:left="720"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B3C4" w14:textId="77777777" w:rsidR="00AC1E96" w:rsidRDefault="00AC1E96" w:rsidP="008456D5">
      <w:pPr>
        <w:spacing w:before="0" w:after="0"/>
      </w:pPr>
      <w:r>
        <w:separator/>
      </w:r>
    </w:p>
  </w:endnote>
  <w:endnote w:type="continuationSeparator" w:id="0">
    <w:p w14:paraId="612CF4C4" w14:textId="77777777" w:rsidR="00AC1E96" w:rsidRDefault="00AC1E96"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0372F" w14:textId="77777777" w:rsidR="00180B5B" w:rsidRDefault="00180B5B" w:rsidP="00180B5B">
    <w:pPr>
      <w:pStyle w:val="Footer"/>
      <w:spacing w:before="720"/>
      <w:jc w:val="right"/>
    </w:pPr>
    <w:r>
      <w:rPr>
        <w:noProof/>
        <w:lang w:eastAsia="en-AU"/>
      </w:rPr>
      <mc:AlternateContent>
        <mc:Choice Requires="wps">
          <w:drawing>
            <wp:inline distT="0" distB="0" distL="0" distR="0" wp14:anchorId="7148405F" wp14:editId="7BDA76DE">
              <wp:extent cx="1007280" cy="539280"/>
              <wp:effectExtent l="0" t="0" r="2540" b="0"/>
              <wp:docPr id="16" name="Text Box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04964794"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inline>
          </w:drawing>
        </mc:Choice>
        <mc:Fallback>
          <w:pict>
            <v:shapetype w14:anchorId="7148405F" id="_x0000_t202" coordsize="21600,21600" o:spt="202" path="m,l,21600r21600,l21600,xe">
              <v:stroke joinstyle="miter"/>
              <v:path gradientshapeok="t" o:connecttype="rect"/>
            </v:shapetype>
            <v:shape id="Text Box 16" o:spid="_x0000_s1026" type="#_x0000_t202" alt="&quot;&quot;" style="width:79.3pt;height:42.4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FQIAACYEAAAOAAAAZHJzL2Uyb0RvYy54bWysU01vGyEQvVfqf0Dc613bjeuuvI7cRK4q&#10;WUkkp8oZs+BdCRgK2Lvur+/Aru0q7SnKBQZmmI/3HovbTityFM43YEo6HuWUCMOhasy+pD+f15/m&#10;lPjATMUUGFHSk/D0dvnxw6K1hZhADaoSjmAS44vWlrQOwRZZ5nktNPMjsMKgU4LTLODR7bPKsRaz&#10;a5VN8nyWteAq64AL7/H2vnfSZcovpeDhUUovAlElxd5CWl1ad3HNlgtW7B2zdcOHNtgbutCsMVj0&#10;kuqeBUYOrvknlW64Aw8yjDjoDKRsuEgz4DTj/NU025pZkWZBcLy9wOTfLy1/OG7tkyOh+wYdEhgB&#10;aa0vPF7GeTrpdNyxU4J+hPB0gU10gfD4KM+/TObo4ui7mX6NNqbJrq+t8+G7AE2iUVKHtCS02HHj&#10;Qx96DonFDKwbpRI1ypC2pLPpTZ4eXDyYXBmsce01WqHbdcMAO6hOOJeDnnJv+brB4hvmwxNzyDH2&#10;i7oNj7hIBVgEBouSGtzv/93HeIQevZS0qJmS+l8H5gQl6odBUmaf53keVZZOaLizsUvGdIZuvDYH&#10;fQcoyDH+DcuTGYODOpvSgX5BYa9iPXQxw7FqSXdn8y70GsaPwcVqlYJQUJaFjdlaHlNHICOoz90L&#10;c3ZAPiBnD3DWFSteEdDH9hSsDgFkk9iJ0PZ4DoijGBO/w8eJav/7nKKu33v5BwAA//8DAFBLAwQU&#10;AAYACAAAACEASQyQeNwAAAAEAQAADwAAAGRycy9kb3ducmV2LnhtbEyPQU/CQBCF7yb8h82YeJMt&#10;RrCWbomaiJJolCL3oTu2Dd3ZprvQ8u9dvOhlkpf38t436WIwjThS52rLCibjCARxYXXNpYKvzfN1&#10;DMJ5ZI2NZVJwIgeLbHSRYqJtz2s65r4UoYRdggoq79tESldUZNCNbUscvG/bGfRBdqXUHfah3DTy&#10;Jopm0mDNYaHClp4qKvb5wSjYrqfLyePys73D97cPflmdXvtNrtTV5fAwB+Fp8H9hOOMHdMgC084e&#10;WDvRKAiP+N979qbxDMROQXx7DzJL5X/47AcAAP//AwBQSwECLQAUAAYACAAAACEAtoM4kv4AAADh&#10;AQAAEwAAAAAAAAAAAAAAAAAAAAAAW0NvbnRlbnRfVHlwZXNdLnhtbFBLAQItABQABgAIAAAAIQA4&#10;/SH/1gAAAJQBAAALAAAAAAAAAAAAAAAAAC8BAABfcmVscy8ucmVsc1BLAQItABQABgAIAAAAIQBf&#10;/+DXFQIAACYEAAAOAAAAAAAAAAAAAAAAAC4CAABkcnMvZTJvRG9jLnhtbFBLAQItABQABgAIAAAA&#10;IQBJDJB43AAAAAQBAAAPAAAAAAAAAAAAAAAAAG8EAABkcnMvZG93bnJldi54bWxQSwUGAAAAAAQA&#10;BADzAAAAeAUAAAAA&#10;" filled="f" stroked="f" strokeweight=".5pt">
              <v:textbox inset="18mm,0,0,10mm">
                <w:txbxContent>
                  <w:p w14:paraId="04964794" w14:textId="77777777" w:rsidR="00180B5B" w:rsidRPr="007A05BE" w:rsidRDefault="00180B5B" w:rsidP="00180B5B">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anchorlock/>
            </v:shape>
          </w:pict>
        </mc:Fallback>
      </mc:AlternateContent>
    </w:r>
  </w:p>
  <w:p w14:paraId="4651FE56" w14:textId="77777777" w:rsidR="00C15F0D" w:rsidRDefault="00C15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5EC1" w14:textId="77777777" w:rsidR="00D60F5E" w:rsidRDefault="00D60F5E" w:rsidP="00D60F5E">
    <w:pPr>
      <w:framePr w:w="23814" w:h="284" w:hSpace="181" w:wrap="around" w:vAnchor="page" w:hAnchor="page" w:yAlign="bottom" w:anchorLock="1"/>
      <w:shd w:val="clear" w:color="auto" w:fill="081E3F"/>
    </w:pPr>
  </w:p>
  <w:p w14:paraId="289512E0" w14:textId="03D200A5" w:rsidR="00E51F1D" w:rsidRPr="008275D8" w:rsidRDefault="00D77D8D" w:rsidP="00D77D8D">
    <w:pPr>
      <w:pStyle w:val="Footer"/>
      <w:tabs>
        <w:tab w:val="clear" w:pos="4513"/>
        <w:tab w:val="clear" w:pos="9026"/>
        <w:tab w:val="center" w:pos="4820"/>
        <w:tab w:val="right" w:pos="14742"/>
      </w:tabs>
      <w:spacing w:after="160"/>
      <w:jc w:val="right"/>
      <w:rPr>
        <w:color w:val="auto"/>
        <w:sz w:val="18"/>
        <w:szCs w:val="24"/>
      </w:rPr>
    </w:pPr>
    <w:r w:rsidRPr="008275D8">
      <w:rPr>
        <w:b/>
        <w:bCs/>
        <w:color w:val="auto"/>
        <w:sz w:val="18"/>
        <w:szCs w:val="24"/>
      </w:rPr>
      <w:fldChar w:fldCharType="begin"/>
    </w:r>
    <w:r w:rsidRPr="008275D8">
      <w:rPr>
        <w:b/>
        <w:bCs/>
        <w:color w:val="auto"/>
        <w:sz w:val="18"/>
        <w:szCs w:val="24"/>
      </w:rPr>
      <w:instrText xml:space="preserve"> STYLEREF  "Heading 1"  \* MERGEFORMAT </w:instrText>
    </w:r>
    <w:r w:rsidRPr="008275D8">
      <w:rPr>
        <w:b/>
        <w:bCs/>
        <w:color w:val="auto"/>
        <w:sz w:val="18"/>
        <w:szCs w:val="24"/>
      </w:rPr>
      <w:fldChar w:fldCharType="separate"/>
    </w:r>
    <w:r w:rsidR="00D94512">
      <w:rPr>
        <w:b/>
        <w:bCs/>
        <w:noProof/>
        <w:color w:val="auto"/>
        <w:sz w:val="18"/>
        <w:szCs w:val="24"/>
      </w:rPr>
      <w:t>2024-2026 Census Action Plan</w:t>
    </w:r>
    <w:r w:rsidRPr="008275D8">
      <w:rPr>
        <w:b/>
        <w:bCs/>
        <w:color w:val="auto"/>
        <w:sz w:val="18"/>
        <w:szCs w:val="24"/>
      </w:rPr>
      <w:fldChar w:fldCharType="end"/>
    </w:r>
    <w:r w:rsidRPr="008275D8">
      <w:rPr>
        <w:b/>
        <w:bCs/>
        <w:color w:val="auto"/>
        <w:sz w:val="18"/>
        <w:szCs w:val="24"/>
      </w:rPr>
      <w:t xml:space="preserve"> </w:t>
    </w:r>
    <w:r w:rsidRPr="008275D8">
      <w:rPr>
        <w:color w:val="auto"/>
        <w:sz w:val="18"/>
        <w:szCs w:val="24"/>
      </w:rPr>
      <w:t xml:space="preserve"> |  Page </w:t>
    </w:r>
    <w:r w:rsidRPr="008275D8">
      <w:rPr>
        <w:color w:val="auto"/>
        <w:sz w:val="18"/>
        <w:szCs w:val="24"/>
      </w:rPr>
      <w:fldChar w:fldCharType="begin"/>
    </w:r>
    <w:r w:rsidRPr="008275D8">
      <w:rPr>
        <w:color w:val="auto"/>
        <w:sz w:val="18"/>
        <w:szCs w:val="24"/>
      </w:rPr>
      <w:instrText xml:space="preserve"> PAGE  \* Arabic  \* MERGEFORMAT </w:instrText>
    </w:r>
    <w:r w:rsidRPr="008275D8">
      <w:rPr>
        <w:color w:val="auto"/>
        <w:sz w:val="18"/>
        <w:szCs w:val="24"/>
      </w:rPr>
      <w:fldChar w:fldCharType="separate"/>
    </w:r>
    <w:r w:rsidRPr="008275D8">
      <w:rPr>
        <w:noProof/>
        <w:color w:val="auto"/>
        <w:sz w:val="18"/>
        <w:szCs w:val="24"/>
      </w:rPr>
      <w:t>1</w:t>
    </w:r>
    <w:r w:rsidRPr="008275D8">
      <w:rPr>
        <w:color w:val="auto"/>
        <w:sz w:val="18"/>
        <w:szCs w:val="24"/>
      </w:rPr>
      <w:fldChar w:fldCharType="end"/>
    </w:r>
    <w:r w:rsidRPr="008275D8">
      <w:rPr>
        <w:color w:val="auto"/>
        <w:sz w:val="18"/>
        <w:szCs w:val="24"/>
      </w:rPr>
      <w:t xml:space="preserve"> of </w:t>
    </w:r>
    <w:r w:rsidRPr="008275D8">
      <w:rPr>
        <w:color w:val="auto"/>
        <w:sz w:val="18"/>
        <w:szCs w:val="24"/>
      </w:rPr>
      <w:fldChar w:fldCharType="begin"/>
    </w:r>
    <w:r w:rsidRPr="008275D8">
      <w:rPr>
        <w:color w:val="auto"/>
        <w:sz w:val="18"/>
        <w:szCs w:val="24"/>
      </w:rPr>
      <w:instrText xml:space="preserve"> NUMPAGES  \* Arabic  \* MERGEFORMAT </w:instrText>
    </w:r>
    <w:r w:rsidRPr="008275D8">
      <w:rPr>
        <w:color w:val="auto"/>
        <w:sz w:val="18"/>
        <w:szCs w:val="24"/>
      </w:rPr>
      <w:fldChar w:fldCharType="separate"/>
    </w:r>
    <w:r w:rsidRPr="008275D8">
      <w:rPr>
        <w:noProof/>
        <w:color w:val="auto"/>
        <w:sz w:val="18"/>
        <w:szCs w:val="24"/>
      </w:rPr>
      <w:t>2</w:t>
    </w:r>
    <w:r w:rsidRPr="008275D8">
      <w:rPr>
        <w:color w:val="auto"/>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34C7" w14:textId="7DACDC96" w:rsidR="001D659E" w:rsidRPr="00F60BE8" w:rsidRDefault="00D2281D" w:rsidP="001D659E">
    <w:pPr>
      <w:pStyle w:val="SecurityMarker"/>
    </w:pPr>
    <w:fldSimple w:instr=" STYLEREF  &quot;Security Marker&quot;  \* MERGEFORMAT ">
      <w:r w:rsidRPr="00D2281D">
        <w:rPr>
          <w:noProof/>
          <w:lang w:val="en-US"/>
        </w:rPr>
        <w:t>OFFICIAL</w:t>
      </w:r>
    </w:fldSimple>
  </w:p>
  <w:p w14:paraId="6239DCF1" w14:textId="77777777" w:rsidR="00F60BE8" w:rsidRDefault="00F60BE8" w:rsidP="00F60BE8">
    <w:pPr>
      <w:framePr w:w="23814" w:h="284" w:hSpace="181" w:wrap="around" w:vAnchor="page" w:hAnchor="page" w:yAlign="bottom" w:anchorLock="1"/>
      <w:shd w:val="clear" w:color="auto" w:fill="081E3F"/>
    </w:pPr>
  </w:p>
  <w:p w14:paraId="60F46AF3" w14:textId="6DDEE751" w:rsidR="006851B3" w:rsidRPr="00654E6E" w:rsidRDefault="00000000" w:rsidP="006851B3">
    <w:pPr>
      <w:pStyle w:val="Footer"/>
      <w:tabs>
        <w:tab w:val="clear" w:pos="4513"/>
        <w:tab w:val="clear" w:pos="9026"/>
        <w:tab w:val="center" w:pos="4820"/>
        <w:tab w:val="right" w:pos="14742"/>
      </w:tabs>
      <w:spacing w:after="160"/>
      <w:rPr>
        <w:color w:val="auto"/>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Content>
        <w:r w:rsidR="00A27DC5">
          <w:rPr>
            <w:color w:val="auto"/>
            <w:sz w:val="18"/>
            <w:szCs w:val="18"/>
            <w:lang w:val="en-US"/>
          </w:rPr>
          <w:t>Document Title (Heading 1)</w:t>
        </w:r>
      </w:sdtContent>
    </w:sdt>
    <w:r w:rsidR="006851B3" w:rsidRPr="00654E6E">
      <w:rPr>
        <w:color w:val="auto"/>
        <w:sz w:val="18"/>
        <w:szCs w:val="18"/>
        <w:lang w:val="en-US"/>
      </w:rPr>
      <w:tab/>
    </w:r>
    <w:r w:rsidR="006851B3" w:rsidRPr="00654E6E">
      <w:rPr>
        <w:color w:val="auto"/>
        <w:sz w:val="18"/>
        <w:szCs w:val="18"/>
        <w:lang w:val="en-US"/>
      </w:rPr>
      <w:tab/>
      <w:t xml:space="preserve">Page </w:t>
    </w:r>
    <w:r w:rsidR="006851B3" w:rsidRPr="00654E6E">
      <w:rPr>
        <w:color w:val="auto"/>
        <w:sz w:val="18"/>
        <w:szCs w:val="18"/>
        <w:lang w:val="en-US"/>
      </w:rPr>
      <w:fldChar w:fldCharType="begin"/>
    </w:r>
    <w:r w:rsidR="006851B3" w:rsidRPr="00654E6E">
      <w:rPr>
        <w:color w:val="auto"/>
        <w:sz w:val="18"/>
        <w:szCs w:val="18"/>
        <w:lang w:val="en-US"/>
      </w:rPr>
      <w:instrText xml:space="preserve"> PAGE   \* MERGEFORMAT </w:instrText>
    </w:r>
    <w:r w:rsidR="006851B3" w:rsidRPr="00654E6E">
      <w:rPr>
        <w:color w:val="auto"/>
        <w:sz w:val="18"/>
        <w:szCs w:val="18"/>
        <w:lang w:val="en-US"/>
      </w:rPr>
      <w:fldChar w:fldCharType="separate"/>
    </w:r>
    <w:r w:rsidR="006851B3">
      <w:rPr>
        <w:color w:val="auto"/>
        <w:sz w:val="18"/>
        <w:szCs w:val="18"/>
        <w:lang w:val="en-US"/>
      </w:rPr>
      <w:t>3</w:t>
    </w:r>
    <w:r w:rsidR="006851B3" w:rsidRPr="00654E6E">
      <w:rPr>
        <w:noProof/>
        <w:color w:val="auto"/>
        <w:sz w:val="18"/>
        <w:szCs w:val="18"/>
        <w:lang w:val="en-US"/>
      </w:rPr>
      <w:fldChar w:fldCharType="end"/>
    </w:r>
    <w:r w:rsidR="006851B3" w:rsidRPr="00654E6E">
      <w:rPr>
        <w:noProof/>
        <w:color w:val="auto"/>
        <w:sz w:val="18"/>
        <w:szCs w:val="18"/>
        <w:lang w:val="en-US"/>
      </w:rPr>
      <w:t xml:space="preserve"> of </w:t>
    </w:r>
    <w:r w:rsidR="006851B3" w:rsidRPr="00654E6E">
      <w:rPr>
        <w:noProof/>
        <w:color w:val="auto"/>
        <w:sz w:val="18"/>
        <w:szCs w:val="18"/>
        <w:lang w:val="en-US"/>
      </w:rPr>
      <w:fldChar w:fldCharType="begin"/>
    </w:r>
    <w:r w:rsidR="006851B3" w:rsidRPr="00654E6E">
      <w:rPr>
        <w:noProof/>
        <w:color w:val="auto"/>
        <w:sz w:val="18"/>
        <w:szCs w:val="18"/>
        <w:lang w:val="en-US"/>
      </w:rPr>
      <w:instrText xml:space="preserve"> NUMPAGES   \* MERGEFORMAT </w:instrText>
    </w:r>
    <w:r w:rsidR="006851B3" w:rsidRPr="00654E6E">
      <w:rPr>
        <w:noProof/>
        <w:color w:val="auto"/>
        <w:sz w:val="18"/>
        <w:szCs w:val="18"/>
        <w:lang w:val="en-US"/>
      </w:rPr>
      <w:fldChar w:fldCharType="separate"/>
    </w:r>
    <w:r w:rsidR="006851B3">
      <w:rPr>
        <w:noProof/>
        <w:color w:val="auto"/>
        <w:sz w:val="18"/>
        <w:szCs w:val="18"/>
        <w:lang w:val="en-US"/>
      </w:rPr>
      <w:t>9</w:t>
    </w:r>
    <w:r w:rsidR="006851B3" w:rsidRPr="00654E6E">
      <w:rPr>
        <w:noProof/>
        <w:color w:val="auto"/>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8042" w14:textId="77777777" w:rsidR="00AC1E96" w:rsidRPr="00EF7FF3" w:rsidRDefault="00AC1E96" w:rsidP="005912BE">
      <w:pPr>
        <w:spacing w:before="300"/>
        <w:rPr>
          <w:color w:val="081E3E" w:themeColor="text2"/>
        </w:rPr>
      </w:pPr>
      <w:r w:rsidRPr="00EF7FF3">
        <w:rPr>
          <w:color w:val="081E3E" w:themeColor="text2"/>
        </w:rPr>
        <w:t>----------</w:t>
      </w:r>
    </w:p>
  </w:footnote>
  <w:footnote w:type="continuationSeparator" w:id="0">
    <w:p w14:paraId="7EFF4434" w14:textId="77777777" w:rsidR="00AC1E96" w:rsidRDefault="00AC1E96" w:rsidP="008456D5">
      <w:pPr>
        <w:spacing w:before="0" w:after="0"/>
      </w:pPr>
      <w:r>
        <w:continuationSeparator/>
      </w:r>
    </w:p>
  </w:footnote>
  <w:footnote w:type="continuationNotice" w:id="1">
    <w:p w14:paraId="70690191" w14:textId="77777777" w:rsidR="00AC1E96" w:rsidRDefault="00AC1E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7C3" w14:textId="4436EF15" w:rsidR="00180B5B" w:rsidRDefault="00E51F1D" w:rsidP="00180B5B">
    <w:pPr>
      <w:pStyle w:val="Header"/>
      <w:spacing w:after="1320"/>
      <w:jc w:val="left"/>
    </w:pPr>
    <w:fldSimple w:instr=" STYLEREF  &quot;Heading 1&quot; \l  \* MERGEFORMAT ">
      <w:r>
        <w:rPr>
          <w:noProof/>
        </w:rPr>
        <w:t>Document Control</w:t>
      </w:r>
    </w:fldSimple>
  </w:p>
  <w:p w14:paraId="4695FDE8" w14:textId="77777777" w:rsidR="00C15F0D" w:rsidRDefault="00C15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256E" w14:textId="77777777" w:rsidR="00D2335F" w:rsidRPr="0069753D" w:rsidRDefault="00D2335F" w:rsidP="00D2335F">
    <w:pPr>
      <w:pStyle w:val="Header"/>
      <w:ind w:left="-992"/>
      <w:jc w:val="lef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3908607E"/>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15A63929"/>
    <w:multiLevelType w:val="hybridMultilevel"/>
    <w:tmpl w:val="548E5A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3EE054F2"/>
    <w:multiLevelType w:val="hybridMultilevel"/>
    <w:tmpl w:val="B1AA4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BBA5524"/>
    <w:multiLevelType w:val="hybridMultilevel"/>
    <w:tmpl w:val="BD945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ED4546F"/>
    <w:multiLevelType w:val="hybridMultilevel"/>
    <w:tmpl w:val="BB1E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EBE6B65"/>
    <w:multiLevelType w:val="hybridMultilevel"/>
    <w:tmpl w:val="6BBA3B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E554E84"/>
    <w:multiLevelType w:val="multilevel"/>
    <w:tmpl w:val="C73824B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64857879">
    <w:abstractNumId w:val="9"/>
  </w:num>
  <w:num w:numId="2" w16cid:durableId="966547652">
    <w:abstractNumId w:val="7"/>
  </w:num>
  <w:num w:numId="3" w16cid:durableId="1178932745">
    <w:abstractNumId w:val="6"/>
  </w:num>
  <w:num w:numId="4" w16cid:durableId="870529798">
    <w:abstractNumId w:val="5"/>
  </w:num>
  <w:num w:numId="5" w16cid:durableId="570625551">
    <w:abstractNumId w:val="4"/>
  </w:num>
  <w:num w:numId="6" w16cid:durableId="830559580">
    <w:abstractNumId w:val="8"/>
  </w:num>
  <w:num w:numId="7" w16cid:durableId="186528137">
    <w:abstractNumId w:val="3"/>
  </w:num>
  <w:num w:numId="8" w16cid:durableId="370421101">
    <w:abstractNumId w:val="2"/>
  </w:num>
  <w:num w:numId="9" w16cid:durableId="1504315984">
    <w:abstractNumId w:val="1"/>
  </w:num>
  <w:num w:numId="10" w16cid:durableId="1337421938">
    <w:abstractNumId w:val="0"/>
  </w:num>
  <w:num w:numId="11" w16cid:durableId="47337168">
    <w:abstractNumId w:val="17"/>
  </w:num>
  <w:num w:numId="12" w16cid:durableId="1088188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3014788">
    <w:abstractNumId w:val="24"/>
  </w:num>
  <w:num w:numId="14" w16cid:durableId="522746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5994540">
    <w:abstractNumId w:val="10"/>
  </w:num>
  <w:num w:numId="16" w16cid:durableId="885607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9700641">
    <w:abstractNumId w:val="16"/>
  </w:num>
  <w:num w:numId="18" w16cid:durableId="194076434">
    <w:abstractNumId w:val="11"/>
  </w:num>
  <w:num w:numId="19" w16cid:durableId="281763446">
    <w:abstractNumId w:val="13"/>
  </w:num>
  <w:num w:numId="20" w16cid:durableId="19169370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9598196">
    <w:abstractNumId w:val="14"/>
  </w:num>
  <w:num w:numId="22" w16cid:durableId="1665469066">
    <w:abstractNumId w:val="21"/>
  </w:num>
  <w:num w:numId="23" w16cid:durableId="891648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2871547">
    <w:abstractNumId w:val="23"/>
  </w:num>
  <w:num w:numId="25" w16cid:durableId="343288657">
    <w:abstractNumId w:val="23"/>
  </w:num>
  <w:num w:numId="26" w16cid:durableId="1966346619">
    <w:abstractNumId w:val="23"/>
  </w:num>
  <w:num w:numId="27" w16cid:durableId="146094316">
    <w:abstractNumId w:val="23"/>
  </w:num>
  <w:num w:numId="28" w16cid:durableId="96554304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5423455">
    <w:abstractNumId w:val="20"/>
  </w:num>
  <w:num w:numId="30" w16cid:durableId="426190798">
    <w:abstractNumId w:val="19"/>
  </w:num>
  <w:num w:numId="31" w16cid:durableId="1228302303">
    <w:abstractNumId w:val="22"/>
  </w:num>
  <w:num w:numId="32" w16cid:durableId="881020601">
    <w:abstractNumId w:val="15"/>
  </w:num>
  <w:num w:numId="33" w16cid:durableId="862404182">
    <w:abstractNumId w:val="18"/>
  </w:num>
  <w:num w:numId="34" w16cid:durableId="540020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50"/>
    <w:rsid w:val="00003F83"/>
    <w:rsid w:val="0001430B"/>
    <w:rsid w:val="00024E97"/>
    <w:rsid w:val="000338C5"/>
    <w:rsid w:val="000341E0"/>
    <w:rsid w:val="00046571"/>
    <w:rsid w:val="00060354"/>
    <w:rsid w:val="00062740"/>
    <w:rsid w:val="00067445"/>
    <w:rsid w:val="00072740"/>
    <w:rsid w:val="00083F86"/>
    <w:rsid w:val="00090B0A"/>
    <w:rsid w:val="0009564F"/>
    <w:rsid w:val="000B08D1"/>
    <w:rsid w:val="000D3D59"/>
    <w:rsid w:val="000E24BA"/>
    <w:rsid w:val="000E5674"/>
    <w:rsid w:val="000E7E9F"/>
    <w:rsid w:val="001109C3"/>
    <w:rsid w:val="001349C6"/>
    <w:rsid w:val="00140888"/>
    <w:rsid w:val="00140C23"/>
    <w:rsid w:val="001427CC"/>
    <w:rsid w:val="001472C9"/>
    <w:rsid w:val="001606C9"/>
    <w:rsid w:val="001653B4"/>
    <w:rsid w:val="00175EA4"/>
    <w:rsid w:val="00180B5B"/>
    <w:rsid w:val="00196B59"/>
    <w:rsid w:val="001A0253"/>
    <w:rsid w:val="001D659E"/>
    <w:rsid w:val="001E1D59"/>
    <w:rsid w:val="001E5D11"/>
    <w:rsid w:val="001E6774"/>
    <w:rsid w:val="00203702"/>
    <w:rsid w:val="00206669"/>
    <w:rsid w:val="002179CC"/>
    <w:rsid w:val="00222611"/>
    <w:rsid w:val="002229F7"/>
    <w:rsid w:val="00224BE3"/>
    <w:rsid w:val="002254D5"/>
    <w:rsid w:val="0022611D"/>
    <w:rsid w:val="00234E65"/>
    <w:rsid w:val="0026422D"/>
    <w:rsid w:val="00266955"/>
    <w:rsid w:val="002773D1"/>
    <w:rsid w:val="00284164"/>
    <w:rsid w:val="00295044"/>
    <w:rsid w:val="002959FB"/>
    <w:rsid w:val="002B3569"/>
    <w:rsid w:val="002B7197"/>
    <w:rsid w:val="002D233D"/>
    <w:rsid w:val="002E1ADA"/>
    <w:rsid w:val="002F7111"/>
    <w:rsid w:val="00322873"/>
    <w:rsid w:val="003720E9"/>
    <w:rsid w:val="00372DCC"/>
    <w:rsid w:val="003755F3"/>
    <w:rsid w:val="0038444F"/>
    <w:rsid w:val="003C625A"/>
    <w:rsid w:val="003C6895"/>
    <w:rsid w:val="003E16B6"/>
    <w:rsid w:val="003E6B71"/>
    <w:rsid w:val="003F1371"/>
    <w:rsid w:val="003F775D"/>
    <w:rsid w:val="00420F04"/>
    <w:rsid w:val="00427326"/>
    <w:rsid w:val="00430511"/>
    <w:rsid w:val="00436294"/>
    <w:rsid w:val="00442CC0"/>
    <w:rsid w:val="00444F9E"/>
    <w:rsid w:val="00450D0E"/>
    <w:rsid w:val="00454FED"/>
    <w:rsid w:val="00477E77"/>
    <w:rsid w:val="0048292A"/>
    <w:rsid w:val="00483596"/>
    <w:rsid w:val="00485BD0"/>
    <w:rsid w:val="0049153B"/>
    <w:rsid w:val="004A4EB9"/>
    <w:rsid w:val="004A774F"/>
    <w:rsid w:val="004C3600"/>
    <w:rsid w:val="004E1EB0"/>
    <w:rsid w:val="004F48C4"/>
    <w:rsid w:val="004F77AA"/>
    <w:rsid w:val="00526674"/>
    <w:rsid w:val="00526CD7"/>
    <w:rsid w:val="00541213"/>
    <w:rsid w:val="00546218"/>
    <w:rsid w:val="00561534"/>
    <w:rsid w:val="005653A9"/>
    <w:rsid w:val="0056655E"/>
    <w:rsid w:val="0057419C"/>
    <w:rsid w:val="00580E6C"/>
    <w:rsid w:val="0058242F"/>
    <w:rsid w:val="00582A04"/>
    <w:rsid w:val="005912BE"/>
    <w:rsid w:val="005D50BC"/>
    <w:rsid w:val="005F794B"/>
    <w:rsid w:val="00600B48"/>
    <w:rsid w:val="00611CC1"/>
    <w:rsid w:val="00622501"/>
    <w:rsid w:val="006270AE"/>
    <w:rsid w:val="006335BA"/>
    <w:rsid w:val="00677C96"/>
    <w:rsid w:val="006851B3"/>
    <w:rsid w:val="00686A7B"/>
    <w:rsid w:val="006A0F8A"/>
    <w:rsid w:val="006A266A"/>
    <w:rsid w:val="006B1647"/>
    <w:rsid w:val="006C2C1A"/>
    <w:rsid w:val="006E1ECA"/>
    <w:rsid w:val="006E2A0E"/>
    <w:rsid w:val="006E79F2"/>
    <w:rsid w:val="006F42E5"/>
    <w:rsid w:val="0072789F"/>
    <w:rsid w:val="00742BC3"/>
    <w:rsid w:val="00747FA2"/>
    <w:rsid w:val="00765D5C"/>
    <w:rsid w:val="007A05BE"/>
    <w:rsid w:val="007A0CD1"/>
    <w:rsid w:val="007D7CD4"/>
    <w:rsid w:val="007E107F"/>
    <w:rsid w:val="007E40AE"/>
    <w:rsid w:val="007F56AC"/>
    <w:rsid w:val="0080482C"/>
    <w:rsid w:val="0080586B"/>
    <w:rsid w:val="008067A1"/>
    <w:rsid w:val="00823E03"/>
    <w:rsid w:val="008275D8"/>
    <w:rsid w:val="00830A31"/>
    <w:rsid w:val="00833543"/>
    <w:rsid w:val="00835773"/>
    <w:rsid w:val="00840953"/>
    <w:rsid w:val="008456D5"/>
    <w:rsid w:val="0084634B"/>
    <w:rsid w:val="008500E4"/>
    <w:rsid w:val="00884E68"/>
    <w:rsid w:val="008936C2"/>
    <w:rsid w:val="008A1887"/>
    <w:rsid w:val="008A3E38"/>
    <w:rsid w:val="008B3901"/>
    <w:rsid w:val="008B6A0A"/>
    <w:rsid w:val="008B6A81"/>
    <w:rsid w:val="008E2A0D"/>
    <w:rsid w:val="008E5AB0"/>
    <w:rsid w:val="008E5BFD"/>
    <w:rsid w:val="008E7831"/>
    <w:rsid w:val="008F5487"/>
    <w:rsid w:val="00924CF8"/>
    <w:rsid w:val="00946BCD"/>
    <w:rsid w:val="00981F9A"/>
    <w:rsid w:val="009901D5"/>
    <w:rsid w:val="009909EC"/>
    <w:rsid w:val="0099647D"/>
    <w:rsid w:val="00996B8C"/>
    <w:rsid w:val="009A0C69"/>
    <w:rsid w:val="009B00F2"/>
    <w:rsid w:val="009C0F75"/>
    <w:rsid w:val="009D6C76"/>
    <w:rsid w:val="009E7E52"/>
    <w:rsid w:val="00A070A2"/>
    <w:rsid w:val="00A103B6"/>
    <w:rsid w:val="00A146EE"/>
    <w:rsid w:val="00A2774F"/>
    <w:rsid w:val="00A27DC5"/>
    <w:rsid w:val="00A55479"/>
    <w:rsid w:val="00A70111"/>
    <w:rsid w:val="00A84ADF"/>
    <w:rsid w:val="00A95970"/>
    <w:rsid w:val="00AB3238"/>
    <w:rsid w:val="00AB682E"/>
    <w:rsid w:val="00AC1E96"/>
    <w:rsid w:val="00AC4537"/>
    <w:rsid w:val="00AD4EF7"/>
    <w:rsid w:val="00AD7703"/>
    <w:rsid w:val="00AE1A3E"/>
    <w:rsid w:val="00AE4F99"/>
    <w:rsid w:val="00B0279A"/>
    <w:rsid w:val="00B0484D"/>
    <w:rsid w:val="00B42AC2"/>
    <w:rsid w:val="00B42EC2"/>
    <w:rsid w:val="00B666D4"/>
    <w:rsid w:val="00B800E2"/>
    <w:rsid w:val="00B80219"/>
    <w:rsid w:val="00B9430D"/>
    <w:rsid w:val="00BB266D"/>
    <w:rsid w:val="00BB3AAC"/>
    <w:rsid w:val="00BB68A9"/>
    <w:rsid w:val="00BD4F5C"/>
    <w:rsid w:val="00BE198C"/>
    <w:rsid w:val="00BE3AD8"/>
    <w:rsid w:val="00BE5DEC"/>
    <w:rsid w:val="00BF19D6"/>
    <w:rsid w:val="00C02436"/>
    <w:rsid w:val="00C0294C"/>
    <w:rsid w:val="00C0455C"/>
    <w:rsid w:val="00C10346"/>
    <w:rsid w:val="00C15F0D"/>
    <w:rsid w:val="00C27C02"/>
    <w:rsid w:val="00C3447C"/>
    <w:rsid w:val="00C5653D"/>
    <w:rsid w:val="00C57766"/>
    <w:rsid w:val="00C60146"/>
    <w:rsid w:val="00C679E5"/>
    <w:rsid w:val="00C76D5B"/>
    <w:rsid w:val="00C779B4"/>
    <w:rsid w:val="00CD233E"/>
    <w:rsid w:val="00CD6739"/>
    <w:rsid w:val="00CF6CFD"/>
    <w:rsid w:val="00CF763F"/>
    <w:rsid w:val="00CF78A5"/>
    <w:rsid w:val="00D02062"/>
    <w:rsid w:val="00D2281D"/>
    <w:rsid w:val="00D23311"/>
    <w:rsid w:val="00D2335F"/>
    <w:rsid w:val="00D26896"/>
    <w:rsid w:val="00D3125C"/>
    <w:rsid w:val="00D56075"/>
    <w:rsid w:val="00D5655E"/>
    <w:rsid w:val="00D60F5E"/>
    <w:rsid w:val="00D62C1B"/>
    <w:rsid w:val="00D62EBC"/>
    <w:rsid w:val="00D67DEB"/>
    <w:rsid w:val="00D71E3A"/>
    <w:rsid w:val="00D77D8D"/>
    <w:rsid w:val="00D93AEC"/>
    <w:rsid w:val="00D94512"/>
    <w:rsid w:val="00D96BC0"/>
    <w:rsid w:val="00DA5E48"/>
    <w:rsid w:val="00DA6576"/>
    <w:rsid w:val="00DC469D"/>
    <w:rsid w:val="00DC51AD"/>
    <w:rsid w:val="00DD09C2"/>
    <w:rsid w:val="00DD73BD"/>
    <w:rsid w:val="00DE4362"/>
    <w:rsid w:val="00DE4FE2"/>
    <w:rsid w:val="00DF4168"/>
    <w:rsid w:val="00E00CD9"/>
    <w:rsid w:val="00E04908"/>
    <w:rsid w:val="00E1186A"/>
    <w:rsid w:val="00E16D1E"/>
    <w:rsid w:val="00E2218A"/>
    <w:rsid w:val="00E26A00"/>
    <w:rsid w:val="00E30EB4"/>
    <w:rsid w:val="00E42350"/>
    <w:rsid w:val="00E51F03"/>
    <w:rsid w:val="00E51F1D"/>
    <w:rsid w:val="00E52B7B"/>
    <w:rsid w:val="00E5444D"/>
    <w:rsid w:val="00E55BB2"/>
    <w:rsid w:val="00E70F26"/>
    <w:rsid w:val="00E800D9"/>
    <w:rsid w:val="00E94FDD"/>
    <w:rsid w:val="00E95BA5"/>
    <w:rsid w:val="00EF1F66"/>
    <w:rsid w:val="00EF7FF3"/>
    <w:rsid w:val="00F050D9"/>
    <w:rsid w:val="00F11869"/>
    <w:rsid w:val="00F1428D"/>
    <w:rsid w:val="00F42484"/>
    <w:rsid w:val="00F472C5"/>
    <w:rsid w:val="00F51AEC"/>
    <w:rsid w:val="00F5730E"/>
    <w:rsid w:val="00F60BE8"/>
    <w:rsid w:val="00F67CDB"/>
    <w:rsid w:val="00F72068"/>
    <w:rsid w:val="00F90DA4"/>
    <w:rsid w:val="00F914B4"/>
    <w:rsid w:val="00FB5D36"/>
    <w:rsid w:val="00FC32B2"/>
    <w:rsid w:val="00FC34AF"/>
    <w:rsid w:val="00FD672A"/>
    <w:rsid w:val="00FE1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48E82"/>
  <w15:chartTrackingRefBased/>
  <w15:docId w15:val="{B30B6DED-56A3-4654-A4B0-31144368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1AD"/>
    <w:pPr>
      <w:suppressAutoHyphens/>
    </w:pPr>
  </w:style>
  <w:style w:type="paragraph" w:styleId="Heading1">
    <w:name w:val="heading 1"/>
    <w:basedOn w:val="Normal"/>
    <w:next w:val="Normal"/>
    <w:link w:val="Heading1Char"/>
    <w:uiPriority w:val="9"/>
    <w:qFormat/>
    <w:rsid w:val="00322873"/>
    <w:pPr>
      <w:keepNext/>
      <w:keepLines/>
      <w:spacing w:before="360" w:after="240"/>
      <w:contextualSpacing/>
      <w:outlineLvl w:val="0"/>
    </w:pPr>
    <w:rPr>
      <w:rFonts w:asciiTheme="majorHAnsi" w:eastAsiaTheme="majorEastAsia" w:hAnsiTheme="majorHAnsi" w:cstheme="majorBidi"/>
      <w:b/>
      <w:color w:val="081E3E" w:themeColor="text2"/>
      <w:sz w:val="60"/>
      <w:szCs w:val="32"/>
    </w:rPr>
  </w:style>
  <w:style w:type="paragraph" w:styleId="Heading2">
    <w:name w:val="heading 2"/>
    <w:basedOn w:val="Normal"/>
    <w:next w:val="Normal"/>
    <w:link w:val="Heading2Char"/>
    <w:uiPriority w:val="9"/>
    <w:unhideWhenUsed/>
    <w:qFormat/>
    <w:rsid w:val="00444F9E"/>
    <w:pPr>
      <w:keepNext/>
      <w:keepLines/>
      <w:spacing w:before="480" w:after="160"/>
      <w:outlineLvl w:val="1"/>
    </w:pPr>
    <w:rPr>
      <w:rFonts w:asciiTheme="majorHAnsi" w:eastAsiaTheme="majorEastAsia" w:hAnsiTheme="majorHAnsi" w:cstheme="majorBidi"/>
      <w:b/>
      <w:bCs/>
      <w:color w:val="081E3E" w:themeColor="text2"/>
      <w:sz w:val="44"/>
      <w:szCs w:val="26"/>
    </w:rPr>
  </w:style>
  <w:style w:type="paragraph" w:styleId="Heading3">
    <w:name w:val="heading 3"/>
    <w:basedOn w:val="Normal"/>
    <w:next w:val="Normal"/>
    <w:link w:val="Heading3Char"/>
    <w:uiPriority w:val="9"/>
    <w:unhideWhenUsed/>
    <w:qFormat/>
    <w:rsid w:val="00444F9E"/>
    <w:pPr>
      <w:keepNext/>
      <w:keepLines/>
      <w:tabs>
        <w:tab w:val="center" w:pos="4932"/>
      </w:tabs>
      <w:spacing w:before="320" w:after="160"/>
      <w:outlineLvl w:val="2"/>
    </w:pPr>
    <w:rPr>
      <w:rFonts w:asciiTheme="majorHAnsi" w:eastAsiaTheme="majorEastAsia" w:hAnsiTheme="majorHAnsi" w:cstheme="majorBidi"/>
      <w:b/>
      <w:bCs/>
      <w:color w:val="081E3E" w:themeColor="text2"/>
      <w:sz w:val="36"/>
      <w:szCs w:val="30"/>
    </w:rPr>
  </w:style>
  <w:style w:type="paragraph" w:styleId="Heading4">
    <w:name w:val="heading 4"/>
    <w:basedOn w:val="Normal"/>
    <w:next w:val="Normal"/>
    <w:link w:val="Heading4Char"/>
    <w:uiPriority w:val="9"/>
    <w:unhideWhenUsed/>
    <w:rsid w:val="00444F9E"/>
    <w:pPr>
      <w:keepNext/>
      <w:keepLines/>
      <w:spacing w:before="240" w:after="160"/>
      <w:outlineLvl w:val="3"/>
    </w:pPr>
    <w:rPr>
      <w:rFonts w:asciiTheme="majorHAnsi" w:eastAsiaTheme="majorEastAsia" w:hAnsiTheme="majorHAnsi" w:cstheme="majorBidi"/>
      <w:b/>
      <w:bCs/>
      <w:iCs/>
      <w:color w:val="081E3E" w:themeColor="text2"/>
      <w:sz w:val="30"/>
    </w:rPr>
  </w:style>
  <w:style w:type="paragraph" w:styleId="Heading5">
    <w:name w:val="heading 5"/>
    <w:basedOn w:val="Normal"/>
    <w:next w:val="Normal"/>
    <w:link w:val="Heading5Char"/>
    <w:uiPriority w:val="9"/>
    <w:unhideWhenUsed/>
    <w:rsid w:val="00444F9E"/>
    <w:pPr>
      <w:keepNext/>
      <w:keepLines/>
      <w:tabs>
        <w:tab w:val="left" w:pos="2860"/>
      </w:tabs>
      <w:spacing w:before="240" w:after="160"/>
      <w:outlineLvl w:val="4"/>
    </w:pPr>
    <w:rPr>
      <w:rFonts w:asciiTheme="majorHAnsi" w:eastAsiaTheme="majorEastAsia" w:hAnsiTheme="majorHAnsi" w:cstheme="majorBidi"/>
      <w:b/>
      <w:bCs/>
      <w:color w:val="081E3E" w:themeColor="text2"/>
      <w:sz w:val="26"/>
    </w:rPr>
  </w:style>
  <w:style w:type="paragraph" w:styleId="Heading6">
    <w:name w:val="heading 6"/>
    <w:basedOn w:val="Normal"/>
    <w:next w:val="Normal"/>
    <w:link w:val="Heading6Char"/>
    <w:uiPriority w:val="9"/>
    <w:unhideWhenUsed/>
    <w:rsid w:val="00A27DC5"/>
    <w:pPr>
      <w:keepNext/>
      <w:keepLines/>
      <w:spacing w:before="240" w:after="160"/>
      <w:outlineLvl w:val="5"/>
    </w:pPr>
    <w:rPr>
      <w:rFonts w:asciiTheme="majorHAnsi" w:eastAsiaTheme="majorEastAsia" w:hAnsiTheme="majorHAnsi" w:cstheme="majorBidi"/>
      <w:color w:val="081E3E" w:themeColor="text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2773D1"/>
    <w:pPr>
      <w:numPr>
        <w:ilvl w:val="1"/>
      </w:numPr>
      <w:tabs>
        <w:tab w:val="left" w:pos="6045"/>
      </w:tabs>
      <w:spacing w:before="240" w:after="160"/>
    </w:pPr>
    <w:rPr>
      <w:rFonts w:asciiTheme="majorHAnsi" w:eastAsiaTheme="minorEastAsia" w:hAnsiTheme="majorHAnsi"/>
      <w:color w:val="337B7E"/>
      <w:sz w:val="44"/>
    </w:rPr>
  </w:style>
  <w:style w:type="character" w:customStyle="1" w:styleId="SubtitleChar">
    <w:name w:val="Subtitle Char"/>
    <w:basedOn w:val="DefaultParagraphFont"/>
    <w:link w:val="Subtitle"/>
    <w:uiPriority w:val="18"/>
    <w:rsid w:val="002773D1"/>
    <w:rPr>
      <w:rFonts w:asciiTheme="majorHAnsi" w:eastAsiaTheme="minorEastAsia" w:hAnsiTheme="majorHAnsi"/>
      <w:color w:val="337B7E"/>
      <w:sz w:val="44"/>
    </w:rPr>
  </w:style>
  <w:style w:type="paragraph" w:customStyle="1" w:styleId="CoverDate">
    <w:name w:val="Cover Date"/>
    <w:basedOn w:val="Normal"/>
    <w:uiPriority w:val="19"/>
    <w:qFormat/>
    <w:rsid w:val="002773D1"/>
    <w:rPr>
      <w:b/>
      <w:color w:val="081E3F"/>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322873"/>
    <w:rPr>
      <w:rFonts w:asciiTheme="majorHAnsi" w:eastAsiaTheme="majorEastAsia" w:hAnsiTheme="majorHAnsi" w:cstheme="majorBidi"/>
      <w:b/>
      <w:color w:val="081E3E" w:themeColor="text2"/>
      <w:sz w:val="60"/>
      <w:szCs w:val="32"/>
    </w:rPr>
  </w:style>
  <w:style w:type="character" w:customStyle="1" w:styleId="Heading2Char">
    <w:name w:val="Heading 2 Char"/>
    <w:basedOn w:val="DefaultParagraphFont"/>
    <w:link w:val="Heading2"/>
    <w:uiPriority w:val="9"/>
    <w:rsid w:val="00444F9E"/>
    <w:rPr>
      <w:rFonts w:asciiTheme="majorHAnsi" w:eastAsiaTheme="majorEastAsia" w:hAnsiTheme="majorHAnsi" w:cstheme="majorBidi"/>
      <w:b/>
      <w:bCs/>
      <w:color w:val="081E3E" w:themeColor="text2"/>
      <w:sz w:val="44"/>
      <w:szCs w:val="26"/>
    </w:rPr>
  </w:style>
  <w:style w:type="paragraph" w:customStyle="1" w:styleId="Introduction">
    <w:name w:val="Introduction"/>
    <w:basedOn w:val="Normal"/>
    <w:uiPriority w:val="2"/>
    <w:rsid w:val="002773D1"/>
    <w:pPr>
      <w:spacing w:before="240" w:after="240"/>
    </w:pPr>
    <w:rPr>
      <w:color w:val="347C7E" w:themeColor="accent2"/>
      <w:sz w:val="26"/>
      <w:lang w:val="x-none"/>
    </w:rPr>
  </w:style>
  <w:style w:type="character" w:customStyle="1" w:styleId="Heading3Char">
    <w:name w:val="Heading 3 Char"/>
    <w:basedOn w:val="DefaultParagraphFont"/>
    <w:link w:val="Heading3"/>
    <w:uiPriority w:val="9"/>
    <w:rsid w:val="00444F9E"/>
    <w:rPr>
      <w:rFonts w:asciiTheme="majorHAnsi" w:eastAsiaTheme="majorEastAsia" w:hAnsiTheme="majorHAnsi" w:cstheme="majorBidi"/>
      <w:b/>
      <w:bCs/>
      <w:color w:val="081E3E" w:themeColor="text2"/>
      <w:sz w:val="36"/>
      <w:szCs w:val="30"/>
    </w:rPr>
  </w:style>
  <w:style w:type="character" w:customStyle="1" w:styleId="Heading4Char">
    <w:name w:val="Heading 4 Char"/>
    <w:basedOn w:val="DefaultParagraphFont"/>
    <w:link w:val="Heading4"/>
    <w:uiPriority w:val="9"/>
    <w:rsid w:val="00444F9E"/>
    <w:rPr>
      <w:rFonts w:asciiTheme="majorHAnsi" w:eastAsiaTheme="majorEastAsia" w:hAnsiTheme="majorHAnsi" w:cstheme="majorBidi"/>
      <w:b/>
      <w:bCs/>
      <w:iCs/>
      <w:color w:val="081E3E" w:themeColor="text2"/>
      <w:sz w:val="30"/>
    </w:rPr>
  </w:style>
  <w:style w:type="character" w:customStyle="1" w:styleId="Heading5Char">
    <w:name w:val="Heading 5 Char"/>
    <w:basedOn w:val="DefaultParagraphFont"/>
    <w:link w:val="Heading5"/>
    <w:uiPriority w:val="9"/>
    <w:rsid w:val="00444F9E"/>
    <w:rPr>
      <w:rFonts w:asciiTheme="majorHAnsi" w:eastAsiaTheme="majorEastAsia" w:hAnsiTheme="majorHAnsi" w:cstheme="majorBidi"/>
      <w:b/>
      <w:bCs/>
      <w:color w:val="081E3E" w:themeColor="text2"/>
      <w:sz w:val="26"/>
    </w:rPr>
  </w:style>
  <w:style w:type="character" w:customStyle="1" w:styleId="Heading6Char">
    <w:name w:val="Heading 6 Char"/>
    <w:basedOn w:val="DefaultParagraphFont"/>
    <w:link w:val="Heading6"/>
    <w:uiPriority w:val="9"/>
    <w:rsid w:val="00A27DC5"/>
    <w:rPr>
      <w:rFonts w:asciiTheme="majorHAnsi" w:eastAsiaTheme="majorEastAsia" w:hAnsiTheme="majorHAnsi" w:cstheme="majorBidi"/>
      <w:color w:val="081E3E" w:themeColor="text2"/>
      <w:u w:val="single"/>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347C7E" w:themeColor="accent2"/>
        <w:bottom w:val="single" w:sz="4" w:space="0" w:color="347C7E" w:themeColor="accent2"/>
        <w:insideH w:val="single" w:sz="4" w:space="0" w:color="347C7E"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444F9E"/>
    <w:pPr>
      <w:numPr>
        <w:numId w:val="13"/>
      </w:numPr>
      <w:spacing w:before="80"/>
      <w:ind w:left="397" w:hanging="397"/>
    </w:pPr>
    <w:rPr>
      <w:lang w:val="x-none"/>
    </w:rPr>
  </w:style>
  <w:style w:type="paragraph" w:customStyle="1" w:styleId="ListLegal2">
    <w:name w:val="List Legal 2"/>
    <w:basedOn w:val="ListLegal1"/>
    <w:uiPriority w:val="3"/>
    <w:rsid w:val="00444F9E"/>
    <w:pPr>
      <w:numPr>
        <w:ilvl w:val="1"/>
      </w:numPr>
      <w:ind w:left="681"/>
    </w:pPr>
  </w:style>
  <w:style w:type="paragraph" w:customStyle="1" w:styleId="ListLegal3">
    <w:name w:val="List Legal 3"/>
    <w:basedOn w:val="ListLegal2"/>
    <w:uiPriority w:val="3"/>
    <w:rsid w:val="007F56AC"/>
    <w:pPr>
      <w:numPr>
        <w:ilvl w:val="2"/>
      </w:numPr>
      <w:ind w:left="1077" w:hanging="397"/>
    </w:pPr>
  </w:style>
  <w:style w:type="paragraph" w:customStyle="1" w:styleId="ListNumbered1">
    <w:name w:val="List Numbered 1"/>
    <w:basedOn w:val="Normal"/>
    <w:uiPriority w:val="3"/>
    <w:qFormat/>
    <w:rsid w:val="007F56AC"/>
    <w:pPr>
      <w:numPr>
        <w:numId w:val="15"/>
      </w:numPr>
      <w:spacing w:before="80"/>
      <w:ind w:left="397" w:hanging="397"/>
    </w:pPr>
    <w:rPr>
      <w:lang w:val="x-none"/>
    </w:rPr>
  </w:style>
  <w:style w:type="paragraph" w:customStyle="1" w:styleId="ListNumbered21">
    <w:name w:val="List Numbered 2.1"/>
    <w:basedOn w:val="ListNumbered1"/>
    <w:uiPriority w:val="3"/>
    <w:rsid w:val="007F56AC"/>
    <w:pPr>
      <w:numPr>
        <w:ilvl w:val="1"/>
      </w:numPr>
      <w:ind w:left="1077" w:hanging="680"/>
    </w:pPr>
  </w:style>
  <w:style w:type="paragraph" w:customStyle="1" w:styleId="ListNumbered311">
    <w:name w:val="List Numbered 3.1.1"/>
    <w:basedOn w:val="ListNumbered21"/>
    <w:uiPriority w:val="3"/>
    <w:rsid w:val="007F56AC"/>
    <w:pPr>
      <w:numPr>
        <w:ilvl w:val="2"/>
      </w:numPr>
      <w:ind w:left="2030" w:hanging="964"/>
    </w:pPr>
  </w:style>
  <w:style w:type="paragraph" w:customStyle="1" w:styleId="Bullet1">
    <w:name w:val="Bullet 1"/>
    <w:basedOn w:val="Normal"/>
    <w:uiPriority w:val="3"/>
    <w:qFormat/>
    <w:rsid w:val="00B42EC2"/>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style>
  <w:style w:type="paragraph" w:customStyle="1" w:styleId="Box1Text">
    <w:name w:val="Box 1 Text"/>
    <w:basedOn w:val="Normal"/>
    <w:uiPriority w:val="23"/>
    <w:rsid w:val="00CF6CFD"/>
    <w:pPr>
      <w:pBdr>
        <w:top w:val="single" w:sz="4" w:space="14" w:color="347C7E" w:themeColor="accent2"/>
        <w:left w:val="single" w:sz="4" w:space="14" w:color="347C7E" w:themeColor="accent2"/>
        <w:bottom w:val="single" w:sz="4" w:space="14" w:color="347C7E" w:themeColor="accent2"/>
        <w:right w:val="single" w:sz="4" w:space="14" w:color="347C7E" w:themeColor="accent2"/>
      </w:pBdr>
      <w:ind w:left="284" w:right="284"/>
    </w:pPr>
    <w:rPr>
      <w:lang w:val="x-none"/>
    </w:rPr>
  </w:style>
  <w:style w:type="paragraph" w:customStyle="1" w:styleId="Box1Heading">
    <w:name w:val="Box 1 Heading"/>
    <w:basedOn w:val="Box1Text"/>
    <w:uiPriority w:val="23"/>
    <w:rsid w:val="00CF6CFD"/>
    <w:rPr>
      <w:b/>
    </w:rPr>
  </w:style>
  <w:style w:type="paragraph" w:customStyle="1" w:styleId="Box1Bullet1">
    <w:name w:val="Box 1 Bullet 1"/>
    <w:basedOn w:val="Box1Text"/>
    <w:uiPriority w:val="24"/>
    <w:rsid w:val="00430511"/>
    <w:pPr>
      <w:numPr>
        <w:numId w:val="27"/>
      </w:numPr>
      <w:spacing w:before="80"/>
    </w:pPr>
    <w:rPr>
      <w:kern w:val="12"/>
      <w:szCs w:val="20"/>
    </w:rPr>
  </w:style>
  <w:style w:type="paragraph" w:customStyle="1" w:styleId="Box2Text">
    <w:name w:val="Box 2 Text"/>
    <w:basedOn w:val="Normal"/>
    <w:uiPriority w:val="24"/>
    <w:rsid w:val="00430511"/>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rsid w:val="00541213"/>
    <w:rPr>
      <w:b/>
    </w:rPr>
  </w:style>
  <w:style w:type="paragraph" w:customStyle="1" w:styleId="Box2Bullet1">
    <w:name w:val="Box 2 Bullet 1"/>
    <w:basedOn w:val="Box2Text"/>
    <w:uiPriority w:val="25"/>
    <w:rsid w:val="00430511"/>
    <w:pPr>
      <w:numPr>
        <w:ilvl w:val="1"/>
        <w:numId w:val="27"/>
      </w:numPr>
      <w:spacing w:before="80"/>
    </w:pPr>
    <w:rPr>
      <w:kern w:val="12"/>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2"/>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2"/>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rsid w:val="00444F9E"/>
    <w:pPr>
      <w:pBdr>
        <w:top w:val="single" w:sz="8" w:space="6" w:color="347C7E" w:themeColor="accent2"/>
        <w:bottom w:val="single" w:sz="8" w:space="6" w:color="347C7E" w:themeColor="accent2"/>
      </w:pBdr>
      <w:spacing w:after="160"/>
    </w:pPr>
    <w:rPr>
      <w:iCs/>
      <w:color w:val="347C7E" w:themeColor="accent2"/>
    </w:rPr>
  </w:style>
  <w:style w:type="character" w:customStyle="1" w:styleId="QuoteChar">
    <w:name w:val="Quote Char"/>
    <w:basedOn w:val="DefaultParagraphFont"/>
    <w:link w:val="Quote"/>
    <w:uiPriority w:val="29"/>
    <w:rsid w:val="00444F9E"/>
    <w:rPr>
      <w:iCs/>
      <w:color w:val="347C7E" w:themeColor="accent2"/>
    </w:rPr>
  </w:style>
  <w:style w:type="paragraph" w:styleId="TOC1">
    <w:name w:val="toc 1"/>
    <w:basedOn w:val="Normal"/>
    <w:next w:val="Normal"/>
    <w:autoRedefine/>
    <w:uiPriority w:val="39"/>
    <w:rsid w:val="00A95970"/>
    <w:pPr>
      <w:keepLines/>
      <w:tabs>
        <w:tab w:val="right" w:pos="9854"/>
      </w:tabs>
      <w:ind w:left="567" w:hanging="567"/>
    </w:pPr>
    <w:rPr>
      <w:b/>
      <w:sz w:val="24"/>
      <w:u w:val="single" w:color="347C7E"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rsid w:val="00D26896"/>
    <w:pPr>
      <w:spacing w:before="0" w:after="240"/>
      <w:ind w:left="-1021" w:firstLine="1021"/>
    </w:pPr>
    <w:rPr>
      <w:rFonts w:cs="Times New Roman (Body CS)"/>
      <w:caps/>
      <w:color w:val="49515C" w:themeColor="accent4" w:themeShade="80"/>
    </w:rPr>
  </w:style>
  <w:style w:type="paragraph" w:customStyle="1" w:styleId="Box2Checklist">
    <w:name w:val="Box 2 Checklist"/>
    <w:basedOn w:val="Box2Text"/>
    <w:uiPriority w:val="26"/>
    <w:rsid w:val="00430511"/>
    <w:pPr>
      <w:numPr>
        <w:ilvl w:val="2"/>
        <w:numId w:val="27"/>
      </w:numPr>
    </w:pPr>
    <w:rPr>
      <w:kern w:val="12"/>
      <w:szCs w:val="20"/>
    </w:rPr>
  </w:style>
  <w:style w:type="numbering" w:customStyle="1" w:styleId="BoxedBullets">
    <w:name w:val="Boxed Bullets"/>
    <w:uiPriority w:val="99"/>
    <w:rsid w:val="00430511"/>
    <w:pPr>
      <w:numPr>
        <w:numId w:val="24"/>
      </w:numPr>
    </w:pPr>
  </w:style>
  <w:style w:type="paragraph" w:customStyle="1" w:styleId="SecurityMarker">
    <w:name w:val="Security Marker"/>
    <w:basedOn w:val="Normal"/>
    <w:rsid w:val="001D659E"/>
    <w:pPr>
      <w:spacing w:before="60" w:after="60"/>
      <w:jc w:val="center"/>
    </w:pPr>
    <w:rPr>
      <w:b/>
      <w:bCs/>
      <w:caps/>
      <w:color w:val="E10000"/>
      <w:sz w:val="28"/>
      <w:szCs w:val="28"/>
      <w:shd w:val="clear" w:color="auto" w:fill="FFFFFF" w:themeFill="background1"/>
    </w:rPr>
  </w:style>
  <w:style w:type="paragraph" w:customStyle="1" w:styleId="Tagline">
    <w:name w:val="Tagline"/>
    <w:basedOn w:val="Normal"/>
    <w:rsid w:val="0099647D"/>
    <w:pPr>
      <w:framePr w:wrap="notBeside" w:vAnchor="text" w:hAnchor="text" w:y="1"/>
      <w:spacing w:before="500" w:after="120"/>
    </w:pPr>
    <w:rPr>
      <w:color w:val="49515C"/>
    </w:rPr>
  </w:style>
  <w:style w:type="character" w:styleId="UnresolvedMention">
    <w:name w:val="Unresolved Mention"/>
    <w:basedOn w:val="DefaultParagraphFont"/>
    <w:uiPriority w:val="99"/>
    <w:semiHidden/>
    <w:unhideWhenUsed/>
    <w:rsid w:val="001D659E"/>
    <w:rPr>
      <w:color w:val="605E5C"/>
      <w:shd w:val="clear" w:color="auto" w:fill="E1DFDD"/>
    </w:rPr>
  </w:style>
  <w:style w:type="character" w:styleId="CommentReference">
    <w:name w:val="annotation reference"/>
    <w:basedOn w:val="DefaultParagraphFont"/>
    <w:uiPriority w:val="99"/>
    <w:semiHidden/>
    <w:unhideWhenUsed/>
    <w:rsid w:val="00140888"/>
    <w:rPr>
      <w:sz w:val="16"/>
      <w:szCs w:val="16"/>
    </w:rPr>
  </w:style>
  <w:style w:type="paragraph" w:styleId="CommentText">
    <w:name w:val="annotation text"/>
    <w:basedOn w:val="Normal"/>
    <w:link w:val="CommentTextChar"/>
    <w:uiPriority w:val="99"/>
    <w:semiHidden/>
    <w:unhideWhenUsed/>
    <w:rsid w:val="00140888"/>
    <w:rPr>
      <w:szCs w:val="20"/>
    </w:rPr>
  </w:style>
  <w:style w:type="character" w:customStyle="1" w:styleId="CommentTextChar">
    <w:name w:val="Comment Text Char"/>
    <w:basedOn w:val="DefaultParagraphFont"/>
    <w:link w:val="CommentText"/>
    <w:uiPriority w:val="99"/>
    <w:semiHidden/>
    <w:rsid w:val="00140888"/>
    <w:rPr>
      <w:sz w:val="20"/>
      <w:szCs w:val="20"/>
    </w:rPr>
  </w:style>
  <w:style w:type="paragraph" w:styleId="CommentSubject">
    <w:name w:val="annotation subject"/>
    <w:basedOn w:val="CommentText"/>
    <w:next w:val="CommentText"/>
    <w:link w:val="CommentSubjectChar"/>
    <w:uiPriority w:val="99"/>
    <w:semiHidden/>
    <w:unhideWhenUsed/>
    <w:rsid w:val="00140888"/>
    <w:rPr>
      <w:b/>
      <w:bCs/>
    </w:rPr>
  </w:style>
  <w:style w:type="character" w:customStyle="1" w:styleId="CommentSubjectChar">
    <w:name w:val="Comment Subject Char"/>
    <w:basedOn w:val="CommentTextChar"/>
    <w:link w:val="CommentSubject"/>
    <w:uiPriority w:val="99"/>
    <w:semiHidden/>
    <w:rsid w:val="00140888"/>
    <w:rPr>
      <w:b/>
      <w:bCs/>
      <w:sz w:val="20"/>
      <w:szCs w:val="20"/>
    </w:rPr>
  </w:style>
  <w:style w:type="paragraph" w:styleId="BalloonText">
    <w:name w:val="Balloon Text"/>
    <w:basedOn w:val="Normal"/>
    <w:link w:val="BalloonTextChar"/>
    <w:uiPriority w:val="99"/>
    <w:semiHidden/>
    <w:unhideWhenUsed/>
    <w:rsid w:val="001408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88"/>
    <w:rPr>
      <w:rFonts w:ascii="Segoe UI" w:hAnsi="Segoe UI" w:cs="Segoe UI"/>
      <w:sz w:val="18"/>
      <w:szCs w:val="18"/>
    </w:rPr>
  </w:style>
  <w:style w:type="paragraph" w:styleId="ListParagraph">
    <w:name w:val="List Paragraph"/>
    <w:basedOn w:val="Normal"/>
    <w:uiPriority w:val="99"/>
    <w:unhideWhenUsed/>
    <w:qFormat/>
    <w:rsid w:val="0048292A"/>
    <w:pPr>
      <w:ind w:left="720"/>
      <w:contextualSpacing/>
    </w:pPr>
  </w:style>
  <w:style w:type="paragraph" w:customStyle="1" w:styleId="DocHeading">
    <w:name w:val="DocHeading"/>
    <w:basedOn w:val="Heading1"/>
    <w:rsid w:val="006E2A0E"/>
    <w:pPr>
      <w:spacing w:before="160" w:after="220"/>
    </w:pPr>
    <w:rPr>
      <w:rFonts w:asciiTheme="minorHAnsi" w:hAnsiTheme="minorHAnsi" w:cstheme="minorHAns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10.png"/><Relationship Id="rId39" Type="http://schemas.openxmlformats.org/officeDocument/2006/relationships/theme" Target="theme/theme1.xml"/><Relationship Id="rId21" Type="http://schemas.openxmlformats.org/officeDocument/2006/relationships/hyperlink" Target="https://connect.internal.dotars.gov.au/sites/intranet/_layouts/15/DocIdRedir.aspx?ID=INTRANET-14568185-221" TargetMode="External"/><Relationship Id="rId34" Type="http://schemas.openxmlformats.org/officeDocument/2006/relationships/hyperlink" Target="https://connect.internal.dotars.gov.au/sites/intranet/_layouts/15/DocIdRedir.aspx?ID=INTRANET-14568185-381"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image" Target="media/image9.png"/><Relationship Id="rId33" Type="http://schemas.openxmlformats.org/officeDocument/2006/relationships/hyperlink" Target="https://connect.internal.dotars.gov.au/sites/intranet/_layouts/15/DocIdRedir.aspx?ID=INTRANET-14568185-754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hyperlink" Target="https://connect.internal.dotars.gov.au/sites/intranet/_layouts/15/DocIdRedir.aspx?ID=INTRANET-14568185-79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connect.internal.dotars.gov.au/sites/intranet/_layouts/15/DocIdRedir.aspx?ID=INTRANET-14568185-381" TargetMode="External"/><Relationship Id="rId37" Type="http://schemas.openxmlformats.org/officeDocument/2006/relationships/hyperlink" Target="https://connect.internal.dotars.gov.au/sites/intranet/_layouts/15/DocIdRedir.aspx?ID=INTRANET-14568185-7299"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https://connect.internal.dotars.gov.au/sites/intranet/_layouts/15/DocIdRedir.aspx?ID=INTRANET-14568185-381" TargetMode="External"/><Relationship Id="rId36" Type="http://schemas.openxmlformats.org/officeDocument/2006/relationships/hyperlink" Target="https://connect.internal.dotars.gov.au/sites/intranet/_layouts/15/DocIdRedir.aspx?ID=INTRANET-14568185-331"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connect.internal.dotars.gov.au/sites/intranet/_layouts/15/DocIdRedir.aspx?ID=INTRANET-14568185-66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connect.internal.dotars.gov.au/sites/intranet/ResourceDocuments/People%20at%20Work%20Comprehensive%20Report.pdf" TargetMode="External"/><Relationship Id="rId30" Type="http://schemas.openxmlformats.org/officeDocument/2006/relationships/hyperlink" Target="https://connect.internal.dotars.gov.au/sites/intranet/_layouts/15/DocIdRedir.aspx?ID=INTRANET-14568185-147" TargetMode="External"/><Relationship Id="rId35" Type="http://schemas.openxmlformats.org/officeDocument/2006/relationships/hyperlink" Target="https://connect.internal.dotars.gov.au/sites/intranet/_layouts/15/DocIdRedir.aspx?ID=INTRANET-14568185-7543"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Standard%20portrait%20A4.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081E3E"/>
      </a:dk2>
      <a:lt2>
        <a:srgbClr val="E7E7E7"/>
      </a:lt2>
      <a:accent1>
        <a:srgbClr val="081E3E"/>
      </a:accent1>
      <a:accent2>
        <a:srgbClr val="347C7E"/>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04C2ED6474624087625D5BC8BDA46B" ma:contentTypeVersion="9" ma:contentTypeDescription="Create a new document." ma:contentTypeScope="" ma:versionID="9b55e86ec32ddf62e867b6ff51eb1982">
  <xsd:schema xmlns:xsd="http://www.w3.org/2001/XMLSchema" xmlns:xs="http://www.w3.org/2001/XMLSchema" xmlns:p="http://schemas.microsoft.com/office/2006/metadata/properties" xmlns:ns2="b3b9b181-06e0-4268-af22-c6840c33967c" xmlns:ns3="40b89a2c-dbe8-4aa4-bd74-be5189addec4" targetNamespace="http://schemas.microsoft.com/office/2006/metadata/properties" ma:root="true" ma:fieldsID="59add822de70a2ee165fa5d5abf4bd24" ns2:_="" ns3:_="">
    <xsd:import namespace="b3b9b181-06e0-4268-af22-c6840c33967c"/>
    <xsd:import namespace="40b89a2c-dbe8-4aa4-bd74-be5189addec4"/>
    <xsd:element name="properties">
      <xsd:complexType>
        <xsd:sequence>
          <xsd:element name="documentManagement">
            <xsd:complexType>
              <xsd:all>
                <xsd:element ref="ns2:RecordNumber" minOccurs="0"/>
                <xsd:element ref="ns2:g7a2f445ab5e4aa2ad49ebf38fd81cc6" minOccurs="0"/>
                <xsd:element ref="ns2:TaxCatchAll" minOccurs="0"/>
                <xsd:element ref="ns2:TaxCatchAllLabel" minOccurs="0"/>
                <xsd:element ref="ns2:ne6d73d4a8b14472a6a14c195f235605" minOccurs="0"/>
                <xsd:element ref="ns2:Destroy Item46" minOccurs="0"/>
                <xsd:element ref="ns2:Justification for Destruction47" minOccurs="0"/>
                <xsd:element ref="ns2:Document_x0020_SP_x0020_Type" minOccurs="0"/>
                <xsd:element ref="ns2:SharedWithUsers" minOccurs="0"/>
                <xsd:element ref="ns2:SharedWithDetails" minOccurs="0"/>
                <xsd:element ref="ns3:Project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9b181-06e0-4268-af22-c6840c33967c"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g7a2f445ab5e4aa2ad49ebf38fd81cc6" ma:index="9" ma:taxonomy="true" ma:internalName="g7a2f445ab5e4aa2ad49ebf38fd81cc6" ma:taxonomyFieldName="Security_x0020_Classification" ma:displayName="Security Classification" ma:readOnly="false" ma:default="1;#OFFICIAL|66ee57a8-59d0-46bc-a5fc-78440ee0cf81" ma:fieldId="{07a2f445-ab5e-4aa2-ad49-ebf38fd81cc6}"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b652d38-8c68-4034-afbd-1c7523511a25}" ma:internalName="TaxCatchAll" ma:showField="CatchAllData"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b652d38-8c68-4034-afbd-1c7523511a25}" ma:internalName="TaxCatchAllLabel" ma:readOnly="true" ma:showField="CatchAllDataLabel" ma:web="b3b9b181-06e0-4268-af22-c6840c33967c">
      <xsd:complexType>
        <xsd:complexContent>
          <xsd:extension base="dms:MultiChoiceLookup">
            <xsd:sequence>
              <xsd:element name="Value" type="dms:Lookup" maxOccurs="unbounded" minOccurs="0" nillable="true"/>
            </xsd:sequence>
          </xsd:extension>
        </xsd:complexContent>
      </xsd:complexType>
    </xsd:element>
    <xsd:element name="ne6d73d4a8b14472a6a14c195f235605" ma:index="13" nillable="true" ma:taxonomy="true" ma:internalName="ne6d73d4a8b14472a6a14c195f235605" ma:taxonomyFieldName="Information_x0020_Management_x0020_Marker" ma:displayName="Information Management Marker" ma:default="" ma:fieldId="{7e6d73d4-a8b1-4472-a6a1-4c195f235605}"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89a2c-dbe8-4aa4-bd74-be5189addec4" elementFormDefault="qualified">
    <xsd:import namespace="http://schemas.microsoft.com/office/2006/documentManagement/types"/>
    <xsd:import namespace="http://schemas.microsoft.com/office/infopath/2007/PartnerControls"/>
    <xsd:element name="Project_x0020_activity" ma:index="21" nillable="true" ma:displayName="Project activity" ma:default="None" ma:description="Document types/phases of the project" ma:internalName="Project_x0020_activit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69A837-9DC6-49BF-BD9A-9D9D2E3F3C01}">
  <ds:schemaRefs>
    <ds:schemaRef ds:uri="http://schemas.openxmlformats.org/officeDocument/2006/bibliography"/>
  </ds:schemaRefs>
</ds:datastoreItem>
</file>

<file path=customXml/itemProps3.xml><?xml version="1.0" encoding="utf-8"?>
<ds:datastoreItem xmlns:ds="http://schemas.openxmlformats.org/officeDocument/2006/customXml" ds:itemID="{4EE72961-E5FF-4F43-9532-FD7B95D4870F}">
  <ds:schemaRefs>
    <ds:schemaRef ds:uri="http://schemas.microsoft.com/sharepoint/v3/contenttype/forms"/>
  </ds:schemaRefs>
</ds:datastoreItem>
</file>

<file path=customXml/itemProps4.xml><?xml version="1.0" encoding="utf-8"?>
<ds:datastoreItem xmlns:ds="http://schemas.openxmlformats.org/officeDocument/2006/customXml" ds:itemID="{9CD7BF70-5496-4570-8665-E2B3EA49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9b181-06e0-4268-af22-c6840c33967c"/>
    <ds:schemaRef ds:uri="40b89a2c-dbe8-4aa4-bd74-be5189add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portrait A4</Template>
  <TotalTime>276</TotalTime>
  <Pages>3</Pages>
  <Words>2048</Words>
  <Characters>12066</Characters>
  <Application>Microsoft Office Word</Application>
  <DocSecurity>0</DocSecurity>
  <Lines>287</Lines>
  <Paragraphs>110</Paragraphs>
  <ScaleCrop>false</ScaleCrop>
  <HeadingPairs>
    <vt:vector size="2" baseType="variant">
      <vt:variant>
        <vt:lpstr>Title</vt:lpstr>
      </vt:variant>
      <vt:variant>
        <vt:i4>1</vt:i4>
      </vt:variant>
    </vt:vector>
  </HeadingPairs>
  <TitlesOfParts>
    <vt:vector size="1" baseType="lpstr">
      <vt:lpstr>Document Title (Heading 1)</vt:lpstr>
    </vt:vector>
  </TitlesOfParts>
  <Company>Department of Infrastructure &amp; Regional Development</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(Heading 1)</dc:title>
  <dc:subject/>
  <dc:creator>WILLIAMS Belinda</dc:creator>
  <cp:keywords/>
  <dc:description/>
  <cp:lastModifiedBy>Belinda Seaman</cp:lastModifiedBy>
  <cp:revision>19</cp:revision>
  <dcterms:created xsi:type="dcterms:W3CDTF">2025-11-05T02:49:00Z</dcterms:created>
  <dcterms:modified xsi:type="dcterms:W3CDTF">2025-11-18T00:43:00Z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0x0101005204C2ED6474624087625D5BC8BDA46B</vt:lpwstr>
  </property>
</Properties>
</file>